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561A02" w14:textId="77777777" w:rsidR="00801669" w:rsidRPr="00801669" w:rsidRDefault="00801669" w:rsidP="00801669">
      <w:pPr>
        <w:autoSpaceDE w:val="0"/>
        <w:autoSpaceDN w:val="0"/>
        <w:adjustRightInd w:val="0"/>
        <w:spacing w:after="0" w:line="240" w:lineRule="auto"/>
        <w:ind w:firstLine="284"/>
        <w:jc w:val="center"/>
        <w:rPr>
          <w:rFonts w:ascii="Garamond" w:hAnsi="Garamond" w:cs="Times New Roman"/>
          <w:b/>
          <w:bCs/>
          <w:color w:val="000000"/>
          <w:sz w:val="24"/>
          <w:szCs w:val="24"/>
        </w:rPr>
      </w:pPr>
      <w:r w:rsidRPr="00801669">
        <w:rPr>
          <w:rFonts w:ascii="Garamond" w:hAnsi="Garamond" w:cs="Times New Roman"/>
          <w:b/>
          <w:bCs/>
          <w:color w:val="000000"/>
          <w:sz w:val="24"/>
          <w:szCs w:val="24"/>
        </w:rPr>
        <w:t>REZOLUTË</w:t>
      </w:r>
    </w:p>
    <w:p w14:paraId="6730842F" w14:textId="77777777" w:rsidR="00801669" w:rsidRPr="00801669" w:rsidRDefault="00801669" w:rsidP="00801669">
      <w:pPr>
        <w:autoSpaceDE w:val="0"/>
        <w:autoSpaceDN w:val="0"/>
        <w:adjustRightInd w:val="0"/>
        <w:spacing w:after="0" w:line="240" w:lineRule="auto"/>
        <w:ind w:firstLine="284"/>
        <w:jc w:val="center"/>
        <w:rPr>
          <w:rFonts w:ascii="Garamond" w:hAnsi="Garamond" w:cs="Times New Roman"/>
          <w:b/>
          <w:bCs/>
          <w:color w:val="000000"/>
          <w:sz w:val="24"/>
          <w:szCs w:val="24"/>
        </w:rPr>
      </w:pPr>
    </w:p>
    <w:p w14:paraId="39FDE176" w14:textId="3361CA3B" w:rsidR="00801669" w:rsidRPr="00801669" w:rsidRDefault="00801669" w:rsidP="00801669">
      <w:pPr>
        <w:autoSpaceDE w:val="0"/>
        <w:autoSpaceDN w:val="0"/>
        <w:adjustRightInd w:val="0"/>
        <w:spacing w:after="0" w:line="240" w:lineRule="auto"/>
        <w:ind w:firstLine="284"/>
        <w:jc w:val="center"/>
        <w:rPr>
          <w:rFonts w:ascii="Garamond" w:hAnsi="Garamond" w:cs="Times New Roman"/>
          <w:b/>
          <w:bCs/>
          <w:color w:val="000000"/>
          <w:sz w:val="24"/>
          <w:szCs w:val="24"/>
        </w:rPr>
      </w:pPr>
      <w:r w:rsidRPr="00801669">
        <w:rPr>
          <w:rFonts w:ascii="Garamond" w:hAnsi="Garamond" w:cs="Times New Roman"/>
          <w:b/>
          <w:bCs/>
          <w:color w:val="000000"/>
          <w:sz w:val="24"/>
          <w:szCs w:val="24"/>
        </w:rPr>
        <w:t>PËR VLERËSIMIN E VEPRIMTARISË SË ZYRËS SË INSPEKTORIT TË LARTË TË DREJTËSISË PËR VITIN 2021</w:t>
      </w:r>
    </w:p>
    <w:p w14:paraId="5BBF4747"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p>
    <w:p w14:paraId="541E5FB6"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b/>
          <w:bCs/>
          <w:color w:val="000000"/>
          <w:sz w:val="24"/>
          <w:szCs w:val="24"/>
        </w:rPr>
      </w:pPr>
      <w:r w:rsidRPr="00801669">
        <w:rPr>
          <w:rFonts w:ascii="Garamond" w:hAnsi="Garamond" w:cs="Times New Roman"/>
          <w:b/>
          <w:bCs/>
          <w:color w:val="000000"/>
          <w:sz w:val="24"/>
          <w:szCs w:val="24"/>
        </w:rPr>
        <w:t>Kuvendi i Shqipërisë,</w:t>
      </w:r>
    </w:p>
    <w:p w14:paraId="44D09465"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 xml:space="preserve">Duke vlerësuar rolin e Inspektorit të Lartë të Drejtësisë si autoriteti shtetëror përgjegjës për verifikimin e ankesave, hetimin e shkeljeve disiplinore dhe për fillimin e procedurës disiplinore ndaj gjyqtarëve dhe prokurorëve të </w:t>
      </w:r>
      <w:proofErr w:type="spellStart"/>
      <w:r w:rsidRPr="00801669">
        <w:rPr>
          <w:rFonts w:ascii="Garamond" w:hAnsi="Garamond" w:cs="Times New Roman"/>
          <w:color w:val="000000"/>
          <w:sz w:val="24"/>
          <w:szCs w:val="24"/>
        </w:rPr>
        <w:t>të</w:t>
      </w:r>
      <w:proofErr w:type="spellEnd"/>
      <w:r w:rsidRPr="00801669">
        <w:rPr>
          <w:rFonts w:ascii="Garamond" w:hAnsi="Garamond" w:cs="Times New Roman"/>
          <w:color w:val="000000"/>
          <w:sz w:val="24"/>
          <w:szCs w:val="24"/>
        </w:rPr>
        <w:t xml:space="preserve"> gjitha niveleve, anëtarëve të Këshillit të Lartë Gjyqësor, anëtarëve të Këshillit të Lartë të Prokurorisë dhe të Prokurorit të Përgjithshëm, si dhe për inspektimin institucional të gjykatave dhe të zyrave të prokurorisë;</w:t>
      </w:r>
    </w:p>
    <w:p w14:paraId="10D9B538"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Duke mbajtur parasysh rolin e Inspektorit të Lartë të Drejtësisë në hetimin e shkeljeve të dyshuara nëpërmjet ankesave të paraqitura nga çdo person fizik ose juridik, por edhe kryesisht bazuar në të dhëna publike ose të siguruara në kuadrin e inspektimeve institucionale e tematike;</w:t>
      </w:r>
    </w:p>
    <w:p w14:paraId="0B09E69C"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Duke nënvizuar rëndësinë e bashkëpunimit të Inspektorit të Lartë të Drejtësisë me Këshillin e Lartë Gjyqësor, Këshillin e Lartë të Prokurorisë dhe Prokurorin e Përgjithshëm në kuadër të përmbushjes së detyrave funksionale;</w:t>
      </w:r>
    </w:p>
    <w:p w14:paraId="15E0AA2B"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Duke nënvizuar rëndësinë e bashkëpunimit të Inspektorit të Lartë të Drejtësisë me partnerët ndërkombëtarë,</w:t>
      </w:r>
    </w:p>
    <w:p w14:paraId="2AB22D03"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b/>
          <w:bCs/>
          <w:color w:val="000000"/>
          <w:sz w:val="24"/>
          <w:szCs w:val="24"/>
        </w:rPr>
      </w:pPr>
      <w:r w:rsidRPr="00801669">
        <w:rPr>
          <w:rFonts w:ascii="Garamond" w:hAnsi="Garamond" w:cs="Times New Roman"/>
          <w:b/>
          <w:bCs/>
          <w:color w:val="000000"/>
          <w:sz w:val="24"/>
          <w:szCs w:val="24"/>
        </w:rPr>
        <w:t>Vlerëson punën e Inspektorit të Lartë të Drejtësisë në drejtim të:</w:t>
      </w:r>
    </w:p>
    <w:p w14:paraId="0AEFFE35"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Nisjes së shqyrtimit fillestar të një numri të madh ankesash lidhur me veprimtarinë e magjistratëve, organizimin e burimeve njerëzore, si dhe nisjes së procesit të rekrutimit të inspektorëve dhe stafit të Zyrës.</w:t>
      </w:r>
    </w:p>
    <w:p w14:paraId="33F7F12D"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Zhvillimit të një numri të konsiderueshëm të hetimeve disiplinore ndaj magjistratëve brenda vitit kalendarik 2021.</w:t>
      </w:r>
    </w:p>
    <w:p w14:paraId="49EC0E7C" w14:textId="6FE74187" w:rsidR="00801669" w:rsidRPr="00801669" w:rsidRDefault="00801669" w:rsidP="00E167F2">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Raportimeve të detajuara vjetore dhe periodike, si dhe informimeve drejtuar Ministrisë së Drejtësisë, Ministrisë për E</w:t>
      </w:r>
      <w:r w:rsidR="00E167F2">
        <w:rPr>
          <w:rFonts w:ascii="Garamond" w:hAnsi="Garamond" w:cs="Times New Roman"/>
          <w:color w:val="000000"/>
          <w:sz w:val="24"/>
          <w:szCs w:val="24"/>
        </w:rPr>
        <w:t>v</w:t>
      </w:r>
      <w:r w:rsidRPr="00801669">
        <w:rPr>
          <w:rFonts w:ascii="Garamond" w:hAnsi="Garamond" w:cs="Times New Roman"/>
          <w:color w:val="000000"/>
          <w:sz w:val="24"/>
          <w:szCs w:val="24"/>
        </w:rPr>
        <w:t>ropën dhe Punët e Jashtme dhe Kuvendit të Shqipërisë</w:t>
      </w:r>
      <w:r w:rsidR="002B2A2B">
        <w:rPr>
          <w:rFonts w:ascii="Garamond" w:hAnsi="Garamond" w:cs="Times New Roman"/>
          <w:color w:val="000000"/>
          <w:sz w:val="24"/>
          <w:szCs w:val="24"/>
        </w:rPr>
        <w:t>,</w:t>
      </w:r>
      <w:r w:rsidRPr="00801669">
        <w:rPr>
          <w:rFonts w:ascii="Garamond" w:hAnsi="Garamond" w:cs="Times New Roman"/>
          <w:color w:val="000000"/>
          <w:sz w:val="24"/>
          <w:szCs w:val="24"/>
        </w:rPr>
        <w:t xml:space="preserve"> lidhur me aktivitetin e institucionit.</w:t>
      </w:r>
    </w:p>
    <w:p w14:paraId="7FF47B4B"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Angazhimit të Inspektorit të Lartë të Drejtësisë në përgatitjen e kuadrit rregullues të veprimtarisë institucionale në zbatim të nenit 204, pika 1, shkronja “c”, të ligjit nr. 115/2016 “Për organet e qeverisjes së sistemit të drejtësisë”.</w:t>
      </w:r>
    </w:p>
    <w:p w14:paraId="44148840"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b/>
          <w:bCs/>
          <w:color w:val="000000"/>
          <w:sz w:val="24"/>
          <w:szCs w:val="24"/>
        </w:rPr>
      </w:pPr>
      <w:r w:rsidRPr="00801669">
        <w:rPr>
          <w:rFonts w:ascii="Garamond" w:hAnsi="Garamond" w:cs="Times New Roman"/>
          <w:b/>
          <w:bCs/>
          <w:color w:val="000000"/>
          <w:sz w:val="24"/>
          <w:szCs w:val="24"/>
        </w:rPr>
        <w:t>Bazuar në analizën e të dhënave, të referuara në raportin e paraqitur nga Inspektori i Lartë i Drejtësisë për vitin 2021, Kuvendi i Shqipërisë konstaton:</w:t>
      </w:r>
    </w:p>
    <w:p w14:paraId="5A6D4592"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 xml:space="preserve">Marrjen e 22 vendimeve për fillimin e hetimit disiplinor për 31 subjekte të hetimit disiplinor. </w:t>
      </w:r>
    </w:p>
    <w:p w14:paraId="2D12DB8A"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Hartimin dhe miratimin e 33 urdhrave të përgjithshëm me karakter administrativ dhe rregullator, që kanë të bëjnë me çështje të organizimit dhe funksionimit, menaxhimit e kontrollit financiar, sinjalizimit dhe sigurisë së të dhënave dhe informacionit.</w:t>
      </w:r>
    </w:p>
    <w:p w14:paraId="477D0D62" w14:textId="2681BFE0" w:rsidR="00801669" w:rsidRPr="00801669" w:rsidRDefault="00801669" w:rsidP="00E167F2">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Raportimet e detajuara vjetore dhe periodike, si dhe informacionet drejtuar Ministrisë së Drejtësisë, Ministrisë për E</w:t>
      </w:r>
      <w:r w:rsidR="00E167F2">
        <w:rPr>
          <w:rFonts w:ascii="Garamond" w:hAnsi="Garamond" w:cs="Times New Roman"/>
          <w:color w:val="000000"/>
          <w:sz w:val="24"/>
          <w:szCs w:val="24"/>
        </w:rPr>
        <w:t>v</w:t>
      </w:r>
      <w:r w:rsidRPr="00801669">
        <w:rPr>
          <w:rFonts w:ascii="Garamond" w:hAnsi="Garamond" w:cs="Times New Roman"/>
          <w:color w:val="000000"/>
          <w:sz w:val="24"/>
          <w:szCs w:val="24"/>
        </w:rPr>
        <w:t>ropën dhe Punët e Jashtme dhe Kuvendit të Shqipërisë për aktivitetin e institucionit.</w:t>
      </w:r>
    </w:p>
    <w:p w14:paraId="237730AF" w14:textId="15C9C105"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Marrjen e 2 vendimeve për inspektimet tematike</w:t>
      </w:r>
      <w:r w:rsidR="002B2A2B">
        <w:rPr>
          <w:rFonts w:ascii="Garamond" w:hAnsi="Garamond" w:cs="Times New Roman"/>
          <w:color w:val="000000"/>
          <w:sz w:val="24"/>
          <w:szCs w:val="24"/>
        </w:rPr>
        <w:t>,</w:t>
      </w:r>
      <w:r w:rsidRPr="00801669">
        <w:rPr>
          <w:rFonts w:ascii="Garamond" w:hAnsi="Garamond" w:cs="Times New Roman"/>
          <w:color w:val="000000"/>
          <w:sz w:val="24"/>
          <w:szCs w:val="24"/>
        </w:rPr>
        <w:t xml:space="preserve"> sipas përcaktimeve ligjore.</w:t>
      </w:r>
    </w:p>
    <w:p w14:paraId="2E937960" w14:textId="63C77BE5" w:rsidR="00801669" w:rsidRPr="00801669" w:rsidRDefault="00801669" w:rsidP="00E167F2">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Përfitimin e statusit të vëzhguesit pranë Rrjetit E</w:t>
      </w:r>
      <w:r w:rsidR="00E167F2">
        <w:rPr>
          <w:rFonts w:ascii="Garamond" w:hAnsi="Garamond" w:cs="Times New Roman"/>
          <w:color w:val="000000"/>
          <w:sz w:val="24"/>
          <w:szCs w:val="24"/>
        </w:rPr>
        <w:t>v</w:t>
      </w:r>
      <w:r w:rsidRPr="00801669">
        <w:rPr>
          <w:rFonts w:ascii="Garamond" w:hAnsi="Garamond" w:cs="Times New Roman"/>
          <w:color w:val="000000"/>
          <w:sz w:val="24"/>
          <w:szCs w:val="24"/>
        </w:rPr>
        <w:t>ropian të Shërbimeve të Inspektimit të Drejtësisë.</w:t>
      </w:r>
    </w:p>
    <w:p w14:paraId="6AA41C82"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 xml:space="preserve">Bashkëpunimin me Këshillin e Lartë Gjyqësor, Këshillin e Lartë të Prokurorisë, Prokurorin e Përgjithshëm, Ministrinë e Drejtësisë, shoqërinë civile dhe partnerët ndërkombëtarë. </w:t>
      </w:r>
    </w:p>
    <w:p w14:paraId="34E68FC1"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Pjesëmarrjen në një numër të lartë trajnimesh nga ekspertë ndërkombëtarë dhe kombëtarë për rritjen dhe fuqizimin e kapaciteteve të Zyrës.</w:t>
      </w:r>
    </w:p>
    <w:p w14:paraId="0C25A181"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Angazhimin në ndërveprim me qytetarët nëpërmjet informimeve periodike, pasurimit informativ të faqes, si dhe angazhimin e Sektorit të Ndihmës Juridike dhe Ankesave.</w:t>
      </w:r>
    </w:p>
    <w:p w14:paraId="1AB182CB" w14:textId="2C06B706" w:rsidR="00801669" w:rsidRPr="00801669" w:rsidRDefault="00801669" w:rsidP="002B2A2B">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lastRenderedPageBreak/>
        <w:t>Ndërtimin e bazës statistikore mbi të dhënat e përgjithshme për ankesat</w:t>
      </w:r>
      <w:r w:rsidR="002B2A2B">
        <w:rPr>
          <w:rFonts w:ascii="Garamond" w:hAnsi="Garamond" w:cs="Times New Roman"/>
          <w:color w:val="000000"/>
          <w:sz w:val="24"/>
          <w:szCs w:val="24"/>
        </w:rPr>
        <w:t>,</w:t>
      </w:r>
      <w:r w:rsidRPr="00801669">
        <w:rPr>
          <w:rFonts w:ascii="Garamond" w:hAnsi="Garamond" w:cs="Times New Roman"/>
          <w:color w:val="000000"/>
          <w:sz w:val="24"/>
          <w:szCs w:val="24"/>
        </w:rPr>
        <w:t xml:space="preserve"> ku përfshihen </w:t>
      </w:r>
      <w:proofErr w:type="spellStart"/>
      <w:r w:rsidRPr="00801669">
        <w:rPr>
          <w:rFonts w:ascii="Garamond" w:hAnsi="Garamond" w:cs="Times New Roman"/>
          <w:color w:val="000000"/>
          <w:sz w:val="24"/>
          <w:szCs w:val="24"/>
        </w:rPr>
        <w:t>detajime</w:t>
      </w:r>
      <w:proofErr w:type="spellEnd"/>
      <w:r w:rsidRPr="00801669">
        <w:rPr>
          <w:rFonts w:ascii="Garamond" w:hAnsi="Garamond" w:cs="Times New Roman"/>
          <w:color w:val="000000"/>
          <w:sz w:val="24"/>
          <w:szCs w:val="24"/>
        </w:rPr>
        <w:t xml:space="preserve"> me interes informativ dhe studimor</w:t>
      </w:r>
      <w:r w:rsidR="002B2A2B">
        <w:rPr>
          <w:rFonts w:ascii="Garamond" w:hAnsi="Garamond" w:cs="Times New Roman"/>
          <w:color w:val="000000"/>
          <w:sz w:val="24"/>
          <w:szCs w:val="24"/>
        </w:rPr>
        <w:t>,</w:t>
      </w:r>
      <w:r w:rsidRPr="00801669">
        <w:rPr>
          <w:rFonts w:ascii="Garamond" w:hAnsi="Garamond" w:cs="Times New Roman"/>
          <w:color w:val="000000"/>
          <w:sz w:val="24"/>
          <w:szCs w:val="24"/>
        </w:rPr>
        <w:t xml:space="preserve"> lidhur me grup-moshat e ankuesve, shkeljeve të pretenduara nga ankuesi dhe ankesat e trajtuara sipas objektit të padisë etj.</w:t>
      </w:r>
    </w:p>
    <w:p w14:paraId="26F370AD" w14:textId="389A4E04" w:rsidR="00801669" w:rsidRPr="00801669" w:rsidRDefault="00801669" w:rsidP="00E167F2">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Inspektori i Lartë i Drejtësisë ka adresuar nevojën për disa ndryshime ligjore që i shërbejnë mirëfunksionimit të veprimtarisë së institucionit dhe rritjes së efi</w:t>
      </w:r>
      <w:r w:rsidR="00E167F2">
        <w:rPr>
          <w:rFonts w:ascii="Garamond" w:hAnsi="Garamond" w:cs="Times New Roman"/>
          <w:color w:val="000000"/>
          <w:sz w:val="24"/>
          <w:szCs w:val="24"/>
        </w:rPr>
        <w:t>ci</w:t>
      </w:r>
      <w:r w:rsidRPr="00801669">
        <w:rPr>
          <w:rFonts w:ascii="Garamond" w:hAnsi="Garamond" w:cs="Times New Roman"/>
          <w:color w:val="000000"/>
          <w:sz w:val="24"/>
          <w:szCs w:val="24"/>
        </w:rPr>
        <w:t>encës së inspektimeve.</w:t>
      </w:r>
    </w:p>
    <w:p w14:paraId="16632768"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b/>
          <w:bCs/>
          <w:color w:val="000000"/>
          <w:sz w:val="24"/>
          <w:szCs w:val="24"/>
        </w:rPr>
      </w:pPr>
      <w:r w:rsidRPr="00801669">
        <w:rPr>
          <w:rFonts w:ascii="Garamond" w:hAnsi="Garamond" w:cs="Times New Roman"/>
          <w:b/>
          <w:bCs/>
          <w:color w:val="000000"/>
          <w:sz w:val="24"/>
          <w:szCs w:val="24"/>
        </w:rPr>
        <w:t>Bazuar sa më sipër, Kuvendi i Shqipërisë nxit Inspektorin e Lartë të Drejtësisë:</w:t>
      </w:r>
    </w:p>
    <w:p w14:paraId="0C2D67BB"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1. Të veprojë me ritme të shpejta për shqyrtimin e ankesave të paraqitura pranë Zyrës së Inspektorit të Lartë të Drejtësisë.</w:t>
      </w:r>
    </w:p>
    <w:p w14:paraId="44F1387D" w14:textId="76F2DF0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2. Të forcojë më tej bashkëpunimin me organet e qeverisjes së sistemit të drejtësisë dhe institucionet e tjera shtetërore</w:t>
      </w:r>
      <w:r w:rsidR="00A079DA">
        <w:rPr>
          <w:rFonts w:ascii="Garamond" w:hAnsi="Garamond" w:cs="Times New Roman"/>
          <w:color w:val="000000"/>
          <w:sz w:val="24"/>
          <w:szCs w:val="24"/>
        </w:rPr>
        <w:t>,</w:t>
      </w:r>
      <w:r w:rsidRPr="00801669">
        <w:rPr>
          <w:rFonts w:ascii="Garamond" w:hAnsi="Garamond" w:cs="Times New Roman"/>
          <w:color w:val="000000"/>
          <w:sz w:val="24"/>
          <w:szCs w:val="24"/>
        </w:rPr>
        <w:t xml:space="preserve"> në përputhje me parashikimet ligjore në fuqi për të gjitha proceset që ndikojnë në zbatimin e detyrave të përcaktuara në ligj.</w:t>
      </w:r>
    </w:p>
    <w:p w14:paraId="7510FF27" w14:textId="5E631909"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3. Të informojë vazhdimisht Kuvendin e Shqipërisë për problematikat e hasura gjatë ushtrimit të detyrave</w:t>
      </w:r>
      <w:r w:rsidR="00A079DA">
        <w:rPr>
          <w:rFonts w:ascii="Garamond" w:hAnsi="Garamond" w:cs="Times New Roman"/>
          <w:color w:val="000000"/>
          <w:sz w:val="24"/>
          <w:szCs w:val="24"/>
        </w:rPr>
        <w:t>,</w:t>
      </w:r>
      <w:r w:rsidRPr="00801669">
        <w:rPr>
          <w:rFonts w:ascii="Garamond" w:hAnsi="Garamond" w:cs="Times New Roman"/>
          <w:color w:val="000000"/>
          <w:sz w:val="24"/>
          <w:szCs w:val="24"/>
        </w:rPr>
        <w:t xml:space="preserve"> duke rekomanduar edhe zgjidhjet përkatëse.</w:t>
      </w:r>
    </w:p>
    <w:p w14:paraId="75C3F010"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b/>
          <w:bCs/>
          <w:color w:val="000000"/>
          <w:sz w:val="24"/>
          <w:szCs w:val="24"/>
        </w:rPr>
      </w:pPr>
      <w:r w:rsidRPr="00801669">
        <w:rPr>
          <w:rFonts w:ascii="Garamond" w:hAnsi="Garamond" w:cs="Times New Roman"/>
          <w:b/>
          <w:bCs/>
          <w:color w:val="000000"/>
          <w:sz w:val="24"/>
          <w:szCs w:val="24"/>
        </w:rPr>
        <w:t>Kuvendi i rekomandon Inspektorit të Lartë të Drejtësisë:</w:t>
      </w:r>
    </w:p>
    <w:p w14:paraId="690A3B07" w14:textId="031EA4AB"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1. Hartimin e dispozitave të hollësishme për administrimin e sistemit të menaxhimit të çështjeve për procedurën hetimore, si dhe bërjen publik të informacionit të pjesshëm</w:t>
      </w:r>
      <w:r w:rsidR="00A079DA">
        <w:rPr>
          <w:rFonts w:ascii="Garamond" w:hAnsi="Garamond" w:cs="Times New Roman"/>
          <w:color w:val="000000"/>
          <w:sz w:val="24"/>
          <w:szCs w:val="24"/>
        </w:rPr>
        <w:t>,</w:t>
      </w:r>
      <w:r w:rsidRPr="00801669">
        <w:rPr>
          <w:rFonts w:ascii="Garamond" w:hAnsi="Garamond" w:cs="Times New Roman"/>
          <w:color w:val="000000"/>
          <w:sz w:val="24"/>
          <w:szCs w:val="24"/>
        </w:rPr>
        <w:t xml:space="preserve"> sipas përcaktimit të Inspektorit të Lartë të Drejtësisë</w:t>
      </w:r>
      <w:r w:rsidR="00A079DA">
        <w:rPr>
          <w:rFonts w:ascii="Garamond" w:hAnsi="Garamond" w:cs="Times New Roman"/>
          <w:color w:val="000000"/>
          <w:sz w:val="24"/>
          <w:szCs w:val="24"/>
        </w:rPr>
        <w:t>,</w:t>
      </w:r>
      <w:r w:rsidRPr="00801669">
        <w:rPr>
          <w:rFonts w:ascii="Garamond" w:hAnsi="Garamond" w:cs="Times New Roman"/>
          <w:color w:val="000000"/>
          <w:sz w:val="24"/>
          <w:szCs w:val="24"/>
        </w:rPr>
        <w:t xml:space="preserve"> në përputhje dhe në zbatim të nenit 137</w:t>
      </w:r>
      <w:r w:rsidR="00A079DA">
        <w:rPr>
          <w:rFonts w:ascii="Garamond" w:hAnsi="Garamond" w:cs="Times New Roman"/>
          <w:color w:val="000000"/>
          <w:sz w:val="24"/>
          <w:szCs w:val="24"/>
        </w:rPr>
        <w:t>,</w:t>
      </w:r>
      <w:r w:rsidRPr="00801669">
        <w:rPr>
          <w:rFonts w:ascii="Garamond" w:hAnsi="Garamond" w:cs="Times New Roman"/>
          <w:color w:val="000000"/>
          <w:sz w:val="24"/>
          <w:szCs w:val="24"/>
        </w:rPr>
        <w:t xml:space="preserve"> të ligjit nr. 96/2016</w:t>
      </w:r>
      <w:r w:rsidR="00A079DA">
        <w:rPr>
          <w:rFonts w:ascii="Garamond" w:hAnsi="Garamond" w:cs="Times New Roman"/>
          <w:color w:val="000000"/>
          <w:sz w:val="24"/>
          <w:szCs w:val="24"/>
        </w:rPr>
        <w:t>,</w:t>
      </w:r>
      <w:r w:rsidRPr="00801669">
        <w:rPr>
          <w:rFonts w:ascii="Garamond" w:hAnsi="Garamond" w:cs="Times New Roman"/>
          <w:color w:val="000000"/>
          <w:sz w:val="24"/>
          <w:szCs w:val="24"/>
        </w:rPr>
        <w:t xml:space="preserve"> “Për statusin e gjyqtarëve dhe prokurorëve në Republikën e Shqipërisë”.</w:t>
      </w:r>
    </w:p>
    <w:p w14:paraId="4887602C" w14:textId="1C2A1F11"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 xml:space="preserve">2. Vijimin me ritme të shpejta të punës për hartimin e rregullores për trajtimin e ankesave dhe </w:t>
      </w:r>
      <w:r w:rsidR="00A079DA">
        <w:rPr>
          <w:rFonts w:ascii="Garamond" w:hAnsi="Garamond" w:cs="Times New Roman"/>
          <w:color w:val="000000"/>
          <w:sz w:val="24"/>
          <w:szCs w:val="24"/>
        </w:rPr>
        <w:t xml:space="preserve">për </w:t>
      </w:r>
      <w:r w:rsidRPr="00801669">
        <w:rPr>
          <w:rFonts w:ascii="Garamond" w:hAnsi="Garamond" w:cs="Times New Roman"/>
          <w:color w:val="000000"/>
          <w:sz w:val="24"/>
          <w:szCs w:val="24"/>
        </w:rPr>
        <w:t>hartimin e një metodologjie të përgjithshme inspektimi.</w:t>
      </w:r>
    </w:p>
    <w:p w14:paraId="0C814FA7"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3. Vijimin me ritme të shpejta të punës për përfundimin e procedurave të rekrutimit të inspektorëve pranë Zyrës së Inspektorit të Lartë të Drejtësisë.</w:t>
      </w:r>
    </w:p>
    <w:p w14:paraId="57D98113"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 xml:space="preserve">4. Nxitjen e bashkëpunimit me Këshillin e Lartë Gjyqësor, Këshillin e Lartë të Prokurorisë, Ministrinë e Drejtësisë, Prokurorin e Përgjithshëm ose institucione të tjera për paraqitjen e kërkesave të motivuara nga ana e tyre për realizimin e inspektimeve tematike apo institucionale nga ana e Zyrës së Inspektorit të Lartë të Drejtësisë. </w:t>
      </w:r>
    </w:p>
    <w:p w14:paraId="4E3993B6"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5. Hartimin dhe miratimin e planit vjetor të inspektimeve institucionale dhe tematike, si dhe bërjen publik të tij në faqen zyrtare të institucionit.</w:t>
      </w:r>
    </w:p>
    <w:p w14:paraId="11E496D8" w14:textId="73AD8A61" w:rsidR="00801669" w:rsidRPr="00801669" w:rsidRDefault="00801669" w:rsidP="00406BA2">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6. Vijimin me ritme të shpejta të trajtimit të ankesave të dorëzuara nga organet kompetente gjatë periudhës kalimtare, si dhe trajtimin me përparësi të ankesave,</w:t>
      </w:r>
      <w:r w:rsidR="00406BA2">
        <w:rPr>
          <w:rFonts w:ascii="Garamond" w:hAnsi="Garamond" w:cs="Times New Roman"/>
          <w:color w:val="000000"/>
          <w:sz w:val="24"/>
          <w:szCs w:val="24"/>
        </w:rPr>
        <w:t xml:space="preserve"> </w:t>
      </w:r>
      <w:r w:rsidRPr="00801669">
        <w:rPr>
          <w:rFonts w:ascii="Garamond" w:hAnsi="Garamond" w:cs="Times New Roman"/>
          <w:color w:val="000000"/>
          <w:sz w:val="24"/>
          <w:szCs w:val="24"/>
        </w:rPr>
        <w:t>të cilat për shkak të parashikimeve të nenit 117</w:t>
      </w:r>
      <w:r w:rsidR="00406BA2">
        <w:rPr>
          <w:rFonts w:ascii="Garamond" w:hAnsi="Garamond" w:cs="Times New Roman"/>
          <w:color w:val="000000"/>
          <w:sz w:val="24"/>
          <w:szCs w:val="24"/>
        </w:rPr>
        <w:t>,</w:t>
      </w:r>
      <w:r w:rsidRPr="00801669">
        <w:rPr>
          <w:rFonts w:ascii="Garamond" w:hAnsi="Garamond" w:cs="Times New Roman"/>
          <w:color w:val="000000"/>
          <w:sz w:val="24"/>
          <w:szCs w:val="24"/>
        </w:rPr>
        <w:t xml:space="preserve"> të ligjit  nr. 96/2016</w:t>
      </w:r>
      <w:r w:rsidR="00406BA2">
        <w:rPr>
          <w:rFonts w:ascii="Garamond" w:hAnsi="Garamond" w:cs="Times New Roman"/>
          <w:color w:val="000000"/>
          <w:sz w:val="24"/>
          <w:szCs w:val="24"/>
        </w:rPr>
        <w:t>,</w:t>
      </w:r>
      <w:r w:rsidRPr="00801669">
        <w:rPr>
          <w:rFonts w:ascii="Garamond" w:hAnsi="Garamond" w:cs="Times New Roman"/>
          <w:color w:val="000000"/>
          <w:sz w:val="24"/>
          <w:szCs w:val="24"/>
        </w:rPr>
        <w:t xml:space="preserve"> “Për statusin e gjyqtarëve dhe prokurorëve në Republikën e Shqipërisë”</w:t>
      </w:r>
      <w:r w:rsidR="00406BA2">
        <w:rPr>
          <w:rFonts w:ascii="Garamond" w:hAnsi="Garamond" w:cs="Times New Roman"/>
          <w:color w:val="000000"/>
          <w:sz w:val="24"/>
          <w:szCs w:val="24"/>
        </w:rPr>
        <w:t>,</w:t>
      </w:r>
      <w:r w:rsidRPr="00801669">
        <w:rPr>
          <w:rFonts w:ascii="Garamond" w:hAnsi="Garamond" w:cs="Times New Roman"/>
          <w:color w:val="000000"/>
          <w:sz w:val="24"/>
          <w:szCs w:val="24"/>
        </w:rPr>
        <w:t xml:space="preserve"> mund të parashkruhen, duke shmangur kështu arkivimin e tyre pa bërë të mundur verifikimin dhe hetimin nga institucioni.</w:t>
      </w:r>
    </w:p>
    <w:p w14:paraId="097B9B43"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 xml:space="preserve">7. Ndjekjen me prioritet të ankesave ndaj magjistratëve në proces </w:t>
      </w:r>
      <w:proofErr w:type="spellStart"/>
      <w:r w:rsidRPr="00801669">
        <w:rPr>
          <w:rFonts w:ascii="Garamond" w:hAnsi="Garamond" w:cs="Times New Roman"/>
          <w:color w:val="000000"/>
          <w:sz w:val="24"/>
          <w:szCs w:val="24"/>
        </w:rPr>
        <w:t>vetingu</w:t>
      </w:r>
      <w:proofErr w:type="spellEnd"/>
      <w:r w:rsidRPr="00801669">
        <w:rPr>
          <w:rFonts w:ascii="Garamond" w:hAnsi="Garamond" w:cs="Times New Roman"/>
          <w:color w:val="000000"/>
          <w:sz w:val="24"/>
          <w:szCs w:val="24"/>
        </w:rPr>
        <w:t xml:space="preserve"> në funksion të përgjegjshmërisë dhe llogaridhënies së tyre.</w:t>
      </w:r>
    </w:p>
    <w:p w14:paraId="6600150E" w14:textId="63A29722"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 xml:space="preserve">8. Trajtimin me prioritet të </w:t>
      </w:r>
      <w:proofErr w:type="spellStart"/>
      <w:r w:rsidRPr="00801669">
        <w:rPr>
          <w:rFonts w:ascii="Garamond" w:hAnsi="Garamond" w:cs="Times New Roman"/>
          <w:color w:val="000000"/>
          <w:sz w:val="24"/>
          <w:szCs w:val="24"/>
        </w:rPr>
        <w:t>të</w:t>
      </w:r>
      <w:proofErr w:type="spellEnd"/>
      <w:r w:rsidRPr="00801669">
        <w:rPr>
          <w:rFonts w:ascii="Garamond" w:hAnsi="Garamond" w:cs="Times New Roman"/>
          <w:color w:val="000000"/>
          <w:sz w:val="24"/>
          <w:szCs w:val="24"/>
        </w:rPr>
        <w:t xml:space="preserve"> gjitha rasteve të konfliktit të interesit</w:t>
      </w:r>
      <w:r w:rsidR="00406BA2">
        <w:rPr>
          <w:rFonts w:ascii="Garamond" w:hAnsi="Garamond" w:cs="Times New Roman"/>
          <w:color w:val="000000"/>
          <w:sz w:val="24"/>
          <w:szCs w:val="24"/>
        </w:rPr>
        <w:t>,</w:t>
      </w:r>
      <w:r w:rsidRPr="00801669">
        <w:rPr>
          <w:rFonts w:ascii="Garamond" w:hAnsi="Garamond" w:cs="Times New Roman"/>
          <w:color w:val="000000"/>
          <w:sz w:val="24"/>
          <w:szCs w:val="24"/>
        </w:rPr>
        <w:t xml:space="preserve"> që mund të ndeshen gjatë aktivitetit të organeve të qeverisjes së sistemit të drejtësisë. </w:t>
      </w:r>
    </w:p>
    <w:p w14:paraId="2C34B160"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9. Rishikimin e objektivave të punës dhe hartimin e një plani të ri strategjik, të shtrirë në kohë dhe sipas një metodologjie të bashkërenduar për të shërbyer si një bazë për planifikim të përgjithshëm dhe për menaxhimin e performancës.</w:t>
      </w:r>
    </w:p>
    <w:p w14:paraId="7C8569F1"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10.</w:t>
      </w:r>
      <w:r w:rsidRPr="00801669">
        <w:rPr>
          <w:rFonts w:ascii="Garamond" w:hAnsi="Garamond" w:cs="Times New Roman"/>
          <w:color w:val="000000"/>
          <w:sz w:val="24"/>
          <w:szCs w:val="24"/>
        </w:rPr>
        <w:tab/>
        <w:t>Angazhimin në kryerjen e kontrollit të brendshëm në mënyrë periodike, kryesisht në llogaridhënien e inspektorëve.</w:t>
      </w:r>
    </w:p>
    <w:p w14:paraId="253E39FD" w14:textId="77777777"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11.</w:t>
      </w:r>
      <w:r w:rsidRPr="00801669">
        <w:rPr>
          <w:rFonts w:ascii="Garamond" w:hAnsi="Garamond" w:cs="Times New Roman"/>
          <w:color w:val="000000"/>
          <w:sz w:val="24"/>
          <w:szCs w:val="24"/>
        </w:rPr>
        <w:tab/>
        <w:t>Vijimin dhe rritjen e transparencës ndaj publikut nëpërmjet përdorimit të kanaleve të ndryshme të komunikimit publik.</w:t>
      </w:r>
    </w:p>
    <w:p w14:paraId="67B8985D" w14:textId="76E8EBDC" w:rsidR="00801669" w:rsidRPr="00801669" w:rsidRDefault="00801669" w:rsidP="00801669">
      <w:pPr>
        <w:autoSpaceDE w:val="0"/>
        <w:autoSpaceDN w:val="0"/>
        <w:adjustRightInd w:val="0"/>
        <w:spacing w:after="0" w:line="240" w:lineRule="auto"/>
        <w:ind w:firstLine="284"/>
        <w:jc w:val="both"/>
        <w:rPr>
          <w:rFonts w:ascii="Garamond" w:hAnsi="Garamond" w:cs="Times New Roman"/>
          <w:color w:val="000000"/>
          <w:sz w:val="24"/>
          <w:szCs w:val="24"/>
        </w:rPr>
      </w:pPr>
      <w:r w:rsidRPr="00801669">
        <w:rPr>
          <w:rFonts w:ascii="Garamond" w:hAnsi="Garamond" w:cs="Times New Roman"/>
          <w:color w:val="000000"/>
          <w:sz w:val="24"/>
          <w:szCs w:val="24"/>
        </w:rPr>
        <w:t>Miratuar në datën 14.7.2022</w:t>
      </w:r>
      <w:r w:rsidR="00E167F2">
        <w:rPr>
          <w:rFonts w:ascii="Garamond" w:hAnsi="Garamond" w:cs="Times New Roman"/>
          <w:color w:val="000000"/>
          <w:sz w:val="24"/>
          <w:szCs w:val="24"/>
        </w:rPr>
        <w:t>.</w:t>
      </w:r>
    </w:p>
    <w:p w14:paraId="56B19212" w14:textId="77777777" w:rsidR="00BE5ABA" w:rsidRDefault="00BE5ABA" w:rsidP="00BE5ABA">
      <w:pPr>
        <w:autoSpaceDE w:val="0"/>
        <w:autoSpaceDN w:val="0"/>
        <w:adjustRightInd w:val="0"/>
        <w:spacing w:after="0" w:line="240" w:lineRule="auto"/>
        <w:ind w:firstLine="284"/>
        <w:jc w:val="right"/>
        <w:rPr>
          <w:rFonts w:ascii="Garamond" w:hAnsi="Garamond" w:cs="Times New Roman"/>
          <w:color w:val="000000"/>
          <w:sz w:val="24"/>
          <w:szCs w:val="24"/>
        </w:rPr>
      </w:pPr>
    </w:p>
    <w:p w14:paraId="1DC61BFF" w14:textId="77777777" w:rsidR="00BE5ABA" w:rsidRDefault="00BE5ABA" w:rsidP="00BE5ABA">
      <w:pPr>
        <w:autoSpaceDE w:val="0"/>
        <w:autoSpaceDN w:val="0"/>
        <w:adjustRightInd w:val="0"/>
        <w:spacing w:after="0" w:line="240" w:lineRule="auto"/>
        <w:ind w:firstLine="284"/>
        <w:jc w:val="right"/>
        <w:rPr>
          <w:rFonts w:ascii="Garamond" w:hAnsi="Garamond" w:cs="Times New Roman"/>
          <w:color w:val="000000"/>
          <w:sz w:val="24"/>
          <w:szCs w:val="24"/>
        </w:rPr>
      </w:pPr>
      <w:bookmarkStart w:id="0" w:name="_GoBack"/>
      <w:bookmarkEnd w:id="0"/>
      <w:r>
        <w:rPr>
          <w:rFonts w:ascii="Garamond" w:hAnsi="Garamond" w:cs="Times New Roman"/>
          <w:color w:val="000000"/>
          <w:sz w:val="24"/>
          <w:szCs w:val="24"/>
        </w:rPr>
        <w:t>KRYETARE</w:t>
      </w:r>
    </w:p>
    <w:p w14:paraId="542CD343" w14:textId="77777777" w:rsidR="00BE5ABA" w:rsidRPr="00DE585F" w:rsidRDefault="00BE5ABA" w:rsidP="00BE5ABA">
      <w:pPr>
        <w:autoSpaceDE w:val="0"/>
        <w:autoSpaceDN w:val="0"/>
        <w:adjustRightInd w:val="0"/>
        <w:spacing w:after="0" w:line="240" w:lineRule="auto"/>
        <w:ind w:firstLine="284"/>
        <w:jc w:val="right"/>
        <w:rPr>
          <w:rFonts w:ascii="Garamond" w:hAnsi="Garamond"/>
          <w:b/>
          <w:bCs/>
          <w:sz w:val="24"/>
          <w:szCs w:val="24"/>
        </w:rPr>
      </w:pPr>
      <w:r w:rsidRPr="00DE585F">
        <w:rPr>
          <w:rFonts w:ascii="Garamond" w:hAnsi="Garamond" w:cs="Times New Roman"/>
          <w:b/>
          <w:bCs/>
          <w:color w:val="000000"/>
          <w:sz w:val="24"/>
          <w:szCs w:val="24"/>
        </w:rPr>
        <w:t xml:space="preserve">Lindita </w:t>
      </w:r>
      <w:proofErr w:type="spellStart"/>
      <w:r w:rsidRPr="00DE585F">
        <w:rPr>
          <w:rFonts w:ascii="Garamond" w:hAnsi="Garamond" w:cs="Times New Roman"/>
          <w:b/>
          <w:bCs/>
          <w:color w:val="000000"/>
          <w:sz w:val="24"/>
          <w:szCs w:val="24"/>
        </w:rPr>
        <w:t>Nikolla</w:t>
      </w:r>
      <w:proofErr w:type="spellEnd"/>
    </w:p>
    <w:p w14:paraId="3E9909DF" w14:textId="77777777" w:rsidR="0079748A" w:rsidRPr="00801669" w:rsidRDefault="0079748A" w:rsidP="00801669">
      <w:pPr>
        <w:spacing w:after="0" w:line="240" w:lineRule="auto"/>
        <w:ind w:firstLine="284"/>
        <w:rPr>
          <w:rFonts w:ascii="Garamond" w:hAnsi="Garamond"/>
          <w:sz w:val="24"/>
          <w:szCs w:val="24"/>
        </w:rPr>
      </w:pPr>
    </w:p>
    <w:sectPr w:rsidR="0079748A" w:rsidRPr="00801669" w:rsidSect="00E7684C">
      <w:footerReference w:type="default" r:id="rId11"/>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C5C1E8" w14:textId="77777777" w:rsidR="00E167F2" w:rsidRDefault="00E167F2" w:rsidP="00C86383">
      <w:pPr>
        <w:spacing w:after="0" w:line="240" w:lineRule="auto"/>
      </w:pPr>
      <w:r>
        <w:separator/>
      </w:r>
    </w:p>
  </w:endnote>
  <w:endnote w:type="continuationSeparator" w:id="0">
    <w:p w14:paraId="642ECA75" w14:textId="77777777" w:rsidR="00E167F2" w:rsidRDefault="00E167F2" w:rsidP="00C86383">
      <w:pPr>
        <w:spacing w:after="0" w:line="240" w:lineRule="auto"/>
      </w:pPr>
      <w:r>
        <w:continuationSeparator/>
      </w:r>
    </w:p>
  </w:endnote>
  <w:endnote w:type="continuationNotice" w:id="1">
    <w:p w14:paraId="05319B54" w14:textId="77777777" w:rsidR="00C97544" w:rsidRDefault="00C975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8455A" w14:textId="26A1F505" w:rsidR="00E167F2" w:rsidRPr="00E7684C" w:rsidRDefault="00E167F2">
    <w:pPr>
      <w:pStyle w:val="Footer"/>
      <w:jc w:val="center"/>
      <w:rPr>
        <w:rFonts w:ascii="Times New Roman" w:hAnsi="Times New Roman" w:cs="Times New Roman"/>
        <w:sz w:val="24"/>
        <w:szCs w:val="24"/>
      </w:rPr>
    </w:pPr>
  </w:p>
  <w:p w14:paraId="07261E55" w14:textId="77777777" w:rsidR="00E167F2" w:rsidRDefault="00E167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15CAEE" w14:textId="77777777" w:rsidR="00E167F2" w:rsidRDefault="00E167F2" w:rsidP="00C86383">
      <w:pPr>
        <w:spacing w:after="0" w:line="240" w:lineRule="auto"/>
      </w:pPr>
      <w:r>
        <w:separator/>
      </w:r>
    </w:p>
  </w:footnote>
  <w:footnote w:type="continuationSeparator" w:id="0">
    <w:p w14:paraId="105FC035" w14:textId="77777777" w:rsidR="00E167F2" w:rsidRDefault="00E167F2" w:rsidP="00C86383">
      <w:pPr>
        <w:spacing w:after="0" w:line="240" w:lineRule="auto"/>
      </w:pPr>
      <w:r>
        <w:continuationSeparator/>
      </w:r>
    </w:p>
  </w:footnote>
  <w:footnote w:type="continuationNotice" w:id="1">
    <w:p w14:paraId="2E5C91EA" w14:textId="77777777" w:rsidR="00C97544" w:rsidRDefault="00C97544">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27FF"/>
    <w:rsid w:val="00176BBD"/>
    <w:rsid w:val="0018119B"/>
    <w:rsid w:val="00181B37"/>
    <w:rsid w:val="00184409"/>
    <w:rsid w:val="001858C3"/>
    <w:rsid w:val="00191634"/>
    <w:rsid w:val="001A79AF"/>
    <w:rsid w:val="001B134B"/>
    <w:rsid w:val="001B6D41"/>
    <w:rsid w:val="001B7CF3"/>
    <w:rsid w:val="001C1147"/>
    <w:rsid w:val="001E2085"/>
    <w:rsid w:val="001E3542"/>
    <w:rsid w:val="001F108A"/>
    <w:rsid w:val="001F4CD5"/>
    <w:rsid w:val="00202011"/>
    <w:rsid w:val="0020553B"/>
    <w:rsid w:val="002063FE"/>
    <w:rsid w:val="002129CF"/>
    <w:rsid w:val="00212AB7"/>
    <w:rsid w:val="00215C02"/>
    <w:rsid w:val="002176D7"/>
    <w:rsid w:val="00223BB0"/>
    <w:rsid w:val="0022618D"/>
    <w:rsid w:val="002359AF"/>
    <w:rsid w:val="00237CB2"/>
    <w:rsid w:val="00240E91"/>
    <w:rsid w:val="00244B19"/>
    <w:rsid w:val="00262C8A"/>
    <w:rsid w:val="00266214"/>
    <w:rsid w:val="00283031"/>
    <w:rsid w:val="00286E87"/>
    <w:rsid w:val="0029415F"/>
    <w:rsid w:val="002A1841"/>
    <w:rsid w:val="002A4484"/>
    <w:rsid w:val="002B2319"/>
    <w:rsid w:val="002B2A2B"/>
    <w:rsid w:val="002B42ED"/>
    <w:rsid w:val="002B6674"/>
    <w:rsid w:val="002C0BF7"/>
    <w:rsid w:val="002D28BD"/>
    <w:rsid w:val="002D47BF"/>
    <w:rsid w:val="002D6F17"/>
    <w:rsid w:val="002E049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D23B3"/>
    <w:rsid w:val="003E08F3"/>
    <w:rsid w:val="003E193B"/>
    <w:rsid w:val="003E334D"/>
    <w:rsid w:val="003E39E2"/>
    <w:rsid w:val="003E3F68"/>
    <w:rsid w:val="003F623E"/>
    <w:rsid w:val="003F66F6"/>
    <w:rsid w:val="004029FA"/>
    <w:rsid w:val="00402A6A"/>
    <w:rsid w:val="00406BA2"/>
    <w:rsid w:val="00413F4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5F66"/>
    <w:rsid w:val="00556003"/>
    <w:rsid w:val="00566A66"/>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6462F"/>
    <w:rsid w:val="00664CC2"/>
    <w:rsid w:val="00666637"/>
    <w:rsid w:val="006672E6"/>
    <w:rsid w:val="0067489C"/>
    <w:rsid w:val="0067607A"/>
    <w:rsid w:val="00680190"/>
    <w:rsid w:val="00686471"/>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57B31"/>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6000"/>
    <w:rsid w:val="007A744F"/>
    <w:rsid w:val="007B6844"/>
    <w:rsid w:val="007C05DC"/>
    <w:rsid w:val="007C0DC8"/>
    <w:rsid w:val="007C1E4A"/>
    <w:rsid w:val="007C6F84"/>
    <w:rsid w:val="007F04D3"/>
    <w:rsid w:val="007F16F8"/>
    <w:rsid w:val="007F2061"/>
    <w:rsid w:val="007F43C4"/>
    <w:rsid w:val="007F750C"/>
    <w:rsid w:val="008010B2"/>
    <w:rsid w:val="00801669"/>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9DA"/>
    <w:rsid w:val="00A07E25"/>
    <w:rsid w:val="00A14187"/>
    <w:rsid w:val="00A14640"/>
    <w:rsid w:val="00A14720"/>
    <w:rsid w:val="00A16B59"/>
    <w:rsid w:val="00A215AB"/>
    <w:rsid w:val="00A22178"/>
    <w:rsid w:val="00A241B8"/>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7E4"/>
    <w:rsid w:val="00B22C15"/>
    <w:rsid w:val="00B242A8"/>
    <w:rsid w:val="00B35261"/>
    <w:rsid w:val="00B41476"/>
    <w:rsid w:val="00B53DAC"/>
    <w:rsid w:val="00B542F0"/>
    <w:rsid w:val="00B65D03"/>
    <w:rsid w:val="00B71AED"/>
    <w:rsid w:val="00B750FF"/>
    <w:rsid w:val="00B7731C"/>
    <w:rsid w:val="00B77321"/>
    <w:rsid w:val="00B7748B"/>
    <w:rsid w:val="00B826D3"/>
    <w:rsid w:val="00B85B4C"/>
    <w:rsid w:val="00B91916"/>
    <w:rsid w:val="00BA2D77"/>
    <w:rsid w:val="00BA7E66"/>
    <w:rsid w:val="00BB1D27"/>
    <w:rsid w:val="00BB4C3C"/>
    <w:rsid w:val="00BB5EC4"/>
    <w:rsid w:val="00BC2A76"/>
    <w:rsid w:val="00BD592D"/>
    <w:rsid w:val="00BD5A4B"/>
    <w:rsid w:val="00BE5ABA"/>
    <w:rsid w:val="00BF0A3E"/>
    <w:rsid w:val="00BF1682"/>
    <w:rsid w:val="00BF3D89"/>
    <w:rsid w:val="00C011E1"/>
    <w:rsid w:val="00C01267"/>
    <w:rsid w:val="00C01362"/>
    <w:rsid w:val="00C15B46"/>
    <w:rsid w:val="00C2107A"/>
    <w:rsid w:val="00C22617"/>
    <w:rsid w:val="00C277DC"/>
    <w:rsid w:val="00C310C5"/>
    <w:rsid w:val="00C3396C"/>
    <w:rsid w:val="00C356CF"/>
    <w:rsid w:val="00C42220"/>
    <w:rsid w:val="00C46623"/>
    <w:rsid w:val="00C50843"/>
    <w:rsid w:val="00C569D5"/>
    <w:rsid w:val="00C65542"/>
    <w:rsid w:val="00C829DC"/>
    <w:rsid w:val="00C86383"/>
    <w:rsid w:val="00C9434B"/>
    <w:rsid w:val="00C96F2B"/>
    <w:rsid w:val="00C97544"/>
    <w:rsid w:val="00CA0814"/>
    <w:rsid w:val="00CA0EBE"/>
    <w:rsid w:val="00CA57B6"/>
    <w:rsid w:val="00CC6F24"/>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4DC4"/>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F0BAA"/>
    <w:rsid w:val="00DF1BC6"/>
    <w:rsid w:val="00DF6555"/>
    <w:rsid w:val="00DF6CD2"/>
    <w:rsid w:val="00E02D8F"/>
    <w:rsid w:val="00E042C2"/>
    <w:rsid w:val="00E06BA5"/>
    <w:rsid w:val="00E12C4C"/>
    <w:rsid w:val="00E167F2"/>
    <w:rsid w:val="00E16E23"/>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D4C45"/>
    <w:rsid w:val="00ED5AEE"/>
    <w:rsid w:val="00ED668D"/>
    <w:rsid w:val="00EE1FA6"/>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BD9F51D9-383E-460E-995A-E491526E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2022-07-29T07:00:13Z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2022-07-19T22:00:00Z</Date_x0020_protokolli>
    <Titulli xmlns="0e656187-b300-4fb0-8bf4-3a50f872073c">Për vlerësimin e veprimtarisë së Zyrës së Inspektorit të Lartë të Drejtësisë për vitin 2021</Titulli>
    <Modifikuesi xmlns="0e656187-b300-4fb0-8bf4-3a50f872073c">alma.lisaku</Modifikuesi>
    <Nr_x002e__x0020_prot_x0020_QBZ xmlns="0e656187-b300-4fb0-8bf4-3a50f872073c">1148/3</Nr_x002e__x0020_prot_x0020_QBZ>
    <Data_x0020_e_x0020_Modifikimit xmlns="0e656187-b300-4fb0-8bf4-3a50f872073c">2022-07-29T10:22:34Z</Data_x0020_e_x0020_Modifikimit>
    <Dekretuar xmlns="0e656187-b300-4fb0-8bf4-3a50f872073c">false</Dekretuar>
    <Data xmlns="0e656187-b300-4fb0-8bf4-3a50f872073c">2022-07-13T22:00:00Z</Data>
    <Nr_x002e__x0020_protokolli_x0020_i_x0020_aktit xmlns="0e656187-b300-4fb0-8bf4-3a50f872073c">2572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E91CC311F3743809070D08A922B6B3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3277CB-677A-493C-8FB7-9CF0294F0FBD}">
  <ds:schemaRefs>
    <ds:schemaRef ds:uri="http://purl.org/dc/terms/"/>
    <ds:schemaRef ds:uri="http://schemas.microsoft.com/office/2006/documentManagement/types"/>
    <ds:schemaRef ds:uri="0e656187-b300-4fb0-8bf4-3a50f872073c"/>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F86B4C0-D17D-42C0-958C-C7BC47ED09D9}">
  <ds:schemaRefs>
    <ds:schemaRef ds:uri="http://schemas.microsoft.com/sharepoint/v3/contenttype/forms"/>
  </ds:schemaRefs>
</ds:datastoreItem>
</file>

<file path=customXml/itemProps3.xml><?xml version="1.0" encoding="utf-8"?>
<ds:datastoreItem xmlns:ds="http://schemas.openxmlformats.org/officeDocument/2006/customXml" ds:itemID="{E89608BD-2ADB-4DA3-BAE7-23C5F9CB7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EEA611-6C2A-41F5-85C4-FEFF843B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Zyrës së Inspektorit të Lartë të Drejtësisë për vitin 2021</dc:title>
  <dc:creator>user</dc:creator>
  <cp:lastModifiedBy>Alma Lisaku</cp:lastModifiedBy>
  <cp:revision>68</cp:revision>
  <cp:lastPrinted>2022-07-19T07:09:00Z</cp:lastPrinted>
  <dcterms:created xsi:type="dcterms:W3CDTF">2019-04-04T07:08:00Z</dcterms:created>
  <dcterms:modified xsi:type="dcterms:W3CDTF">2022-07-29T10:28:00Z</dcterms:modified>
</cp:coreProperties>
</file>