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7AB3E9" w14:textId="77777777" w:rsidR="00117A5D" w:rsidRPr="00117A5D" w:rsidRDefault="00117A5D" w:rsidP="00117A5D">
      <w:pPr>
        <w:autoSpaceDE w:val="0"/>
        <w:autoSpaceDN w:val="0"/>
        <w:adjustRightInd w:val="0"/>
        <w:spacing w:after="0" w:line="240" w:lineRule="auto"/>
        <w:ind w:firstLine="284"/>
        <w:jc w:val="center"/>
        <w:rPr>
          <w:rFonts w:ascii="Garamond" w:hAnsi="Garamond" w:cs="Times New Roman"/>
          <w:b/>
          <w:bCs/>
          <w:color w:val="000000"/>
          <w:sz w:val="24"/>
          <w:szCs w:val="24"/>
        </w:rPr>
      </w:pPr>
      <w:r w:rsidRPr="00117A5D">
        <w:rPr>
          <w:rFonts w:ascii="Garamond" w:hAnsi="Garamond" w:cs="Times New Roman"/>
          <w:b/>
          <w:bCs/>
          <w:color w:val="000000"/>
          <w:sz w:val="24"/>
          <w:szCs w:val="24"/>
        </w:rPr>
        <w:t>REZOLUTË</w:t>
      </w:r>
    </w:p>
    <w:p w14:paraId="3F54B6BB" w14:textId="77777777" w:rsidR="00117A5D" w:rsidRPr="00117A5D" w:rsidRDefault="00117A5D" w:rsidP="00117A5D">
      <w:pPr>
        <w:autoSpaceDE w:val="0"/>
        <w:autoSpaceDN w:val="0"/>
        <w:adjustRightInd w:val="0"/>
        <w:spacing w:after="0" w:line="240" w:lineRule="auto"/>
        <w:ind w:firstLine="284"/>
        <w:jc w:val="center"/>
        <w:rPr>
          <w:rFonts w:ascii="Garamond" w:hAnsi="Garamond" w:cs="Times New Roman"/>
          <w:b/>
          <w:bCs/>
          <w:color w:val="000000"/>
          <w:sz w:val="24"/>
          <w:szCs w:val="24"/>
        </w:rPr>
      </w:pPr>
    </w:p>
    <w:p w14:paraId="2FF2E98B" w14:textId="77777777" w:rsidR="00117A5D" w:rsidRPr="00117A5D" w:rsidRDefault="00117A5D" w:rsidP="00117A5D">
      <w:pPr>
        <w:autoSpaceDE w:val="0"/>
        <w:autoSpaceDN w:val="0"/>
        <w:adjustRightInd w:val="0"/>
        <w:spacing w:after="0" w:line="240" w:lineRule="auto"/>
        <w:ind w:firstLine="284"/>
        <w:jc w:val="center"/>
        <w:rPr>
          <w:rFonts w:ascii="Garamond" w:hAnsi="Garamond" w:cs="Times New Roman"/>
          <w:b/>
          <w:bCs/>
          <w:color w:val="000000"/>
          <w:sz w:val="24"/>
          <w:szCs w:val="24"/>
        </w:rPr>
      </w:pPr>
      <w:r w:rsidRPr="00117A5D">
        <w:rPr>
          <w:rFonts w:ascii="Garamond" w:hAnsi="Garamond" w:cs="Times New Roman"/>
          <w:b/>
          <w:bCs/>
          <w:color w:val="000000"/>
          <w:sz w:val="24"/>
          <w:szCs w:val="24"/>
        </w:rPr>
        <w:t xml:space="preserve">PËR VLERËSIMIN E VEPRIMTARISË SË KËSHILLIT TË LARTË </w:t>
      </w:r>
    </w:p>
    <w:p w14:paraId="14F64986" w14:textId="77777777" w:rsidR="00117A5D" w:rsidRPr="00117A5D" w:rsidRDefault="00117A5D" w:rsidP="00117A5D">
      <w:pPr>
        <w:autoSpaceDE w:val="0"/>
        <w:autoSpaceDN w:val="0"/>
        <w:adjustRightInd w:val="0"/>
        <w:spacing w:after="0" w:line="240" w:lineRule="auto"/>
        <w:ind w:firstLine="284"/>
        <w:jc w:val="center"/>
        <w:rPr>
          <w:rFonts w:ascii="Garamond" w:hAnsi="Garamond" w:cs="Times New Roman"/>
          <w:b/>
          <w:bCs/>
          <w:color w:val="000000"/>
          <w:sz w:val="24"/>
          <w:szCs w:val="24"/>
        </w:rPr>
      </w:pPr>
      <w:r w:rsidRPr="00117A5D">
        <w:rPr>
          <w:rFonts w:ascii="Garamond" w:hAnsi="Garamond" w:cs="Times New Roman"/>
          <w:b/>
          <w:bCs/>
          <w:color w:val="000000"/>
          <w:sz w:val="24"/>
          <w:szCs w:val="24"/>
        </w:rPr>
        <w:t>TË PROKURORISË PËR VITIN 2021</w:t>
      </w:r>
    </w:p>
    <w:p w14:paraId="13E449B9" w14:textId="2D82F0E3"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p>
    <w:p w14:paraId="37ED01B8" w14:textId="77777777" w:rsidR="00117A5D" w:rsidRPr="00117A5D" w:rsidRDefault="00117A5D" w:rsidP="00117A5D">
      <w:pPr>
        <w:autoSpaceDE w:val="0"/>
        <w:autoSpaceDN w:val="0"/>
        <w:adjustRightInd w:val="0"/>
        <w:spacing w:after="0" w:line="240" w:lineRule="auto"/>
        <w:ind w:firstLine="284"/>
        <w:jc w:val="both"/>
        <w:rPr>
          <w:rFonts w:ascii="Garamond" w:hAnsi="Garamond" w:cs="Times New Roman"/>
          <w:b/>
          <w:bCs/>
          <w:color w:val="000000"/>
          <w:sz w:val="24"/>
          <w:szCs w:val="24"/>
        </w:rPr>
      </w:pPr>
      <w:r w:rsidRPr="00117A5D">
        <w:rPr>
          <w:rFonts w:ascii="Garamond" w:hAnsi="Garamond" w:cs="Times New Roman"/>
          <w:b/>
          <w:bCs/>
          <w:color w:val="000000"/>
          <w:sz w:val="24"/>
          <w:szCs w:val="24"/>
        </w:rPr>
        <w:t>Kuvendi i Shqipërisë,</w:t>
      </w:r>
    </w:p>
    <w:p w14:paraId="18BA06E1" w14:textId="62884C41"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Duke mbajtur parasysh rolin e Këshillit të Lartë të Prokurorisë në garantimin e pavarësisë, llogaridhënies, disiplinës, statusit dhe karrierës së prokurorëve të Republikës së Shqipërisë;</w:t>
      </w:r>
    </w:p>
    <w:p w14:paraId="33A6B769" w14:textId="1A0C2825"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Duke nënvizuar rëndësinë e funksioneve të Këshillit të Lartë të Prokurorisë në emërimin, vlerësimin, ngritjen në detyrë, transferimin dhe vendosjen e masave disiplinore, si dhe pezullimin e</w:t>
      </w:r>
      <w:r w:rsidR="00224F56">
        <w:rPr>
          <w:rFonts w:ascii="Garamond" w:hAnsi="Garamond" w:cs="Times New Roman"/>
          <w:color w:val="000000"/>
          <w:sz w:val="24"/>
          <w:szCs w:val="24"/>
        </w:rPr>
        <w:t xml:space="preserve"> </w:t>
      </w:r>
      <w:r w:rsidRPr="00117A5D">
        <w:rPr>
          <w:rFonts w:ascii="Garamond" w:hAnsi="Garamond" w:cs="Times New Roman"/>
          <w:color w:val="000000"/>
          <w:sz w:val="24"/>
          <w:szCs w:val="24"/>
        </w:rPr>
        <w:t>prokurorëve të të gjitha niveleve;</w:t>
      </w:r>
    </w:p>
    <w:p w14:paraId="1DD71089" w14:textId="77777777"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Duke mbajtur në konsideratë rolin e Këshillit të Lartë të Prokurorisë në mbikëqyrjen e respektimit të standardeve të etikës së prokurorëve dhe të rregullave të sjelljes së prokurorëve;</w:t>
      </w:r>
    </w:p>
    <w:p w14:paraId="5EA225FE" w14:textId="77777777"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Duke nënvizuar rëndësinë e bashkëpunimit të Këshillit të Lartë të Prokurorisë me Shkollën e Magjistraturës për trajnimin vazhdues të prokurorëve dhe emërimin e prokurorëve pas diplomimit në Shkollën e Magjistraturës;</w:t>
      </w:r>
    </w:p>
    <w:p w14:paraId="0D987365" w14:textId="77777777"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 xml:space="preserve">Duke nënvizuar rëndësinë e bashkëpunimit të Këshillit të Lartë të Prokurorisë me Inspektoratin e Lartë të Drejtësisë në vendosjen e masave disiplinore dhe procedimeve të tjera sipas përcaktimeve ligjore në funksion të rritjes së efikasitetit funksional për të dyja institucionet, </w:t>
      </w:r>
    </w:p>
    <w:p w14:paraId="2C8F8F4F" w14:textId="5ED59A92"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Duke mbajtur parasysh rëndësinë e rolit të Këshillit të Lartë të Prokurorisë për vlerësimin etik dhe profesional të prokurorit;</w:t>
      </w:r>
    </w:p>
    <w:p w14:paraId="1A798439" w14:textId="77777777"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 xml:space="preserve">Duke mbajtur parasysh rëndësinë e informimit të publikut dhe Kuvendit për gjendjen e sistemit të prokurorisë; </w:t>
      </w:r>
    </w:p>
    <w:p w14:paraId="42D22CDD" w14:textId="56E2B2E8"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Duke mbajtur në konsideratë nevojat për funksionimin efi</w:t>
      </w:r>
      <w:r w:rsidR="00A040E2">
        <w:rPr>
          <w:rFonts w:ascii="Garamond" w:hAnsi="Garamond" w:cs="Times New Roman"/>
          <w:color w:val="000000"/>
          <w:sz w:val="24"/>
          <w:szCs w:val="24"/>
        </w:rPr>
        <w:t>ci</w:t>
      </w:r>
      <w:r w:rsidRPr="00117A5D">
        <w:rPr>
          <w:rFonts w:ascii="Garamond" w:hAnsi="Garamond" w:cs="Times New Roman"/>
          <w:color w:val="000000"/>
          <w:sz w:val="24"/>
          <w:szCs w:val="24"/>
        </w:rPr>
        <w:t>ent të sistemit të prokurorisë,</w:t>
      </w:r>
    </w:p>
    <w:p w14:paraId="4274488A" w14:textId="77777777" w:rsidR="00117A5D" w:rsidRPr="00117A5D" w:rsidRDefault="00117A5D" w:rsidP="00117A5D">
      <w:pPr>
        <w:autoSpaceDE w:val="0"/>
        <w:autoSpaceDN w:val="0"/>
        <w:adjustRightInd w:val="0"/>
        <w:spacing w:after="0" w:line="240" w:lineRule="auto"/>
        <w:ind w:firstLine="284"/>
        <w:jc w:val="both"/>
        <w:rPr>
          <w:rFonts w:ascii="Garamond" w:hAnsi="Garamond" w:cs="Times New Roman"/>
          <w:b/>
          <w:bCs/>
          <w:color w:val="000000"/>
          <w:sz w:val="24"/>
          <w:szCs w:val="24"/>
        </w:rPr>
      </w:pPr>
      <w:r w:rsidRPr="00117A5D">
        <w:rPr>
          <w:rFonts w:ascii="Garamond" w:hAnsi="Garamond" w:cs="Times New Roman"/>
          <w:b/>
          <w:bCs/>
          <w:color w:val="000000"/>
          <w:sz w:val="24"/>
          <w:szCs w:val="24"/>
        </w:rPr>
        <w:t>Vlerëson:</w:t>
      </w:r>
    </w:p>
    <w:p w14:paraId="2EE474DF" w14:textId="4789AF55"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 xml:space="preserve">Punën e Këshillit të Lartë të Prokurorisë për hartimin dhe miratimin e standardeve të etikës dhe rregullave të sjelljes së prokurorit. </w:t>
      </w:r>
    </w:p>
    <w:p w14:paraId="0D64602A" w14:textId="08183569"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Veprimtarinë e Këshillit për plotësimin e vakumeve të krijuara në sistemin e drejtimit të prokurorive si pasojë e shkarkimit të drejtuesve të prokurorive gjatë procesit të rivlerësimit kalimtar.</w:t>
      </w:r>
    </w:p>
    <w:p w14:paraId="5EC9EADF" w14:textId="23C5B558"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Punën e Këshillit të Lartë të Prokurorisë për rregullimin e disa aspekteve të veprimtarisë së prokurorëve nëpërmjet miratimit të rregulloreve të ndryshme dhe vendimeve përkatëse.</w:t>
      </w:r>
    </w:p>
    <w:p w14:paraId="03444F06" w14:textId="72CAAD49"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Punën e Këshillit të Lartë të Prokurorisë për vlerësimin e aftësive profesionale të subjekteve të rivlerësimit kalimtar dhe rëndësinë e kryerjes së këtij procesi në një kohë sa më të arsyeshme.</w:t>
      </w:r>
    </w:p>
    <w:p w14:paraId="6E983CC5" w14:textId="6466ABD3"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Kontributin e dhënë nga Këshilli i Lartë i Prokurorisë nëpërmjet opinioneve dhe sugjerimeve në procesin e hartimit të legjislacionit dhe/ose përmirësimin e tij.</w:t>
      </w:r>
    </w:p>
    <w:p w14:paraId="43092B0A" w14:textId="77777777" w:rsidR="00117A5D" w:rsidRPr="00117A5D" w:rsidRDefault="00117A5D" w:rsidP="00117A5D">
      <w:pPr>
        <w:autoSpaceDE w:val="0"/>
        <w:autoSpaceDN w:val="0"/>
        <w:adjustRightInd w:val="0"/>
        <w:spacing w:after="0" w:line="240" w:lineRule="auto"/>
        <w:ind w:firstLine="284"/>
        <w:jc w:val="both"/>
        <w:rPr>
          <w:rFonts w:ascii="Garamond" w:hAnsi="Garamond" w:cs="Times New Roman"/>
          <w:b/>
          <w:bCs/>
          <w:color w:val="000000"/>
          <w:sz w:val="24"/>
          <w:szCs w:val="24"/>
        </w:rPr>
      </w:pPr>
      <w:r w:rsidRPr="00117A5D">
        <w:rPr>
          <w:rFonts w:ascii="Garamond" w:hAnsi="Garamond" w:cs="Times New Roman"/>
          <w:b/>
          <w:bCs/>
          <w:color w:val="000000"/>
          <w:sz w:val="24"/>
          <w:szCs w:val="24"/>
        </w:rPr>
        <w:t>Bazuar në analizën e të dhënave të vitit 2021, të referuara në raportin e paraqitur nga Këshilli i Lartë i Prokurorisë, Kuvendi i Shqipërisë konstaton:</w:t>
      </w:r>
    </w:p>
    <w:p w14:paraId="0A0787F4" w14:textId="50FC3A7A"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 xml:space="preserve">Zhvillimin e 39 seancave plenare dhe miratimin e </w:t>
      </w:r>
      <w:r w:rsidR="002E4256">
        <w:rPr>
          <w:rFonts w:ascii="Garamond" w:hAnsi="Garamond" w:cs="Times New Roman"/>
          <w:color w:val="000000"/>
          <w:sz w:val="24"/>
          <w:szCs w:val="24"/>
        </w:rPr>
        <w:t>r</w:t>
      </w:r>
      <w:r w:rsidRPr="00117A5D">
        <w:rPr>
          <w:rFonts w:ascii="Garamond" w:hAnsi="Garamond" w:cs="Times New Roman"/>
          <w:color w:val="000000"/>
          <w:sz w:val="24"/>
          <w:szCs w:val="24"/>
        </w:rPr>
        <w:t>regullores “Për organizimin dhe funksionimin e brendshëm të Këshillit të Lartë të Prokurorisë”.</w:t>
      </w:r>
    </w:p>
    <w:p w14:paraId="5DF762D2" w14:textId="675FB75E"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Miratimin e 25 pozicioneve për prokurorë për t’u pranuar në programin fillestar të trajnimit në Shkollën e Magjistraturës për vitin akademik 2021</w:t>
      </w:r>
      <w:r w:rsidR="002E4256">
        <w:rPr>
          <w:rFonts w:ascii="Garamond" w:hAnsi="Garamond" w:cs="Times New Roman"/>
          <w:color w:val="000000"/>
          <w:sz w:val="24"/>
          <w:szCs w:val="24"/>
        </w:rPr>
        <w:t>–</w:t>
      </w:r>
      <w:r w:rsidRPr="00117A5D">
        <w:rPr>
          <w:rFonts w:ascii="Garamond" w:hAnsi="Garamond" w:cs="Times New Roman"/>
          <w:color w:val="000000"/>
          <w:sz w:val="24"/>
          <w:szCs w:val="24"/>
        </w:rPr>
        <w:t>2022.</w:t>
      </w:r>
    </w:p>
    <w:p w14:paraId="7697018E" w14:textId="6551B34F"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Verifikimin e pasurisë dhe figurës së 23 kandidatëve për t’u pranuar në Programin e Formimit Fillestar të Shkollës së Magjistraturës.</w:t>
      </w:r>
    </w:p>
    <w:p w14:paraId="1A239AAD" w14:textId="0A58C182"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Miratimin e 21 vendimeve të propozuara nga Komisioni i Planifikimit Strategjik, Administrimit dhe Buxhetit, në ushtrim të kompetencave të veta.</w:t>
      </w:r>
    </w:p>
    <w:p w14:paraId="62F19C83" w14:textId="0A04499C"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Përgatitjen dhe miratimin në seancë plenare të 52 raporteve për subjekte magjistratë (prokurorë), që janë vënë në dispozicion të KPK-së dhe ONM-së.</w:t>
      </w:r>
    </w:p>
    <w:p w14:paraId="6A0E3A3C" w14:textId="61888DAF"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Verifikimin e pasurisë dhe figurës, si dhe plotësimit të kushteve dhe procedurave të parashikuara nga ligji për 4 kancelarë në detyrë nga 4 në total.</w:t>
      </w:r>
    </w:p>
    <w:p w14:paraId="3EDCF82C" w14:textId="6F2E47F7"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lastRenderedPageBreak/>
        <w:t>Përfundimin e procesit të verifikimit të pasurisë dhe figurës për 24</w:t>
      </w:r>
      <w:r w:rsidR="00224F56">
        <w:rPr>
          <w:rFonts w:ascii="Garamond" w:hAnsi="Garamond" w:cs="Times New Roman"/>
          <w:color w:val="000000"/>
          <w:sz w:val="24"/>
          <w:szCs w:val="24"/>
        </w:rPr>
        <w:t xml:space="preserve"> </w:t>
      </w:r>
      <w:r w:rsidRPr="00117A5D">
        <w:rPr>
          <w:rFonts w:ascii="Garamond" w:hAnsi="Garamond" w:cs="Times New Roman"/>
          <w:color w:val="000000"/>
          <w:sz w:val="24"/>
          <w:szCs w:val="24"/>
        </w:rPr>
        <w:t>kandidatë për drejtues prokurorish të juridiksionit të përgjithshëm.</w:t>
      </w:r>
    </w:p>
    <w:p w14:paraId="3E298ACC" w14:textId="5C6A9070"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 xml:space="preserve"> Miratimin e 253 vendimeve të propozuara nga Komisioni i Zhvillimit të Karrierës, në ushtrim të kompetencave të veta.</w:t>
      </w:r>
    </w:p>
    <w:p w14:paraId="5ABE93A4" w14:textId="7F33FA51"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Përmbylljen e 3 procedurave disiplinore nga Komisioni Disiplinor të propozuara nga Inspektori i Lartë i Drejtësisë.</w:t>
      </w:r>
    </w:p>
    <w:p w14:paraId="5C32EB1E" w14:textId="300C0F6E"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Përgatitjen e regjistrit disiplinor sipas përcaktimeve të nenit 150</w:t>
      </w:r>
      <w:r w:rsidR="00A040E2">
        <w:rPr>
          <w:rFonts w:ascii="Garamond" w:hAnsi="Garamond" w:cs="Times New Roman"/>
          <w:color w:val="000000"/>
          <w:sz w:val="24"/>
          <w:szCs w:val="24"/>
        </w:rPr>
        <w:t>,</w:t>
      </w:r>
      <w:r w:rsidRPr="00117A5D">
        <w:rPr>
          <w:rFonts w:ascii="Garamond" w:hAnsi="Garamond" w:cs="Times New Roman"/>
          <w:color w:val="000000"/>
          <w:sz w:val="24"/>
          <w:szCs w:val="24"/>
        </w:rPr>
        <w:t xml:space="preserve"> të ligjit nr. 96/2016</w:t>
      </w:r>
      <w:r w:rsidR="00A040E2">
        <w:rPr>
          <w:rFonts w:ascii="Garamond" w:hAnsi="Garamond" w:cs="Times New Roman"/>
          <w:color w:val="000000"/>
          <w:sz w:val="24"/>
          <w:szCs w:val="24"/>
        </w:rPr>
        <w:t>,</w:t>
      </w:r>
      <w:r w:rsidRPr="00117A5D">
        <w:rPr>
          <w:rFonts w:ascii="Garamond" w:hAnsi="Garamond" w:cs="Times New Roman"/>
          <w:color w:val="000000"/>
          <w:sz w:val="24"/>
          <w:szCs w:val="24"/>
        </w:rPr>
        <w:t xml:space="preserve"> “Për statusin e gjyqtarëve dhe prokurorëve në Republikën e Shqipërisë”.</w:t>
      </w:r>
    </w:p>
    <w:p w14:paraId="2872D75C" w14:textId="28A229CE"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Dhënien e kontributit në hartimin dhe dërgimin e kontributit të katërt të raportit të Komisionit E</w:t>
      </w:r>
      <w:r w:rsidR="00A040E2">
        <w:rPr>
          <w:rFonts w:ascii="Garamond" w:hAnsi="Garamond" w:cs="Times New Roman"/>
          <w:color w:val="000000"/>
          <w:sz w:val="24"/>
          <w:szCs w:val="24"/>
        </w:rPr>
        <w:t>v</w:t>
      </w:r>
      <w:r w:rsidRPr="00117A5D">
        <w:rPr>
          <w:rFonts w:ascii="Garamond" w:hAnsi="Garamond" w:cs="Times New Roman"/>
          <w:color w:val="000000"/>
          <w:sz w:val="24"/>
          <w:szCs w:val="24"/>
        </w:rPr>
        <w:t>ropian për Shqipërinë për vitin 2021 në bashkëpunim me Ministrinë e Drejtësisë dhe Ministrinë për E</w:t>
      </w:r>
      <w:r w:rsidR="00A040E2">
        <w:rPr>
          <w:rFonts w:ascii="Garamond" w:hAnsi="Garamond" w:cs="Times New Roman"/>
          <w:color w:val="000000"/>
          <w:sz w:val="24"/>
          <w:szCs w:val="24"/>
        </w:rPr>
        <w:t>v</w:t>
      </w:r>
      <w:r w:rsidRPr="00117A5D">
        <w:rPr>
          <w:rFonts w:ascii="Garamond" w:hAnsi="Garamond" w:cs="Times New Roman"/>
          <w:color w:val="000000"/>
          <w:sz w:val="24"/>
          <w:szCs w:val="24"/>
        </w:rPr>
        <w:t xml:space="preserve">ropën dhe Punët e Jashtme, në cilësinë e përfaqësuesit si pjesë të </w:t>
      </w:r>
      <w:r w:rsidR="00F418A9">
        <w:rPr>
          <w:rFonts w:ascii="Garamond" w:hAnsi="Garamond" w:cs="Times New Roman"/>
          <w:color w:val="000000"/>
          <w:sz w:val="24"/>
          <w:szCs w:val="24"/>
        </w:rPr>
        <w:t>k</w:t>
      </w:r>
      <w:r w:rsidRPr="00117A5D">
        <w:rPr>
          <w:rFonts w:ascii="Garamond" w:hAnsi="Garamond" w:cs="Times New Roman"/>
          <w:color w:val="000000"/>
          <w:sz w:val="24"/>
          <w:szCs w:val="24"/>
        </w:rPr>
        <w:t>apitullit 23 “Gjyqësori dhe të drejtat themelore”.</w:t>
      </w:r>
    </w:p>
    <w:p w14:paraId="58BCA8C1" w14:textId="50F4F59F"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 xml:space="preserve">Raportimin në mënyrë të detajuar për punën e Këshillit në Nënkomitetin e Stabilizim-Asociimit për </w:t>
      </w:r>
      <w:r w:rsidR="002754C6">
        <w:rPr>
          <w:rFonts w:ascii="Garamond" w:hAnsi="Garamond" w:cs="Times New Roman"/>
          <w:color w:val="000000"/>
          <w:sz w:val="24"/>
          <w:szCs w:val="24"/>
        </w:rPr>
        <w:t>k</w:t>
      </w:r>
      <w:r w:rsidRPr="00117A5D">
        <w:rPr>
          <w:rFonts w:ascii="Garamond" w:hAnsi="Garamond" w:cs="Times New Roman"/>
          <w:color w:val="000000"/>
          <w:sz w:val="24"/>
          <w:szCs w:val="24"/>
        </w:rPr>
        <w:t>apitullin 23 mbajtur gjatë vitit 2021.</w:t>
      </w:r>
    </w:p>
    <w:p w14:paraId="58A2E721" w14:textId="2A95F239"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Bashkëpunimin me ministrin e Brendshëm dhe me ministrin e Drejtësisë për miratimin e udhëzimeve të përbashkëta për kushtet, rregullat, procedurat dhe mënyrat e zbatimit të programit të mbrojtjes, kriteret dhe procedurat për ruajtjen, administrimin dhe klasifikimin e informacionit për programin e mbrojtjes, për rregullat dhe procedurat e zbatimit të programit të mbrojtjes së bashkëpunëtorëve të drejtësisë, si dhe për rregullat e hollësishme, për detyrat, përgjegjësitë, format dhe procedurat e bashkërendimit e të informimit ndërmjet institucioneve.</w:t>
      </w:r>
    </w:p>
    <w:p w14:paraId="7C89AFDB" w14:textId="101448F2"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Zhvillimin e mbledhjes së parë të përbashkët me KLGJ-në në datën 29.12.2021, me synim koordinimin më mirë të punës në çështje me interes të përbashkët dhe me ndjeshmëri për publikun dhe medien sipas përcaktimeve të nenit 170</w:t>
      </w:r>
      <w:r w:rsidR="00FB2346">
        <w:rPr>
          <w:rFonts w:ascii="Garamond" w:hAnsi="Garamond" w:cs="Times New Roman"/>
          <w:color w:val="000000"/>
          <w:sz w:val="24"/>
          <w:szCs w:val="24"/>
        </w:rPr>
        <w:t>,</w:t>
      </w:r>
      <w:r w:rsidRPr="00117A5D">
        <w:rPr>
          <w:rFonts w:ascii="Garamond" w:hAnsi="Garamond" w:cs="Times New Roman"/>
          <w:color w:val="000000"/>
          <w:sz w:val="24"/>
          <w:szCs w:val="24"/>
        </w:rPr>
        <w:t xml:space="preserve"> të ligjit nr. 115/2016.</w:t>
      </w:r>
    </w:p>
    <w:p w14:paraId="492C60B7" w14:textId="69738723"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 xml:space="preserve">Nga 11 rekomandime të lëna në rezolutën e vitit paraardhës për Këshillin, rezulton se 7 rekomandime nuk janë përmbushur ose janë përmbushur pjesërisht. </w:t>
      </w:r>
    </w:p>
    <w:p w14:paraId="46872592" w14:textId="37948B98"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Këshilli ka emëruar vetëm 4 prokurorë në Prokurorinë e Posaçme Kundër Korrupsionit dhe Krimit të Organizuar, duke mos përmbushur plotësisht rekomandimin e Kuvendit në rezolutën për vitin 2021 ku theksohet plotësimi i të gjitha vendeve të lira në këtë prokurori.</w:t>
      </w:r>
    </w:p>
    <w:p w14:paraId="49B92AC1" w14:textId="58BC0D8D"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Nuk është përmbushur rekomandimi i Kuvendit për vitin 2021 për miratimin e Rregullores për vlerësimin etik dhe profesional të prokurorëve, sipas përcaktimeve të ligjit nr. 115/2016 “Për organet e qeverisjes së sistemit të drejtësisë” dhe ligjeve të tjera të reformës në drejtësi, akt që është miratuar në vitin 2022, dhe si pasojë Këshilli nuk ka plan vjetor të miratuar për vlerësimin etik e profesional të prokurorëve.</w:t>
      </w:r>
    </w:p>
    <w:p w14:paraId="5FAA0A59" w14:textId="461D9383"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Janë ende pa miratuar disa akte nënligjore të rëndësishme, si: rregullorja “Për komandimin e magjistratit në një institucion tjetër brenda sistemit të drejtësisë”;</w:t>
      </w:r>
      <w:r w:rsidR="00224F56">
        <w:rPr>
          <w:rFonts w:ascii="Garamond" w:hAnsi="Garamond" w:cs="Times New Roman"/>
          <w:color w:val="000000"/>
          <w:sz w:val="24"/>
          <w:szCs w:val="24"/>
        </w:rPr>
        <w:t xml:space="preserve"> </w:t>
      </w:r>
      <w:r w:rsidRPr="00117A5D">
        <w:rPr>
          <w:rFonts w:ascii="Garamond" w:hAnsi="Garamond" w:cs="Times New Roman"/>
          <w:color w:val="000000"/>
          <w:sz w:val="24"/>
          <w:szCs w:val="24"/>
        </w:rPr>
        <w:t>rregullorja “Mbi kriteret dhe procedurat e ngritjes në detyrë të prokurorit në Prokurorinë e Përgjithshme dhe në prokuroritë pranë gjykatave të Apelit të juridiksionit të përgjithshëm”; rregullorja “Për vlerësimin e punës së prokurorëve”; rregullorja “Për mënyrën e caktimit të kompensimit financiar që përfitojnë prokurorët në skemën e delegimit, që delegohen, transferohen përkohësi</w:t>
      </w:r>
      <w:r w:rsidR="00D82F97">
        <w:rPr>
          <w:rFonts w:ascii="Garamond" w:hAnsi="Garamond" w:cs="Times New Roman"/>
          <w:color w:val="000000"/>
          <w:sz w:val="24"/>
          <w:szCs w:val="24"/>
        </w:rPr>
        <w:t xml:space="preserve">sht ose caktohen përkohësisht” </w:t>
      </w:r>
      <w:r w:rsidRPr="00117A5D">
        <w:rPr>
          <w:rFonts w:ascii="Garamond" w:hAnsi="Garamond" w:cs="Times New Roman"/>
          <w:color w:val="000000"/>
          <w:sz w:val="24"/>
          <w:szCs w:val="24"/>
        </w:rPr>
        <w:t>etj.</w:t>
      </w:r>
    </w:p>
    <w:p w14:paraId="195BE92D" w14:textId="3575A0A9"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Rekomandimi i Kuvendit për nxitjen e bashkëpunimit të Këshillit me Prokurorin e Përgjithshëm me qëllim ndjekjen e zbatimit të udhëzimeve me karakter të përgjithshëm nga prokurorët e të gjitha niveleve nuk ka gjetur zbatim gjatë vitit 2021.</w:t>
      </w:r>
    </w:p>
    <w:p w14:paraId="760D2BF3" w14:textId="7CA131CE"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KLP-ja ka adresuar nevojën për disa ndryshime ligjore që i shërbejnë mirëfunksionimit të sistemit të prokurorisë.</w:t>
      </w:r>
    </w:p>
    <w:p w14:paraId="4FF2E4B5" w14:textId="77777777" w:rsidR="00117A5D" w:rsidRPr="00117A5D" w:rsidRDefault="00117A5D" w:rsidP="00117A5D">
      <w:pPr>
        <w:autoSpaceDE w:val="0"/>
        <w:autoSpaceDN w:val="0"/>
        <w:adjustRightInd w:val="0"/>
        <w:spacing w:after="0" w:line="240" w:lineRule="auto"/>
        <w:ind w:firstLine="284"/>
        <w:jc w:val="both"/>
        <w:rPr>
          <w:rFonts w:ascii="Garamond" w:hAnsi="Garamond" w:cs="Times New Roman"/>
          <w:b/>
          <w:bCs/>
          <w:color w:val="000000"/>
          <w:sz w:val="24"/>
          <w:szCs w:val="24"/>
        </w:rPr>
      </w:pPr>
      <w:r w:rsidRPr="00117A5D">
        <w:rPr>
          <w:rFonts w:ascii="Garamond" w:hAnsi="Garamond" w:cs="Times New Roman"/>
          <w:b/>
          <w:bCs/>
          <w:color w:val="000000"/>
          <w:sz w:val="24"/>
          <w:szCs w:val="24"/>
        </w:rPr>
        <w:t>Bazuar sa më sipër, Kuvendi i Shqipërisë nxit Këshillin e Lartë të Prokurorisë:</w:t>
      </w:r>
    </w:p>
    <w:p w14:paraId="1E42F3E4" w14:textId="77777777"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1. Të veprojë me ritme të shpejta për adresimin e zgjidhjeve të problematikave në sistemin e prokurorisë, veçanërisht në reduktimin e emërimeve të përkohshme.</w:t>
      </w:r>
    </w:p>
    <w:p w14:paraId="099327DB" w14:textId="77777777"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 xml:space="preserve">2. Të bëjë të gjitha përpjekjet për zgjidhjen e problematikave apo kapërcimin e sfidave që vijnë nga vakancat e krijuara në sistem në kuadër të parimit të funksionalitetit dhe mirëfunksionimit të sistemit prokurorial. </w:t>
      </w:r>
    </w:p>
    <w:p w14:paraId="6D6CAE9C" w14:textId="77777777"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lastRenderedPageBreak/>
        <w:t>3. Të forcojë bashkëpunimin me organet e qeverisjes së sistemit të drejtësisë dhe institucionet e tjera shtetërore në përputhje me parashikimet ligjore në fuqi për të gjitha proceset që ndikojnë në zbatimin e duhur dhe efektiv të reformës në drejtësi.</w:t>
      </w:r>
    </w:p>
    <w:p w14:paraId="7D737D65" w14:textId="77777777"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4. Të vazhdojë t’i kushtojë rëndësi komunikimit me publikun për veprimtarinë e Këshillit të Lartë të Prokurorisë.</w:t>
      </w:r>
    </w:p>
    <w:p w14:paraId="529E8D17" w14:textId="77777777"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5. Të informojë vazhdimisht Kuvendin e Shqipërisë për problematikat e hasura në sistemin e prokurorisë duke rekomanduar edhe zgjidhjet përkatëse.</w:t>
      </w:r>
    </w:p>
    <w:p w14:paraId="7EDCF2CB" w14:textId="4397CD8C" w:rsidR="00117A5D" w:rsidRPr="00117A5D" w:rsidRDefault="00117A5D" w:rsidP="00117A5D">
      <w:pPr>
        <w:autoSpaceDE w:val="0"/>
        <w:autoSpaceDN w:val="0"/>
        <w:adjustRightInd w:val="0"/>
        <w:spacing w:after="0" w:line="240" w:lineRule="auto"/>
        <w:ind w:firstLine="284"/>
        <w:jc w:val="both"/>
        <w:rPr>
          <w:rFonts w:ascii="Garamond" w:hAnsi="Garamond" w:cs="Times New Roman"/>
          <w:b/>
          <w:bCs/>
          <w:color w:val="000000"/>
          <w:sz w:val="24"/>
          <w:szCs w:val="24"/>
        </w:rPr>
      </w:pPr>
      <w:r w:rsidRPr="00117A5D">
        <w:rPr>
          <w:rFonts w:ascii="Garamond" w:hAnsi="Garamond" w:cs="Times New Roman"/>
          <w:b/>
          <w:bCs/>
          <w:color w:val="000000"/>
          <w:sz w:val="24"/>
          <w:szCs w:val="24"/>
        </w:rPr>
        <w:t>Kuvendi i Shqipërisë për vitin 2022 i rekomandon Këshillit të Lartë të Prokurorisë:</w:t>
      </w:r>
    </w:p>
    <w:p w14:paraId="32876DD6" w14:textId="77777777"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1. Të bashkëpunojë me Prokurorin e Përgjithshëm me qëllim ndjekjen e zbatimit të udhëzimeve me karakter të përgjithshëm nga prokurorët e të gjitha niveleve dhe të angazhohet për rezultate konkrete në këtë drejtim.</w:t>
      </w:r>
    </w:p>
    <w:p w14:paraId="108D89D4" w14:textId="77777777"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2. Të vijojë procedurat për përzgjedhjen e prokurorëve të tjerë të Prokurorisë së Posaçme kundër Korrupsionit dhe Krimit të Organizuar për të bërë të mundur sa më shpejt plotësimin e vendeve të lira në këtë institucion në zbatim të vendimit të Kuvendit nr. 6, datë 28.1.2021.</w:t>
      </w:r>
    </w:p>
    <w:p w14:paraId="20ED50C0" w14:textId="77777777"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 xml:space="preserve">3. Të përmbyllë në një kohë sa më të shkurtër hartimin dhe miratimin e akteve nënligjore sipas përcaktimeve në ligjet e reformës së drejtësisë, si dhe hartimin, miratimin dhe zbatimin e rregullave më të detajuara për formimin fillestar dhe atë vazhdues për nëpunësit e tjerë civilë të prokurorisë. </w:t>
      </w:r>
    </w:p>
    <w:p w14:paraId="4B3F9B35" w14:textId="77777777"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4. Të përgatisë dhe të miratojë programin e përvitshëm për vlerësimin e veprimtarisë etike dhe profesionale të prokurorëve dhe fillimin e procesit të vlerësimit menjëherë. Këshilli të paraqesë një raport të detajuar për zbatimin e këtij rekomandimi brenda muajit shtator 2022.</w:t>
      </w:r>
    </w:p>
    <w:p w14:paraId="623228B4" w14:textId="77777777"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5. Me qëllim përmbushjen e detyrimeve të nenit 170 të ligjit nr. 115/2016 të organizohen takime të përbashkëta mbi baza periodike me Këshillin e Lartë Gjyqësor duke vendosur theksin në unifikimin e interpretimit dhe zbatimit të ligjeve dhe forcimin e bashkëpunimit institucional.</w:t>
      </w:r>
    </w:p>
    <w:p w14:paraId="3950632C" w14:textId="77777777"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6. Në bashkëpunim me Këshillin e Lartë Gjyqësor, të miratohen rregullat e përbashkëta për bashkimin e procedimeve në rastin kur një gjyqtar dhe një prokuror janë përfshirë në të njëjtën shkelje.</w:t>
      </w:r>
    </w:p>
    <w:p w14:paraId="5BF96A65" w14:textId="77777777"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7. Në përmbushje të detyrimeve ligjore dhe specifikimeve të nenit 185 të ligjit nr. 115/2016 “Për organet e qeverisjes së sistemit të drejtësisë”, të mbajë dhe të artikulojë publikisht qëndrimet përkatëse për të garantuar pacenueshmërinë dhe mosndikueshmërinë në ushtrimin e funksioneve ligjore të prokurorëve.</w:t>
      </w:r>
    </w:p>
    <w:p w14:paraId="0A73959D" w14:textId="77777777"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8. Të forcohet bashkëpunimi institucional me Inspektorin e Lartë të Drejtësisë dhe Shkollën e Magjistraturës në kuadër të mirëfunksionimit të sistemit të prokurorisë dhe kapërcimit të sfidave që krijohen nga vendet e lira në sistem.</w:t>
      </w:r>
    </w:p>
    <w:p w14:paraId="0F3F5140" w14:textId="1426DDD9"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9. Të intensifikojë bashkëveprimin me Inspektorin e Lartë të Drejtësisë, me qëllim trajtimin në afate të arsyeshme të procedimeve disiplinore për prokurorët, duke pasur prioritet</w:t>
      </w:r>
      <w:r w:rsidR="00224F56">
        <w:rPr>
          <w:rFonts w:ascii="Garamond" w:hAnsi="Garamond" w:cs="Times New Roman"/>
          <w:color w:val="000000"/>
          <w:sz w:val="24"/>
          <w:szCs w:val="24"/>
        </w:rPr>
        <w:t xml:space="preserve"> </w:t>
      </w:r>
      <w:r w:rsidRPr="00117A5D">
        <w:rPr>
          <w:rFonts w:ascii="Garamond" w:hAnsi="Garamond" w:cs="Times New Roman"/>
          <w:color w:val="000000"/>
          <w:sz w:val="24"/>
          <w:szCs w:val="24"/>
        </w:rPr>
        <w:t>subjektet në proces rivlerësimi.</w:t>
      </w:r>
    </w:p>
    <w:p w14:paraId="0B1CB3FC" w14:textId="4240F956"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10.</w:t>
      </w:r>
      <w:r w:rsidR="00E16D9C">
        <w:rPr>
          <w:rFonts w:ascii="Garamond" w:hAnsi="Garamond" w:cs="Times New Roman"/>
          <w:color w:val="000000"/>
          <w:sz w:val="24"/>
          <w:szCs w:val="24"/>
        </w:rPr>
        <w:t xml:space="preserve"> </w:t>
      </w:r>
      <w:r w:rsidRPr="00117A5D">
        <w:rPr>
          <w:rFonts w:ascii="Garamond" w:hAnsi="Garamond" w:cs="Times New Roman"/>
          <w:color w:val="000000"/>
          <w:sz w:val="24"/>
          <w:szCs w:val="24"/>
        </w:rPr>
        <w:t>Të ndjekë dhe të konsiderojë me përparësi angazhimet, detyrimet ligjore dhe funksionale që burojnë nga procesi i zbatimit të hartës gjyqësore.</w:t>
      </w:r>
    </w:p>
    <w:p w14:paraId="673172B5" w14:textId="51AA34ED"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11.</w:t>
      </w:r>
      <w:r w:rsidR="00E16D9C">
        <w:rPr>
          <w:rFonts w:ascii="Garamond" w:hAnsi="Garamond" w:cs="Times New Roman"/>
          <w:color w:val="000000"/>
          <w:sz w:val="24"/>
          <w:szCs w:val="24"/>
        </w:rPr>
        <w:t xml:space="preserve"> </w:t>
      </w:r>
      <w:r w:rsidRPr="00117A5D">
        <w:rPr>
          <w:rFonts w:ascii="Garamond" w:hAnsi="Garamond" w:cs="Times New Roman"/>
          <w:color w:val="000000"/>
          <w:sz w:val="24"/>
          <w:szCs w:val="24"/>
        </w:rPr>
        <w:t>Me qëllim rritjen e mëtejshëm të transparencës së Këshillit, të publikohen në kohë vendimet dhe procesverbalet e mbledhjeve plenare dhe Komisioneve të Përhershme sipas përcaktimeve të neneve 167 dhe 168 të ligjit nr.115/2016 “Për organet e qeverisjes së sistemit të drejtësisë” i ndryshuar, si dhe të përpunohet informacioni ndaj publikut në mënyrë sa më të unifikuar dhe të kuptueshme në faqen zyrtare të institucionit.</w:t>
      </w:r>
    </w:p>
    <w:p w14:paraId="6F0A7161" w14:textId="09BD5C64"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12.</w:t>
      </w:r>
      <w:r w:rsidR="00E16D9C">
        <w:rPr>
          <w:rFonts w:ascii="Garamond" w:hAnsi="Garamond" w:cs="Times New Roman"/>
          <w:color w:val="000000"/>
          <w:sz w:val="24"/>
          <w:szCs w:val="24"/>
        </w:rPr>
        <w:t xml:space="preserve"> </w:t>
      </w:r>
      <w:r w:rsidRPr="00117A5D">
        <w:rPr>
          <w:rFonts w:ascii="Garamond" w:hAnsi="Garamond" w:cs="Times New Roman"/>
          <w:color w:val="000000"/>
          <w:sz w:val="24"/>
          <w:szCs w:val="24"/>
        </w:rPr>
        <w:t>Të plotësojë pa vonesa rekomandimet për Këshillin në progresraportin e Bashkimit Europian të vitit 2021, si dhe detyrimet e tjera që rrjedhin nga procesi i integrimit me Bashkimin Europian të Shqipërisë.</w:t>
      </w:r>
    </w:p>
    <w:p w14:paraId="7EAC7817" w14:textId="408E1835" w:rsidR="00117A5D" w:rsidRPr="00117A5D" w:rsidRDefault="00117A5D" w:rsidP="00117A5D">
      <w:pPr>
        <w:autoSpaceDE w:val="0"/>
        <w:autoSpaceDN w:val="0"/>
        <w:adjustRightInd w:val="0"/>
        <w:spacing w:after="0" w:line="240" w:lineRule="auto"/>
        <w:ind w:firstLine="284"/>
        <w:jc w:val="both"/>
        <w:rPr>
          <w:rFonts w:ascii="Garamond" w:hAnsi="Garamond" w:cs="Times New Roman"/>
          <w:color w:val="000000"/>
          <w:sz w:val="24"/>
          <w:szCs w:val="24"/>
        </w:rPr>
      </w:pPr>
      <w:r w:rsidRPr="00117A5D">
        <w:rPr>
          <w:rFonts w:ascii="Garamond" w:hAnsi="Garamond" w:cs="Times New Roman"/>
          <w:color w:val="000000"/>
          <w:sz w:val="24"/>
          <w:szCs w:val="24"/>
        </w:rPr>
        <w:t>13.</w:t>
      </w:r>
      <w:r w:rsidR="00E16D9C">
        <w:rPr>
          <w:rFonts w:ascii="Garamond" w:hAnsi="Garamond" w:cs="Times New Roman"/>
          <w:color w:val="000000"/>
          <w:sz w:val="24"/>
          <w:szCs w:val="24"/>
        </w:rPr>
        <w:t xml:space="preserve"> </w:t>
      </w:r>
      <w:r w:rsidRPr="00117A5D">
        <w:rPr>
          <w:rFonts w:ascii="Garamond" w:hAnsi="Garamond" w:cs="Times New Roman"/>
          <w:color w:val="000000"/>
          <w:sz w:val="24"/>
          <w:szCs w:val="24"/>
        </w:rPr>
        <w:t>Të vijojë dhënien e opinioneve dhe vlerësimeve për përmirësimet ligjore në përputhje me përcaktimet e nenit 187 të ligjit nr. 115/2016 “Për organet e qeverisjes së sistemit të drejtësisë”.</w:t>
      </w:r>
    </w:p>
    <w:p w14:paraId="264385B8" w14:textId="77777777" w:rsidR="00E16D9C" w:rsidRDefault="00E16D9C" w:rsidP="00117A5D">
      <w:pPr>
        <w:autoSpaceDE w:val="0"/>
        <w:autoSpaceDN w:val="0"/>
        <w:adjustRightInd w:val="0"/>
        <w:spacing w:after="0" w:line="240" w:lineRule="auto"/>
        <w:ind w:firstLine="284"/>
        <w:jc w:val="both"/>
        <w:rPr>
          <w:rFonts w:ascii="Garamond" w:hAnsi="Garamond" w:cs="Times New Roman"/>
          <w:color w:val="000000"/>
          <w:sz w:val="24"/>
          <w:szCs w:val="24"/>
        </w:rPr>
      </w:pPr>
    </w:p>
    <w:p w14:paraId="150C4557" w14:textId="23C4A464" w:rsidR="00117A5D" w:rsidRDefault="008861BA" w:rsidP="008861BA">
      <w:pPr>
        <w:autoSpaceDE w:val="0"/>
        <w:autoSpaceDN w:val="0"/>
        <w:adjustRightInd w:val="0"/>
        <w:spacing w:after="0" w:line="240" w:lineRule="auto"/>
        <w:jc w:val="both"/>
        <w:rPr>
          <w:rFonts w:ascii="Garamond" w:hAnsi="Garamond" w:cs="Times New Roman"/>
          <w:color w:val="000000"/>
          <w:sz w:val="24"/>
          <w:szCs w:val="24"/>
        </w:rPr>
      </w:pPr>
      <w:r>
        <w:rPr>
          <w:rFonts w:ascii="Garamond" w:hAnsi="Garamond" w:cs="Times New Roman"/>
          <w:color w:val="000000"/>
          <w:sz w:val="24"/>
          <w:szCs w:val="24"/>
        </w:rPr>
        <w:t xml:space="preserve"> </w:t>
      </w:r>
      <w:bookmarkStart w:id="0" w:name="_GoBack"/>
      <w:bookmarkEnd w:id="0"/>
      <w:r w:rsidR="00117A5D" w:rsidRPr="00117A5D">
        <w:rPr>
          <w:rFonts w:ascii="Garamond" w:hAnsi="Garamond" w:cs="Times New Roman"/>
          <w:color w:val="000000"/>
          <w:sz w:val="24"/>
          <w:szCs w:val="24"/>
        </w:rPr>
        <w:t>Miratuar në datën 14.7.2022</w:t>
      </w:r>
      <w:r>
        <w:rPr>
          <w:rFonts w:ascii="Garamond" w:hAnsi="Garamond" w:cs="Times New Roman"/>
          <w:color w:val="000000"/>
          <w:sz w:val="24"/>
          <w:szCs w:val="24"/>
        </w:rPr>
        <w:t>.</w:t>
      </w:r>
    </w:p>
    <w:p w14:paraId="076D9CDE" w14:textId="1327ACE5" w:rsidR="00E16D9C" w:rsidRDefault="00E16D9C" w:rsidP="00E16D9C">
      <w:pPr>
        <w:autoSpaceDE w:val="0"/>
        <w:autoSpaceDN w:val="0"/>
        <w:adjustRightInd w:val="0"/>
        <w:spacing w:after="0" w:line="240" w:lineRule="auto"/>
        <w:ind w:firstLine="284"/>
        <w:jc w:val="right"/>
        <w:rPr>
          <w:rFonts w:ascii="Garamond" w:hAnsi="Garamond" w:cs="Times New Roman"/>
          <w:color w:val="000000"/>
          <w:sz w:val="24"/>
          <w:szCs w:val="24"/>
        </w:rPr>
      </w:pPr>
      <w:r>
        <w:rPr>
          <w:rFonts w:ascii="Garamond" w:hAnsi="Garamond" w:cs="Times New Roman"/>
          <w:color w:val="000000"/>
          <w:sz w:val="24"/>
          <w:szCs w:val="24"/>
        </w:rPr>
        <w:lastRenderedPageBreak/>
        <w:t>KRYETARE</w:t>
      </w:r>
      <w:r>
        <w:rPr>
          <w:rFonts w:ascii="Garamond" w:hAnsi="Garamond" w:cs="Times New Roman"/>
          <w:color w:val="000000"/>
          <w:sz w:val="24"/>
          <w:szCs w:val="24"/>
        </w:rPr>
        <w:tab/>
      </w:r>
    </w:p>
    <w:p w14:paraId="7420822A" w14:textId="4BC64197" w:rsidR="00E16D9C" w:rsidRPr="00E16D9C" w:rsidRDefault="00E16D9C" w:rsidP="00E16D9C">
      <w:pPr>
        <w:autoSpaceDE w:val="0"/>
        <w:autoSpaceDN w:val="0"/>
        <w:adjustRightInd w:val="0"/>
        <w:spacing w:after="0" w:line="240" w:lineRule="auto"/>
        <w:ind w:firstLine="284"/>
        <w:jc w:val="right"/>
        <w:rPr>
          <w:rFonts w:ascii="Garamond" w:hAnsi="Garamond" w:cs="Times New Roman"/>
          <w:b/>
          <w:color w:val="000000"/>
          <w:sz w:val="24"/>
          <w:szCs w:val="24"/>
        </w:rPr>
      </w:pPr>
      <w:r w:rsidRPr="00E16D9C">
        <w:rPr>
          <w:rFonts w:ascii="Garamond" w:hAnsi="Garamond" w:cs="Times New Roman"/>
          <w:b/>
          <w:color w:val="000000"/>
          <w:sz w:val="24"/>
          <w:szCs w:val="24"/>
        </w:rPr>
        <w:t>Lindita Nikolla</w:t>
      </w:r>
    </w:p>
    <w:sectPr w:rsidR="00E16D9C" w:rsidRPr="00E16D9C" w:rsidSect="00E7684C">
      <w:footerReference w:type="default" r:id="rId14"/>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F2DC66" w14:textId="77777777" w:rsidR="00D82F97" w:rsidRDefault="00D82F97" w:rsidP="00C86383">
      <w:pPr>
        <w:spacing w:after="0" w:line="240" w:lineRule="auto"/>
      </w:pPr>
      <w:r>
        <w:separator/>
      </w:r>
    </w:p>
  </w:endnote>
  <w:endnote w:type="continuationSeparator" w:id="0">
    <w:p w14:paraId="0B7D8628" w14:textId="77777777" w:rsidR="00D82F97" w:rsidRDefault="00D82F97" w:rsidP="00C86383">
      <w:pPr>
        <w:spacing w:after="0" w:line="240" w:lineRule="auto"/>
      </w:pPr>
      <w:r>
        <w:continuationSeparator/>
      </w:r>
    </w:p>
  </w:endnote>
  <w:endnote w:type="continuationNotice" w:id="1">
    <w:p w14:paraId="63CB695D" w14:textId="77777777" w:rsidR="00D82F97" w:rsidRDefault="00D82F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8131234"/>
      <w:docPartObj>
        <w:docPartGallery w:val="Page Numbers (Bottom of Page)"/>
        <w:docPartUnique/>
      </w:docPartObj>
    </w:sdtPr>
    <w:sdtEndPr>
      <w:rPr>
        <w:rFonts w:ascii="Times New Roman" w:hAnsi="Times New Roman" w:cs="Times New Roman"/>
        <w:noProof/>
        <w:sz w:val="24"/>
        <w:szCs w:val="24"/>
      </w:rPr>
    </w:sdtEndPr>
    <w:sdtContent>
      <w:p w14:paraId="3978455A" w14:textId="424E7F03" w:rsidR="00D82F97" w:rsidRPr="00E7684C" w:rsidRDefault="00D82F97">
        <w:pPr>
          <w:pStyle w:val="Footer"/>
          <w:jc w:val="center"/>
          <w:rPr>
            <w:rFonts w:ascii="Times New Roman" w:hAnsi="Times New Roman" w:cs="Times New Roman"/>
            <w:sz w:val="24"/>
            <w:szCs w:val="24"/>
          </w:rPr>
        </w:pPr>
        <w:r w:rsidRPr="00E7684C">
          <w:rPr>
            <w:rFonts w:ascii="Times New Roman" w:hAnsi="Times New Roman" w:cs="Times New Roman"/>
            <w:sz w:val="24"/>
            <w:szCs w:val="24"/>
          </w:rPr>
          <w:fldChar w:fldCharType="begin"/>
        </w:r>
        <w:r w:rsidRPr="00E7684C">
          <w:rPr>
            <w:rFonts w:ascii="Times New Roman" w:hAnsi="Times New Roman" w:cs="Times New Roman"/>
            <w:sz w:val="24"/>
            <w:szCs w:val="24"/>
          </w:rPr>
          <w:instrText xml:space="preserve"> PAGE   \* MERGEFORMAT </w:instrText>
        </w:r>
        <w:r w:rsidRPr="00E7684C">
          <w:rPr>
            <w:rFonts w:ascii="Times New Roman" w:hAnsi="Times New Roman" w:cs="Times New Roman"/>
            <w:sz w:val="24"/>
            <w:szCs w:val="24"/>
          </w:rPr>
          <w:fldChar w:fldCharType="separate"/>
        </w:r>
        <w:r w:rsidR="008861BA">
          <w:rPr>
            <w:rFonts w:ascii="Times New Roman" w:hAnsi="Times New Roman" w:cs="Times New Roman"/>
            <w:noProof/>
            <w:sz w:val="24"/>
            <w:szCs w:val="24"/>
          </w:rPr>
          <w:t>3</w:t>
        </w:r>
        <w:r w:rsidRPr="00E7684C">
          <w:rPr>
            <w:rFonts w:ascii="Times New Roman" w:hAnsi="Times New Roman" w:cs="Times New Roman"/>
            <w:noProof/>
            <w:sz w:val="24"/>
            <w:szCs w:val="24"/>
          </w:rPr>
          <w:fldChar w:fldCharType="end"/>
        </w:r>
      </w:p>
    </w:sdtContent>
  </w:sdt>
  <w:p w14:paraId="07261E55" w14:textId="77777777" w:rsidR="00D82F97" w:rsidRDefault="00D82F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468CCF" w14:textId="77777777" w:rsidR="00D82F97" w:rsidRDefault="00D82F97" w:rsidP="00C86383">
      <w:pPr>
        <w:spacing w:after="0" w:line="240" w:lineRule="auto"/>
      </w:pPr>
      <w:r>
        <w:separator/>
      </w:r>
    </w:p>
  </w:footnote>
  <w:footnote w:type="continuationSeparator" w:id="0">
    <w:p w14:paraId="7C1F6F07" w14:textId="77777777" w:rsidR="00D82F97" w:rsidRDefault="00D82F97" w:rsidP="00C86383">
      <w:pPr>
        <w:spacing w:after="0" w:line="240" w:lineRule="auto"/>
      </w:pPr>
      <w:r>
        <w:continuationSeparator/>
      </w:r>
    </w:p>
  </w:footnote>
  <w:footnote w:type="continuationNotice" w:id="1">
    <w:p w14:paraId="00061034" w14:textId="77777777" w:rsidR="00D82F97" w:rsidRDefault="00D82F97">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5DB"/>
    <w:rsid w:val="00005C6F"/>
    <w:rsid w:val="00007948"/>
    <w:rsid w:val="0001371B"/>
    <w:rsid w:val="00013FC1"/>
    <w:rsid w:val="0001705C"/>
    <w:rsid w:val="00017F55"/>
    <w:rsid w:val="00020115"/>
    <w:rsid w:val="000224FD"/>
    <w:rsid w:val="000225F5"/>
    <w:rsid w:val="00022B06"/>
    <w:rsid w:val="000278AC"/>
    <w:rsid w:val="00027E1F"/>
    <w:rsid w:val="00032ACF"/>
    <w:rsid w:val="00044096"/>
    <w:rsid w:val="00044C1F"/>
    <w:rsid w:val="00051513"/>
    <w:rsid w:val="0005725B"/>
    <w:rsid w:val="00062B6C"/>
    <w:rsid w:val="00062F7F"/>
    <w:rsid w:val="0007298B"/>
    <w:rsid w:val="00074E2B"/>
    <w:rsid w:val="00082B98"/>
    <w:rsid w:val="00091EE7"/>
    <w:rsid w:val="000A08B2"/>
    <w:rsid w:val="000A0B41"/>
    <w:rsid w:val="000C0CFC"/>
    <w:rsid w:val="000C1BC4"/>
    <w:rsid w:val="000C7182"/>
    <w:rsid w:val="000D1518"/>
    <w:rsid w:val="000D476A"/>
    <w:rsid w:val="000D6847"/>
    <w:rsid w:val="000E127F"/>
    <w:rsid w:val="000E3E8D"/>
    <w:rsid w:val="000E4797"/>
    <w:rsid w:val="000E5355"/>
    <w:rsid w:val="000F121E"/>
    <w:rsid w:val="000F417A"/>
    <w:rsid w:val="0010178D"/>
    <w:rsid w:val="001049FD"/>
    <w:rsid w:val="001113F8"/>
    <w:rsid w:val="001156F1"/>
    <w:rsid w:val="00117A5D"/>
    <w:rsid w:val="00121DB5"/>
    <w:rsid w:val="00125D8E"/>
    <w:rsid w:val="001315C1"/>
    <w:rsid w:val="001325AF"/>
    <w:rsid w:val="00132AD7"/>
    <w:rsid w:val="001336E2"/>
    <w:rsid w:val="001356DB"/>
    <w:rsid w:val="001424BF"/>
    <w:rsid w:val="001432F5"/>
    <w:rsid w:val="00143A0C"/>
    <w:rsid w:val="001501FF"/>
    <w:rsid w:val="0015521E"/>
    <w:rsid w:val="0016140E"/>
    <w:rsid w:val="00162EC4"/>
    <w:rsid w:val="00176BBD"/>
    <w:rsid w:val="0018119B"/>
    <w:rsid w:val="00181B37"/>
    <w:rsid w:val="00184409"/>
    <w:rsid w:val="001858C3"/>
    <w:rsid w:val="00191634"/>
    <w:rsid w:val="001A79AF"/>
    <w:rsid w:val="001B134B"/>
    <w:rsid w:val="001B6D41"/>
    <w:rsid w:val="001B7CF3"/>
    <w:rsid w:val="001C1147"/>
    <w:rsid w:val="001E2085"/>
    <w:rsid w:val="001E3542"/>
    <w:rsid w:val="001F4CD5"/>
    <w:rsid w:val="00202011"/>
    <w:rsid w:val="0020553B"/>
    <w:rsid w:val="002063FE"/>
    <w:rsid w:val="002129CF"/>
    <w:rsid w:val="00215C02"/>
    <w:rsid w:val="002176D7"/>
    <w:rsid w:val="00223BB0"/>
    <w:rsid w:val="00224F56"/>
    <w:rsid w:val="0022618D"/>
    <w:rsid w:val="002359AF"/>
    <w:rsid w:val="00237CB2"/>
    <w:rsid w:val="00240E91"/>
    <w:rsid w:val="00244B19"/>
    <w:rsid w:val="00247E3F"/>
    <w:rsid w:val="00262C8A"/>
    <w:rsid w:val="00266214"/>
    <w:rsid w:val="002754C6"/>
    <w:rsid w:val="00283031"/>
    <w:rsid w:val="00286E87"/>
    <w:rsid w:val="0029415F"/>
    <w:rsid w:val="002A1841"/>
    <w:rsid w:val="002A4484"/>
    <w:rsid w:val="002B2319"/>
    <w:rsid w:val="002B3D13"/>
    <w:rsid w:val="002B42ED"/>
    <w:rsid w:val="002B6674"/>
    <w:rsid w:val="002C0BF7"/>
    <w:rsid w:val="002D28BD"/>
    <w:rsid w:val="002D47BF"/>
    <w:rsid w:val="002D6F17"/>
    <w:rsid w:val="002E049D"/>
    <w:rsid w:val="002E3E9A"/>
    <w:rsid w:val="002E4256"/>
    <w:rsid w:val="002E57A2"/>
    <w:rsid w:val="002F1E84"/>
    <w:rsid w:val="002F495E"/>
    <w:rsid w:val="002F56DF"/>
    <w:rsid w:val="00310428"/>
    <w:rsid w:val="00312A26"/>
    <w:rsid w:val="00321277"/>
    <w:rsid w:val="00323548"/>
    <w:rsid w:val="00327E49"/>
    <w:rsid w:val="003305FA"/>
    <w:rsid w:val="0033383F"/>
    <w:rsid w:val="003345F5"/>
    <w:rsid w:val="00343599"/>
    <w:rsid w:val="00343D14"/>
    <w:rsid w:val="0034558C"/>
    <w:rsid w:val="00351908"/>
    <w:rsid w:val="003556E0"/>
    <w:rsid w:val="003557DA"/>
    <w:rsid w:val="00373D67"/>
    <w:rsid w:val="003802C5"/>
    <w:rsid w:val="00380CE5"/>
    <w:rsid w:val="00384791"/>
    <w:rsid w:val="00384A0F"/>
    <w:rsid w:val="003918EF"/>
    <w:rsid w:val="00391D0F"/>
    <w:rsid w:val="00393AEF"/>
    <w:rsid w:val="00393D81"/>
    <w:rsid w:val="003962DE"/>
    <w:rsid w:val="0039714C"/>
    <w:rsid w:val="00397B89"/>
    <w:rsid w:val="003A3D56"/>
    <w:rsid w:val="003C3B41"/>
    <w:rsid w:val="003C51DC"/>
    <w:rsid w:val="003D23B3"/>
    <w:rsid w:val="003E08F3"/>
    <w:rsid w:val="003E193B"/>
    <w:rsid w:val="003E334D"/>
    <w:rsid w:val="003E39E2"/>
    <w:rsid w:val="003E3F68"/>
    <w:rsid w:val="003F623E"/>
    <w:rsid w:val="003F66F6"/>
    <w:rsid w:val="00402A6A"/>
    <w:rsid w:val="00414FD9"/>
    <w:rsid w:val="004215B2"/>
    <w:rsid w:val="00430EDA"/>
    <w:rsid w:val="0043625A"/>
    <w:rsid w:val="00440837"/>
    <w:rsid w:val="00441F4D"/>
    <w:rsid w:val="0045672F"/>
    <w:rsid w:val="00457EDB"/>
    <w:rsid w:val="004615DB"/>
    <w:rsid w:val="00462270"/>
    <w:rsid w:val="00463738"/>
    <w:rsid w:val="0046513F"/>
    <w:rsid w:val="00477C33"/>
    <w:rsid w:val="00480E67"/>
    <w:rsid w:val="00480EEA"/>
    <w:rsid w:val="004819A5"/>
    <w:rsid w:val="004847B6"/>
    <w:rsid w:val="00485242"/>
    <w:rsid w:val="0049616C"/>
    <w:rsid w:val="004A3A52"/>
    <w:rsid w:val="004A5109"/>
    <w:rsid w:val="004B0605"/>
    <w:rsid w:val="004B13B2"/>
    <w:rsid w:val="004B79D3"/>
    <w:rsid w:val="004C36BB"/>
    <w:rsid w:val="004C430E"/>
    <w:rsid w:val="004C4CF2"/>
    <w:rsid w:val="004D1840"/>
    <w:rsid w:val="004D508B"/>
    <w:rsid w:val="004D62AE"/>
    <w:rsid w:val="004E0456"/>
    <w:rsid w:val="004E639B"/>
    <w:rsid w:val="004E7623"/>
    <w:rsid w:val="004F08BE"/>
    <w:rsid w:val="00501097"/>
    <w:rsid w:val="00502636"/>
    <w:rsid w:val="00505558"/>
    <w:rsid w:val="00505674"/>
    <w:rsid w:val="00513A51"/>
    <w:rsid w:val="00514B00"/>
    <w:rsid w:val="00520F52"/>
    <w:rsid w:val="005228B2"/>
    <w:rsid w:val="005228E2"/>
    <w:rsid w:val="00524B85"/>
    <w:rsid w:val="00526332"/>
    <w:rsid w:val="00533A29"/>
    <w:rsid w:val="00540968"/>
    <w:rsid w:val="00541D13"/>
    <w:rsid w:val="00544ED5"/>
    <w:rsid w:val="00545007"/>
    <w:rsid w:val="00546B87"/>
    <w:rsid w:val="0054729A"/>
    <w:rsid w:val="00551654"/>
    <w:rsid w:val="00555F66"/>
    <w:rsid w:val="00556003"/>
    <w:rsid w:val="00566A66"/>
    <w:rsid w:val="00567336"/>
    <w:rsid w:val="00582A60"/>
    <w:rsid w:val="00595D7E"/>
    <w:rsid w:val="005A4BF2"/>
    <w:rsid w:val="005A6A5B"/>
    <w:rsid w:val="005B4F54"/>
    <w:rsid w:val="005C0232"/>
    <w:rsid w:val="005C275E"/>
    <w:rsid w:val="005C7FD6"/>
    <w:rsid w:val="005D008B"/>
    <w:rsid w:val="005D2C27"/>
    <w:rsid w:val="005D79C0"/>
    <w:rsid w:val="005E0B16"/>
    <w:rsid w:val="005E3C64"/>
    <w:rsid w:val="005E4979"/>
    <w:rsid w:val="005F08C5"/>
    <w:rsid w:val="005F7BAE"/>
    <w:rsid w:val="00600647"/>
    <w:rsid w:val="00606A64"/>
    <w:rsid w:val="00611AFD"/>
    <w:rsid w:val="00612758"/>
    <w:rsid w:val="00630061"/>
    <w:rsid w:val="00630EA6"/>
    <w:rsid w:val="006344E9"/>
    <w:rsid w:val="00635067"/>
    <w:rsid w:val="00644D20"/>
    <w:rsid w:val="0066462F"/>
    <w:rsid w:val="00664CC2"/>
    <w:rsid w:val="00666637"/>
    <w:rsid w:val="006672E6"/>
    <w:rsid w:val="0067489C"/>
    <w:rsid w:val="00680190"/>
    <w:rsid w:val="00686471"/>
    <w:rsid w:val="00695534"/>
    <w:rsid w:val="006A1126"/>
    <w:rsid w:val="006B27CE"/>
    <w:rsid w:val="006B790D"/>
    <w:rsid w:val="006C2AEE"/>
    <w:rsid w:val="006D3004"/>
    <w:rsid w:val="006D6CF7"/>
    <w:rsid w:val="006E5794"/>
    <w:rsid w:val="006E6621"/>
    <w:rsid w:val="006F2FA3"/>
    <w:rsid w:val="00700DFF"/>
    <w:rsid w:val="00702A04"/>
    <w:rsid w:val="00704D02"/>
    <w:rsid w:val="007064AB"/>
    <w:rsid w:val="00706557"/>
    <w:rsid w:val="00707C51"/>
    <w:rsid w:val="007134F3"/>
    <w:rsid w:val="0071531C"/>
    <w:rsid w:val="00717DD1"/>
    <w:rsid w:val="00721F94"/>
    <w:rsid w:val="00722A76"/>
    <w:rsid w:val="007259CC"/>
    <w:rsid w:val="007312D6"/>
    <w:rsid w:val="00732C3F"/>
    <w:rsid w:val="00750776"/>
    <w:rsid w:val="00752319"/>
    <w:rsid w:val="00761637"/>
    <w:rsid w:val="00761C31"/>
    <w:rsid w:val="00761C60"/>
    <w:rsid w:val="007832F6"/>
    <w:rsid w:val="00783CAA"/>
    <w:rsid w:val="007841E1"/>
    <w:rsid w:val="00784660"/>
    <w:rsid w:val="007850C4"/>
    <w:rsid w:val="0078612B"/>
    <w:rsid w:val="00786E43"/>
    <w:rsid w:val="0078764B"/>
    <w:rsid w:val="0078778A"/>
    <w:rsid w:val="0079170F"/>
    <w:rsid w:val="00791E52"/>
    <w:rsid w:val="00794562"/>
    <w:rsid w:val="007A10EB"/>
    <w:rsid w:val="007A1453"/>
    <w:rsid w:val="007A24F8"/>
    <w:rsid w:val="007A4144"/>
    <w:rsid w:val="007A6000"/>
    <w:rsid w:val="007A744F"/>
    <w:rsid w:val="007B6844"/>
    <w:rsid w:val="007C05DC"/>
    <w:rsid w:val="007C0DC8"/>
    <w:rsid w:val="007C1E4A"/>
    <w:rsid w:val="007C6F84"/>
    <w:rsid w:val="007F04D3"/>
    <w:rsid w:val="007F16F8"/>
    <w:rsid w:val="007F2061"/>
    <w:rsid w:val="007F43C4"/>
    <w:rsid w:val="007F750C"/>
    <w:rsid w:val="008010B2"/>
    <w:rsid w:val="00802041"/>
    <w:rsid w:val="00802244"/>
    <w:rsid w:val="00803B7B"/>
    <w:rsid w:val="00813AD7"/>
    <w:rsid w:val="00814941"/>
    <w:rsid w:val="00821505"/>
    <w:rsid w:val="0082316D"/>
    <w:rsid w:val="00824042"/>
    <w:rsid w:val="00824A4B"/>
    <w:rsid w:val="008253FA"/>
    <w:rsid w:val="008258AB"/>
    <w:rsid w:val="00827BC7"/>
    <w:rsid w:val="00831CD1"/>
    <w:rsid w:val="00833B9B"/>
    <w:rsid w:val="00847CF0"/>
    <w:rsid w:val="00851363"/>
    <w:rsid w:val="00851711"/>
    <w:rsid w:val="00852454"/>
    <w:rsid w:val="00854276"/>
    <w:rsid w:val="00856F1E"/>
    <w:rsid w:val="00857954"/>
    <w:rsid w:val="00863D55"/>
    <w:rsid w:val="008650FD"/>
    <w:rsid w:val="00867DF3"/>
    <w:rsid w:val="008713F3"/>
    <w:rsid w:val="00872A03"/>
    <w:rsid w:val="00881057"/>
    <w:rsid w:val="00881347"/>
    <w:rsid w:val="008823F7"/>
    <w:rsid w:val="00883800"/>
    <w:rsid w:val="008861BA"/>
    <w:rsid w:val="0088785E"/>
    <w:rsid w:val="00890D60"/>
    <w:rsid w:val="00892480"/>
    <w:rsid w:val="00897A30"/>
    <w:rsid w:val="008B6B1A"/>
    <w:rsid w:val="008B74C4"/>
    <w:rsid w:val="008C2832"/>
    <w:rsid w:val="008C4109"/>
    <w:rsid w:val="008C42CC"/>
    <w:rsid w:val="008C498A"/>
    <w:rsid w:val="008C63A2"/>
    <w:rsid w:val="008C7273"/>
    <w:rsid w:val="008D114F"/>
    <w:rsid w:val="008D41C9"/>
    <w:rsid w:val="008D5CDA"/>
    <w:rsid w:val="008D7A71"/>
    <w:rsid w:val="008E13AA"/>
    <w:rsid w:val="008E2C2A"/>
    <w:rsid w:val="008F0F64"/>
    <w:rsid w:val="008F3C04"/>
    <w:rsid w:val="008F3C44"/>
    <w:rsid w:val="008F668F"/>
    <w:rsid w:val="008F6781"/>
    <w:rsid w:val="009051F4"/>
    <w:rsid w:val="00912502"/>
    <w:rsid w:val="0092415F"/>
    <w:rsid w:val="009256DD"/>
    <w:rsid w:val="0094122A"/>
    <w:rsid w:val="00946C72"/>
    <w:rsid w:val="0095624F"/>
    <w:rsid w:val="009571C2"/>
    <w:rsid w:val="00960704"/>
    <w:rsid w:val="00960B17"/>
    <w:rsid w:val="00964622"/>
    <w:rsid w:val="009700C5"/>
    <w:rsid w:val="00971602"/>
    <w:rsid w:val="0098506C"/>
    <w:rsid w:val="009854D5"/>
    <w:rsid w:val="00992C48"/>
    <w:rsid w:val="00993F35"/>
    <w:rsid w:val="00995CC4"/>
    <w:rsid w:val="0099713F"/>
    <w:rsid w:val="009A0CB1"/>
    <w:rsid w:val="009A67C9"/>
    <w:rsid w:val="009A734A"/>
    <w:rsid w:val="009B3A7B"/>
    <w:rsid w:val="009B6083"/>
    <w:rsid w:val="009D0BB6"/>
    <w:rsid w:val="009D263A"/>
    <w:rsid w:val="009D3A41"/>
    <w:rsid w:val="009D5991"/>
    <w:rsid w:val="009D76B9"/>
    <w:rsid w:val="009E3C1B"/>
    <w:rsid w:val="009E6CA9"/>
    <w:rsid w:val="009E7F8D"/>
    <w:rsid w:val="009F1F17"/>
    <w:rsid w:val="009F5E40"/>
    <w:rsid w:val="00A040E2"/>
    <w:rsid w:val="00A07E25"/>
    <w:rsid w:val="00A14187"/>
    <w:rsid w:val="00A14640"/>
    <w:rsid w:val="00A14720"/>
    <w:rsid w:val="00A16B59"/>
    <w:rsid w:val="00A215AB"/>
    <w:rsid w:val="00A22178"/>
    <w:rsid w:val="00A241B8"/>
    <w:rsid w:val="00A503B4"/>
    <w:rsid w:val="00A5392D"/>
    <w:rsid w:val="00A558AE"/>
    <w:rsid w:val="00A564E2"/>
    <w:rsid w:val="00A67678"/>
    <w:rsid w:val="00A755F6"/>
    <w:rsid w:val="00A854F0"/>
    <w:rsid w:val="00A86E2D"/>
    <w:rsid w:val="00A87823"/>
    <w:rsid w:val="00A92792"/>
    <w:rsid w:val="00A94DF9"/>
    <w:rsid w:val="00A96323"/>
    <w:rsid w:val="00A97D69"/>
    <w:rsid w:val="00AA09BC"/>
    <w:rsid w:val="00AA0C18"/>
    <w:rsid w:val="00AA33CA"/>
    <w:rsid w:val="00AA33DD"/>
    <w:rsid w:val="00AB4EBC"/>
    <w:rsid w:val="00AB50B7"/>
    <w:rsid w:val="00AB7137"/>
    <w:rsid w:val="00AC116E"/>
    <w:rsid w:val="00AC28C6"/>
    <w:rsid w:val="00AC5B21"/>
    <w:rsid w:val="00AC764D"/>
    <w:rsid w:val="00AC7D5A"/>
    <w:rsid w:val="00AD526B"/>
    <w:rsid w:val="00AD5761"/>
    <w:rsid w:val="00AD67B1"/>
    <w:rsid w:val="00AD7DFE"/>
    <w:rsid w:val="00AE3363"/>
    <w:rsid w:val="00AE413A"/>
    <w:rsid w:val="00AE5AB4"/>
    <w:rsid w:val="00AE6DAB"/>
    <w:rsid w:val="00AF1CA2"/>
    <w:rsid w:val="00AF5A5B"/>
    <w:rsid w:val="00AF78C9"/>
    <w:rsid w:val="00B03133"/>
    <w:rsid w:val="00B074F2"/>
    <w:rsid w:val="00B07B19"/>
    <w:rsid w:val="00B1268D"/>
    <w:rsid w:val="00B1678C"/>
    <w:rsid w:val="00B22C15"/>
    <w:rsid w:val="00B242A8"/>
    <w:rsid w:val="00B35261"/>
    <w:rsid w:val="00B41476"/>
    <w:rsid w:val="00B53DAC"/>
    <w:rsid w:val="00B542F0"/>
    <w:rsid w:val="00B555C9"/>
    <w:rsid w:val="00B65D03"/>
    <w:rsid w:val="00B71AED"/>
    <w:rsid w:val="00B750FF"/>
    <w:rsid w:val="00B7731C"/>
    <w:rsid w:val="00B77321"/>
    <w:rsid w:val="00B7748B"/>
    <w:rsid w:val="00B85B4C"/>
    <w:rsid w:val="00B91916"/>
    <w:rsid w:val="00BA2D77"/>
    <w:rsid w:val="00BA7E66"/>
    <w:rsid w:val="00BB1D27"/>
    <w:rsid w:val="00BB4C3C"/>
    <w:rsid w:val="00BB5EC4"/>
    <w:rsid w:val="00BC2A76"/>
    <w:rsid w:val="00BD592D"/>
    <w:rsid w:val="00BD5A4B"/>
    <w:rsid w:val="00BF0A3E"/>
    <w:rsid w:val="00BF1682"/>
    <w:rsid w:val="00BF3D89"/>
    <w:rsid w:val="00C011E1"/>
    <w:rsid w:val="00C01267"/>
    <w:rsid w:val="00C01362"/>
    <w:rsid w:val="00C0558B"/>
    <w:rsid w:val="00C15B46"/>
    <w:rsid w:val="00C2107A"/>
    <w:rsid w:val="00C22617"/>
    <w:rsid w:val="00C277DC"/>
    <w:rsid w:val="00C310C5"/>
    <w:rsid w:val="00C3396C"/>
    <w:rsid w:val="00C356CF"/>
    <w:rsid w:val="00C42220"/>
    <w:rsid w:val="00C451E4"/>
    <w:rsid w:val="00C46623"/>
    <w:rsid w:val="00C50843"/>
    <w:rsid w:val="00C569D5"/>
    <w:rsid w:val="00C65542"/>
    <w:rsid w:val="00C829DC"/>
    <w:rsid w:val="00C86383"/>
    <w:rsid w:val="00C9434B"/>
    <w:rsid w:val="00C96F2B"/>
    <w:rsid w:val="00CA0814"/>
    <w:rsid w:val="00CA0EBE"/>
    <w:rsid w:val="00CA57B6"/>
    <w:rsid w:val="00CC6F24"/>
    <w:rsid w:val="00CD31B5"/>
    <w:rsid w:val="00CD3633"/>
    <w:rsid w:val="00CD48BD"/>
    <w:rsid w:val="00CE032B"/>
    <w:rsid w:val="00CE0964"/>
    <w:rsid w:val="00CE0B9A"/>
    <w:rsid w:val="00CE5869"/>
    <w:rsid w:val="00CE6F13"/>
    <w:rsid w:val="00D05C90"/>
    <w:rsid w:val="00D0709B"/>
    <w:rsid w:val="00D17929"/>
    <w:rsid w:val="00D2027A"/>
    <w:rsid w:val="00D22C59"/>
    <w:rsid w:val="00D27092"/>
    <w:rsid w:val="00D31426"/>
    <w:rsid w:val="00D31E4D"/>
    <w:rsid w:val="00D332B5"/>
    <w:rsid w:val="00D33E55"/>
    <w:rsid w:val="00D44DC4"/>
    <w:rsid w:val="00D57B3A"/>
    <w:rsid w:val="00D600F3"/>
    <w:rsid w:val="00D621BE"/>
    <w:rsid w:val="00D62BE5"/>
    <w:rsid w:val="00D66EB0"/>
    <w:rsid w:val="00D704A8"/>
    <w:rsid w:val="00D719E7"/>
    <w:rsid w:val="00D82F97"/>
    <w:rsid w:val="00D864D2"/>
    <w:rsid w:val="00D874FB"/>
    <w:rsid w:val="00D90262"/>
    <w:rsid w:val="00D9402D"/>
    <w:rsid w:val="00D94954"/>
    <w:rsid w:val="00DA5786"/>
    <w:rsid w:val="00DB28BF"/>
    <w:rsid w:val="00DB3852"/>
    <w:rsid w:val="00DB47C0"/>
    <w:rsid w:val="00DB5ECD"/>
    <w:rsid w:val="00DB7E09"/>
    <w:rsid w:val="00DC57B4"/>
    <w:rsid w:val="00DD32F3"/>
    <w:rsid w:val="00DD3DDE"/>
    <w:rsid w:val="00DD473E"/>
    <w:rsid w:val="00DF0BAA"/>
    <w:rsid w:val="00DF1BC6"/>
    <w:rsid w:val="00DF6555"/>
    <w:rsid w:val="00DF6CD2"/>
    <w:rsid w:val="00E02D8F"/>
    <w:rsid w:val="00E042C2"/>
    <w:rsid w:val="00E06BA5"/>
    <w:rsid w:val="00E12C4C"/>
    <w:rsid w:val="00E16D9C"/>
    <w:rsid w:val="00E24099"/>
    <w:rsid w:val="00E26211"/>
    <w:rsid w:val="00E318C7"/>
    <w:rsid w:val="00E34C07"/>
    <w:rsid w:val="00E36067"/>
    <w:rsid w:val="00E442DC"/>
    <w:rsid w:val="00E51DFA"/>
    <w:rsid w:val="00E51E75"/>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A15E5"/>
    <w:rsid w:val="00EA7B60"/>
    <w:rsid w:val="00EB31F6"/>
    <w:rsid w:val="00EB4EE4"/>
    <w:rsid w:val="00EB62DE"/>
    <w:rsid w:val="00ED4C45"/>
    <w:rsid w:val="00ED5AEE"/>
    <w:rsid w:val="00ED668D"/>
    <w:rsid w:val="00EE4C8B"/>
    <w:rsid w:val="00EE6A25"/>
    <w:rsid w:val="00EF6235"/>
    <w:rsid w:val="00F05169"/>
    <w:rsid w:val="00F0526E"/>
    <w:rsid w:val="00F124B8"/>
    <w:rsid w:val="00F142C1"/>
    <w:rsid w:val="00F1525A"/>
    <w:rsid w:val="00F261B9"/>
    <w:rsid w:val="00F3246E"/>
    <w:rsid w:val="00F32B61"/>
    <w:rsid w:val="00F37FAF"/>
    <w:rsid w:val="00F4148E"/>
    <w:rsid w:val="00F418A9"/>
    <w:rsid w:val="00F42E3E"/>
    <w:rsid w:val="00F43580"/>
    <w:rsid w:val="00F454F1"/>
    <w:rsid w:val="00F466D7"/>
    <w:rsid w:val="00F5324C"/>
    <w:rsid w:val="00F5634D"/>
    <w:rsid w:val="00F65C99"/>
    <w:rsid w:val="00F701B3"/>
    <w:rsid w:val="00F779F7"/>
    <w:rsid w:val="00F82F68"/>
    <w:rsid w:val="00F83F05"/>
    <w:rsid w:val="00F86A50"/>
    <w:rsid w:val="00F9446E"/>
    <w:rsid w:val="00F94822"/>
    <w:rsid w:val="00F9485F"/>
    <w:rsid w:val="00F960FE"/>
    <w:rsid w:val="00F9796E"/>
    <w:rsid w:val="00F97CB9"/>
    <w:rsid w:val="00FB2346"/>
    <w:rsid w:val="00FB2B6A"/>
    <w:rsid w:val="00FB340F"/>
    <w:rsid w:val="00FB4761"/>
    <w:rsid w:val="00FC6348"/>
    <w:rsid w:val="00FC7FD0"/>
    <w:rsid w:val="00FD1EFD"/>
    <w:rsid w:val="00FD2B25"/>
    <w:rsid w:val="00FD2BF4"/>
    <w:rsid w:val="00FD2D67"/>
    <w:rsid w:val="00FF6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311321">
      <w:bodyDiv w:val="1"/>
      <w:marLeft w:val="0"/>
      <w:marRight w:val="0"/>
      <w:marTop w:val="0"/>
      <w:marBottom w:val="0"/>
      <w:divBdr>
        <w:top w:val="none" w:sz="0" w:space="0" w:color="auto"/>
        <w:left w:val="none" w:sz="0" w:space="0" w:color="auto"/>
        <w:bottom w:val="none" w:sz="0" w:space="0" w:color="auto"/>
        <w:right w:val="none" w:sz="0" w:space="0" w:color="auto"/>
      </w:divBdr>
    </w:div>
    <w:div w:id="347417007">
      <w:bodyDiv w:val="1"/>
      <w:marLeft w:val="0"/>
      <w:marRight w:val="0"/>
      <w:marTop w:val="0"/>
      <w:marBottom w:val="0"/>
      <w:divBdr>
        <w:top w:val="none" w:sz="0" w:space="0" w:color="auto"/>
        <w:left w:val="none" w:sz="0" w:space="0" w:color="auto"/>
        <w:bottom w:val="none" w:sz="0" w:space="0" w:color="auto"/>
        <w:right w:val="none" w:sz="0" w:space="0" w:color="auto"/>
      </w:divBdr>
    </w:div>
    <w:div w:id="127443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Nr_x002e__x0020_akti>
    <Data_x0020_e_x0020_Krijimit xmlns="0e656187-b300-4fb0-8bf4-3a50f872073c">2022-07-29T07:00:12Z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2022-07-19T22:00:00Z</Date_x0020_protokolli>
    <Titulli xmlns="0e656187-b300-4fb0-8bf4-3a50f872073c">Për vlerësimin e veprimtarisë së Këshillit të Lartë të Prokurorisë për vitin 2021</Titulli>
    <Modifikuesi xmlns="0e656187-b300-4fb0-8bf4-3a50f872073c">jorina.kryeziu</Modifikuesi>
    <Nr_x002e__x0020_prot_x0020_QBZ xmlns="0e656187-b300-4fb0-8bf4-3a50f872073c">1148/5</Nr_x002e__x0020_prot_x0020_QBZ>
    <Data_x0020_e_x0020_Modifikimit xmlns="0e656187-b300-4fb0-8bf4-3a50f872073c">2022-07-29T10:33:44Z</Data_x0020_e_x0020_Modifikimit>
    <Dekretuar xmlns="0e656187-b300-4fb0-8bf4-3a50f872073c">false</Dekretuar>
    <Data xmlns="0e656187-b300-4fb0-8bf4-3a50f872073c">2022-07-13T22:00:00Z</Data>
    <Nr_x002e__x0020_protokolli_x0020_i_x0020_aktit xmlns="0e656187-b300-4fb0-8bf4-3a50f872073c">2572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A6D93165D76431C879DBE6D9D6EA83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A6D93165D76431C879DBE6D9D6EA83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7DE35-BAC9-4DAF-9CDF-5E1BA6626048}">
  <ds:schemaRefs>
    <ds:schemaRef ds:uri="http://purl.org/dc/elements/1.1/"/>
    <ds:schemaRef ds:uri="http://purl.org/dc/terms/"/>
    <ds:schemaRef ds:uri="http://schemas.microsoft.com/office/2006/documentManagement/types"/>
    <ds:schemaRef ds:uri="http://schemas.openxmlformats.org/package/2006/metadata/core-properties"/>
    <ds:schemaRef ds:uri="http://purl.org/dc/dcmitype/"/>
    <ds:schemaRef ds:uri="0e656187-b300-4fb0-8bf4-3a50f872073c"/>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FAD1668E-DBD8-4E60-89F4-2E01A3244D02}">
  <ds:schemaRefs>
    <ds:schemaRef ds:uri="http://schemas.microsoft.com/sharepoint/v3/contenttype/forms"/>
  </ds:schemaRefs>
</ds:datastoreItem>
</file>

<file path=customXml/itemProps3.xml><?xml version="1.0" encoding="utf-8"?>
<ds:datastoreItem xmlns:ds="http://schemas.openxmlformats.org/officeDocument/2006/customXml" ds:itemID="{341E544C-E627-464D-B098-80DA09117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E8DB303-4C9C-45AF-8EA6-BAD6A42FB9F8}">
  <ds:schemaRefs>
    <ds:schemaRef ds:uri="http://schemas.microsoft.com/sharepoint/v3/contenttype/forms"/>
  </ds:schemaRefs>
</ds:datastoreItem>
</file>

<file path=customXml/itemProps5.xml><?xml version="1.0" encoding="utf-8"?>
<ds:datastoreItem xmlns:ds="http://schemas.openxmlformats.org/officeDocument/2006/customXml" ds:itemID="{A13C80D8-F21B-407F-888B-D9FFF7D96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009F48E-F573-4033-B1AC-592747F80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4</Pages>
  <Words>1700</Words>
  <Characters>9691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Për vlerësimin e veprimtarisë së Këshillit të Lartë të Prokurorisë për vitin 2021</vt:lpstr>
    </vt:vector>
  </TitlesOfParts>
  <Company/>
  <LinksUpToDate>false</LinksUpToDate>
  <CharactersWithSpaces>11369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Këshillit të Lartë të Prokurorisë për vitin 2021</dc:title>
  <dc:creator>user</dc:creator>
  <cp:lastModifiedBy>Valjeta Kaftalli</cp:lastModifiedBy>
  <cp:revision>76</cp:revision>
  <cp:lastPrinted>2022-07-12T08:59:00Z</cp:lastPrinted>
  <dcterms:created xsi:type="dcterms:W3CDTF">2019-04-04T07:08:00Z</dcterms:created>
  <dcterms:modified xsi:type="dcterms:W3CDTF">2022-07-29T10:46:00Z</dcterms:modified>
</cp:coreProperties>
</file>