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4742D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77E9CC4B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4F534D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KËSHILLIT TË LARTË GJYQËSOR</w:t>
      </w:r>
    </w:p>
    <w:p w14:paraId="013BAD22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PËR VITIN 2021</w:t>
      </w:r>
    </w:p>
    <w:p w14:paraId="696DA400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0C0F9FE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53D53423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Duke nënvizuar rëndësinë e rolit të Këshillit të Lartë Gjyqësor në sigurimin e pavarësisë, përgjegjshmërisë dhe mbarëvajtjes së pushtetit gjyqësor në Republikën e Shqipërisë;</w:t>
      </w:r>
    </w:p>
    <w:p w14:paraId="353E0C11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Duke mbajtur parasysh rolin e Këshillit të Lartë Gjyqësor në emërimin, caktimin në pozicion, transferimin, ngritjen në detyrë, komandimin dhe riemërimin, vlerësimin e veprimtarisë etike dhe profesionale, vendosjen e masave disiplinore dhe pezullimin e gjyqtarëve të të gjitha niveleve;</w:t>
      </w:r>
    </w:p>
    <w:p w14:paraId="2861AA7D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Duke nënvizuar rëndësinë e bashkëpunimit të Këshillit të Lartë Gjyqësor me Shkollën e Magjistraturës, sidomos për trajnimin vazhdues të gjyqtarëve dhe emërimin e gjyqtarëve pas diplomimit në Shkollën e Magjistraturës; </w:t>
      </w:r>
    </w:p>
    <w:p w14:paraId="45D64DBC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Duke theksuar rëndësinë e rolit të Këshillit të Lartë Gjyqësor në drejtimin dhe kujdesjen për mbarëvajtjen e punës në administratën e gjykatave me fokus hartimin dhe ndjekjen e zbatimit të politikave për administrimin gjyqësor, monitorimin dhe menaxhimin e ngarkesës së gjyqtarëve dhe të gjykatave, kohëzgjatjen e çështjeve dhe miratimin e rregullave të brendshme standarde të gjykatës; </w:t>
      </w:r>
    </w:p>
    <w:p w14:paraId="4970F459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Duke mbajtur në konsideratë nevojat e Këshillit për mbarëvajtjen e sistemit gjyqësor; </w:t>
      </w:r>
    </w:p>
    <w:p w14:paraId="0D5AC603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Duke mbajtur parasysh rëndësinë e informimit të publikut dhe Kuvendit për gjendjen e sistemit gjyqësor,</w:t>
      </w:r>
    </w:p>
    <w:p w14:paraId="1FA17216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Vlerëson:</w:t>
      </w:r>
    </w:p>
    <w:p w14:paraId="699A39E1" w14:textId="5F028A3F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Procesin e kryer nga Këshilli i Lartë Gjyqësor për plotësimin e vendeve vakante në Gjykatën e Lartë;</w:t>
      </w:r>
    </w:p>
    <w:p w14:paraId="5CAB4C6C" w14:textId="7F7E769D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Punën e kryer për hartën e re gjyqësore në bashkëpunim mes Këshillit të Lartë Gjyqësor dhe Ministrisë së Drejtësisë për hartimin e propozimit të përbashkët për riorganizimin e rretheve gjyqësore dhe kompetencave tokësore të gjykatave sipas parashikimeve të nenit 13 të ligjit nr. 98/2016 “Për organizimin e pushtetit gjyqësor në Republikën e Shqipërisë”, duke konstatuar se procesi ka marrë shumë kohë dhe se miratimi i hartës së re gjyqësore përveçse është një detyrim ligjor, përbën një hap të rëndësishëm për mirëfunksionimin e sistemit gjyqësor.</w:t>
      </w:r>
    </w:p>
    <w:p w14:paraId="329FA35A" w14:textId="319967A3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Punën e Këshillit të Lartë Gjyqësor për hartimin dhe miratimin e një serie aktesh nënligjore normative dhe rregullatore sipas përcaktimeve të ligjit nr. 115/2016 “Për organet e qeverisjes së sistemit të drejtësisë”, të ndryshuar, dhe ligjeve të tjera të reformës në drejtësi, si dhe rëndësinë e përmbylljes së paketës së plotë të këtyre akteve sa më parë.</w:t>
      </w:r>
    </w:p>
    <w:p w14:paraId="314A7E8D" w14:textId="6529A2C4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Veprimtarinë e Këshillit të Lartë Gjyqësor për vlerësimin e aftësive profesionale të subjekteve të rivlerësimit kalimtar dhe rëndësinë e kryerjes së këtij procesi në një kohë sa më të arsyeshme.</w:t>
      </w:r>
    </w:p>
    <w:p w14:paraId="11E5AC4F" w14:textId="5AF26C61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Analizat e kryera për shumë aspekte të sistemit gjyqësor referuar edhe standardeve të Komisionit E</w:t>
      </w:r>
      <w:r w:rsidR="00516E8C">
        <w:rPr>
          <w:rFonts w:ascii="Garamond" w:hAnsi="Garamond" w:cs="Times New Roman"/>
          <w:color w:val="000000"/>
          <w:sz w:val="24"/>
          <w:szCs w:val="24"/>
        </w:rPr>
        <w:t>v</w:t>
      </w:r>
      <w:r w:rsidRPr="00180929">
        <w:rPr>
          <w:rFonts w:ascii="Garamond" w:hAnsi="Garamond" w:cs="Times New Roman"/>
          <w:color w:val="000000"/>
          <w:sz w:val="24"/>
          <w:szCs w:val="24"/>
        </w:rPr>
        <w:t>ropian për Efi</w:t>
      </w:r>
      <w:r w:rsidR="00516E8C">
        <w:rPr>
          <w:rFonts w:ascii="Garamond" w:hAnsi="Garamond" w:cs="Times New Roman"/>
          <w:color w:val="000000"/>
          <w:sz w:val="24"/>
          <w:szCs w:val="24"/>
        </w:rPr>
        <w:t>ci</w:t>
      </w:r>
      <w:r w:rsidRPr="00180929">
        <w:rPr>
          <w:rFonts w:ascii="Garamond" w:hAnsi="Garamond" w:cs="Times New Roman"/>
          <w:color w:val="000000"/>
          <w:sz w:val="24"/>
          <w:szCs w:val="24"/>
        </w:rPr>
        <w:t>encën e Drejtësisë (CEPEJ), mbarëvajtjen e punës në gjykata dhe masat e marra në këtë drejtim.</w:t>
      </w:r>
    </w:p>
    <w:p w14:paraId="3310184F" w14:textId="4A5B4E2C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Punën e Këshillit të Lartë Gjyqësor në propozimin dhe administrimin e buxhetit të vet dhe të gjykatave në përputhje me nevojat përkatëse.</w:t>
      </w:r>
    </w:p>
    <w:p w14:paraId="0B815EBA" w14:textId="2BD2BC83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Kontributin e dhënë nga Këshilli i Lartë Gjyqësor përmes opinioneve dhe sugjerimeve në procesin e hartimit të legjislacionit dhe/ose përmirësimin e tij.</w:t>
      </w:r>
    </w:p>
    <w:p w14:paraId="2B8B538D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Bazuar në analizën e të dhënave të vitit 2021, të referuara në raportin e paraqitur nga Këshilli i Lartë Gjyqësor, Kuvendi i Shqipërisë konstaton:</w:t>
      </w:r>
    </w:p>
    <w:p w14:paraId="7801B7C3" w14:textId="4E96AEDA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Zhvillimin e 100 mbledhjeve plenare dhe miratimin e 607 vendimeve për vitin 2021.</w:t>
      </w:r>
    </w:p>
    <w:p w14:paraId="74F3ABCC" w14:textId="05BEC30E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Plotësimin  e Gjykatës së Lartë me 9 anëtarë dhe hapjen e garës për të gjitha vendet e mbetura vakante përmes procedurës së ngritjes në detyrë të magjistratëve gjyqtarëve. </w:t>
      </w:r>
    </w:p>
    <w:p w14:paraId="4312A9F8" w14:textId="024DAC1C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Finalizimin e propozimit të përbashkët me Ministrinë e Drejtësisë të hartës së re gjyqësore dhe organizimin e konsultimeve publike me palët e interesuara.</w:t>
      </w:r>
    </w:p>
    <w:p w14:paraId="3E0F687C" w14:textId="78D04E3D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Vijimin e zbatimit të reformës së administratës civile gjyqësore nëpërmjet rekrutimit dhe shpërndarjes së 86 nëpunësve gjyqësorë në gjykata, përfundimit të verifikimit të kritereve ligjore, pasurisë dhe integritetit për 2/3 e kancelarëve në detyrë, si dhe verifikimit dhe pranimit në shërbim civil gjyqësor të 17 punonjësve, nga të cilët 7 këshilltarëve ligjorë pranë njësisë ligjore të Gjykatës së Lartë dhe 10 ndihmësligjorë në gjykatat e apeleve. </w:t>
      </w:r>
    </w:p>
    <w:p w14:paraId="70282B45" w14:textId="6A567079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Përcaktimin e numrit të kuotave në Shkollën e Magjistraturës për vitin akademik 2021-2022, plotësimin me 35 kandidatë për magjistratë në profilin gjyqtar dhe 20 kandidatë në profilin këshilltarë dhe ndihmësligjorë, për të cilët u krye edhe verifikimi i kritereve formale-ligjore, pasurisë dhe figurës për 26 kandidatë.</w:t>
      </w:r>
    </w:p>
    <w:p w14:paraId="5010E82E" w14:textId="1125BB89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Vijimin e bashkëpunimit të ngushtë me organet e rivlerësimit në kuadër të procesit të rivlerësimit kalimtar të gjyqtarëve nëpërmjet depozitimit pranë KPK-së të 70 raporteve të analizimit të aftësive profesionale të shoqëruara me 350 dosje gjyqësore për 70 subjekte (gjyqtarë) të rivlerësimit kalimtar. </w:t>
      </w:r>
    </w:p>
    <w:p w14:paraId="33A81F21" w14:textId="6F98279F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Ushtrimin e kompetencave lidhur me përgjegjësinë disiplinore të gjyqtarëve, me qëllim vetëpastrimin e sistemit gjyqësor nëpërmjet zhvillimit të 10 procedimeve disiplinore. </w:t>
      </w:r>
    </w:p>
    <w:p w14:paraId="53BEF67A" w14:textId="3B34E916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Me qëllim plotësimin e trupave gjyqësore në gjykata, trajtimin e 744 kërkesave duke caktuar 920 gjyqtarë për gjykimin e çështjeve gjyqësore të veçanta në gjykata të ndryshme nga ato ku ushtrojnë funksionin në mënyrë të përhershme ose 5% më shumë se vitin e shkuar, si dhe përfshirë në skemë delegimi 14 gjyqtarë dhe transferuar me pëlqim 10 të tjerë. </w:t>
      </w:r>
    </w:p>
    <w:p w14:paraId="600276B7" w14:textId="77DEC13D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Vazhdimin e plotësimit të paketës së akteve dhe vlerësimin etik-profesional të gjyqtarëve në përputhje me kuadrin ligjor në fuqi nëpërmjet hartimit dhe miratimit të 72 raporteve të vlerësimit (36 për periudhën e vlerësimit 2013-2016 dhe 36 për periudhën e vlerësimit viti 2019). </w:t>
      </w:r>
    </w:p>
    <w:p w14:paraId="599146DC" w14:textId="37A82F9B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Përfundimin e vlerësimit për 36 gjyqtarë, duke trajtuar me prioritet kandidatët të cilët janë në procedurat e ngritjes në detyrë në Gjykatën e Lartë, gjykatat e posaçme dhe gjykatat e apeleve, me qëllim funksionalizimin apo ruajtjen e funksionalitetit të tyre.</w:t>
      </w:r>
    </w:p>
    <w:p w14:paraId="355853D8" w14:textId="4A371D42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Shqyrtimin e 100 ankimeve kundër vendimeve të Inspektorit të Lartë të Drejtësisë për arkivimin e ankimit, nga 121 ankime të regjistruara në total, për të cilat Këshilli ka vendosur refuzimin e tyre si të pabazuar. </w:t>
      </w:r>
    </w:p>
    <w:p w14:paraId="18954ADB" w14:textId="3F6A3F8C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Marrjen e masave për përmirësimin e sistemit aktual të menaxhimit të çështjeve (ICMIS), me shtimin në këtë version të 37 zhvillimeve të reja, dhe duke iu përgjigjur me mbështetje teknike 667 kërkesave të gjykatave nga i gjithë vendi. </w:t>
      </w:r>
    </w:p>
    <w:p w14:paraId="32656EAE" w14:textId="6A14BE24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Trajtimin e 55 kërkesave në zbatim të ligjit për të drejtën e informimit. </w:t>
      </w:r>
    </w:p>
    <w:p w14:paraId="7853C8BF" w14:textId="38CF5494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Përditësimin me informacion të faqes zyrtare të internetit me materialet dhe vendimmarrjet e Këshillit. </w:t>
      </w:r>
    </w:p>
    <w:p w14:paraId="414948CA" w14:textId="04EC8205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Hartimin dhe miratimin e rregulloreve për shqyrtimin e praktikave korruptive në KLGJ, hetimin administrativ të sinjalizimit, mbrojtjen e sinjalizuesve dhe ruajtjen e konfidencialitetit, në funksion të angazhimit të Këshillit për parandalimin dhe luftën kundër korrupsionit në institucion. </w:t>
      </w:r>
    </w:p>
    <w:p w14:paraId="337A3B89" w14:textId="78853AE3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Vijimin e bashkëpunimit të brendshëm dhe të jashtëm duke zhvilluar një sërë aktivitetesh, takimesh, konferencash dhe trajnimesh me institucionet vendase, ndërko</w:t>
      </w:r>
      <w:r w:rsidR="00BB0C50">
        <w:rPr>
          <w:rFonts w:ascii="Garamond" w:hAnsi="Garamond" w:cs="Times New Roman"/>
          <w:color w:val="000000"/>
          <w:sz w:val="24"/>
          <w:szCs w:val="24"/>
        </w:rPr>
        <w:t>mbëtare, shoqërinë civile etj.</w:t>
      </w: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34ABB8D" w14:textId="630FA691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Zhvillimin e trajnimeve në bashkëpunim me Shkollën e Magjistraturës, ASPA-n, projektet e asistencës së huaj etj., të punonjësve të institucionit, punonjësve të gjykatave dhe gjyqtarëve. </w:t>
      </w:r>
    </w:p>
    <w:p w14:paraId="150A06B0" w14:textId="6A75F3AC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Hartimin e Planit të dytë Strategjik për periudhën 2022-2024, i cili i është nënshtruar një procesi gjithëpërfshirës dhe transparent konsultimesh.</w:t>
      </w:r>
    </w:p>
    <w:p w14:paraId="3CAF4828" w14:textId="4A120465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KLGJ-ja ka adresuar nevojën për disa ndryshime ligjore që i shërbejnë mirëfunksionimit të sistemit të drejtësisë.</w:t>
      </w:r>
    </w:p>
    <w:p w14:paraId="03916544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Bazuar sa më sipër, Kuvendi i Shqipërisë nxit Këshillin e Lartë Gjyqësor:</w:t>
      </w:r>
    </w:p>
    <w:p w14:paraId="55861372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1. Të veprojë me ritme të shpejta për adresimin e zgjidhjeve të problematikave në sistemin</w:t>
      </w:r>
    </w:p>
    <w:p w14:paraId="13A4E1CC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Gjyqësor, me qëllim mirëfunksionimin e sistemit në kuadër të parimit të funksionalitetit.</w:t>
      </w:r>
    </w:p>
    <w:p w14:paraId="3776F95F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2. T’i kushtojë rëndësi informimit të publikut për qasjen në drejtësi dhe mbarëvajtjes së</w:t>
      </w:r>
    </w:p>
    <w:p w14:paraId="6A497612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lastRenderedPageBreak/>
        <w:t>marrëdhënieve të gjyqësorit me publikun.</w:t>
      </w:r>
    </w:p>
    <w:p w14:paraId="1F437219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3. Të forcojë bashkëpunimin me organet e qeverisjes së sistemit të drejtësisë dhe institucionet e tjera shtetërore në përputhje me parashikimet ligjore në fuqi për të gjitha proceset që ndikojnë në zbatimin e duhur dhe efektiv të reformës në drejtësi.</w:t>
      </w:r>
    </w:p>
    <w:p w14:paraId="797CEF96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4. Të informojë, sa herë kërkohet, Kuvendin e Shqipërisë për problematikat e hasura në sistemin gjyqësor duke rekomanduar edhe zgjidhjet përkatëse.</w:t>
      </w:r>
    </w:p>
    <w:p w14:paraId="2B415C62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0929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 për vitin 2022 i rekomandon Këshillit të Lartë Gjyqësor:</w:t>
      </w:r>
    </w:p>
    <w:p w14:paraId="60F7982B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1. Të përmbyllë në një kohë sa më të shkurtër procesin e plotësimit të vakancave në Gjykatën e Lartë. </w:t>
      </w:r>
    </w:p>
    <w:p w14:paraId="15958BA1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2. Të vijojë me ritme të shpejta procedurat për plotësimin e vendeve vakante në Gjykatën e Posaçme të Apelit për Korrupsionin dhe Krimin e Organizuar dhe në Gjykatën e Shkallës së Parë për Korrupsionin dhe Krimin e Organizuar.</w:t>
      </w:r>
    </w:p>
    <w:p w14:paraId="251A6972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3. Të ndjekë dhe të informojë periodikisht Kuvendin e Shqipërisë për ecurinë dhe problematikat në implementimin e hartës së re gjyqësore.</w:t>
      </w:r>
    </w:p>
    <w:p w14:paraId="014BF89C" w14:textId="10074EC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4. Të vijojë me intensitet puna për rritjen e efi</w:t>
      </w:r>
      <w:r w:rsidR="00516E8C">
        <w:rPr>
          <w:rFonts w:ascii="Garamond" w:hAnsi="Garamond" w:cs="Times New Roman"/>
          <w:color w:val="000000"/>
          <w:sz w:val="24"/>
          <w:szCs w:val="24"/>
        </w:rPr>
        <w:t>ci</w:t>
      </w:r>
      <w:r w:rsidRPr="00180929">
        <w:rPr>
          <w:rFonts w:ascii="Garamond" w:hAnsi="Garamond" w:cs="Times New Roman"/>
          <w:color w:val="000000"/>
          <w:sz w:val="24"/>
          <w:szCs w:val="24"/>
        </w:rPr>
        <w:t>encës së administrimit të gjykatave sipas përcaktimeve të nenit 89 të ligjit nr. 115/2016 “Për organet e qeverisjes së sistemit të drejtësisë”.</w:t>
      </w:r>
    </w:p>
    <w:p w14:paraId="5A8D2301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5. Të vijojë me përparësi zbatimin e procesit të vlerësimit etik-profesional të gjyqtarëve në përputhje me skemën e re të vlerësimit. </w:t>
      </w:r>
    </w:p>
    <w:p w14:paraId="7384CF41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6. Të bashkëpunohet me organet e tjera të drejtësisë për nevojat e aksesit në sistemin elektronik të menaxhimit të çështjeve, për aq sa është e mundur, në përputhje me parashikimet përkatëse ligjore dhe mundësitë teknike.</w:t>
      </w:r>
    </w:p>
    <w:p w14:paraId="490FD983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7. Me qëllim përmbushjen e përcaktimeve ligjore, të organizohen takime të përbashkëta periodike me Këshillin e Lartë të Prokurorisë duke e vendosur theksin në unifikimin e interpretimit dhe zbatimit të ligjeve.</w:t>
      </w:r>
    </w:p>
    <w:p w14:paraId="00185BD2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8. Të përshpejtojë ritmet e punës për vlerësimin vjetor të performancës së personelit të administratës së gjykatës.</w:t>
      </w:r>
    </w:p>
    <w:p w14:paraId="418749FA" w14:textId="77777777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9. Të përmbyllë miratimin e të gjitha akteve nënligjore që përcaktohen në ligjet e reformës në drejtësi.</w:t>
      </w:r>
    </w:p>
    <w:p w14:paraId="7E2DC89F" w14:textId="0365F3E6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10.</w:t>
      </w:r>
      <w:r w:rsidR="00516E8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0929">
        <w:rPr>
          <w:rFonts w:ascii="Garamond" w:hAnsi="Garamond" w:cs="Times New Roman"/>
          <w:color w:val="000000"/>
          <w:sz w:val="24"/>
          <w:szCs w:val="24"/>
        </w:rPr>
        <w:t>Në bashkëpunim me Këshillin e Lartë të Prokurorisë të miratohen rregullat e përbashkëta për bashkimin e procedimeve në rastin kur një gjyqtar dhe një prokuror janë përfshirë në të njëjtën shkelje.</w:t>
      </w:r>
    </w:p>
    <w:p w14:paraId="3D766A35" w14:textId="794A7C98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11.</w:t>
      </w:r>
      <w:r w:rsidR="00516E8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0929">
        <w:rPr>
          <w:rFonts w:ascii="Garamond" w:hAnsi="Garamond" w:cs="Times New Roman"/>
          <w:color w:val="000000"/>
          <w:sz w:val="24"/>
          <w:szCs w:val="24"/>
        </w:rPr>
        <w:t>Në përmbushje të detyrimeve ligjore dhe specifikimeve të nenit 87 të ligjit nr. 115/2016 “Për organet e qeverisjes së sistemit të drejtësisë” të mbajë dhe të artikulojë publikisht qëndrimet përkatëse kur gjykohet se pavarësia e pushtetit gjyqësor është cenuar.</w:t>
      </w:r>
    </w:p>
    <w:p w14:paraId="02D54335" w14:textId="399ABC58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12.</w:t>
      </w:r>
      <w:r w:rsidR="00516E8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0929">
        <w:rPr>
          <w:rFonts w:ascii="Garamond" w:hAnsi="Garamond" w:cs="Times New Roman"/>
          <w:color w:val="000000"/>
          <w:sz w:val="24"/>
          <w:szCs w:val="24"/>
        </w:rPr>
        <w:t>Të intensifikojë veprimtarinë në përmbushje të përcaktimeve për qasjen në drejtësi dhe marrëdhëniet me publikun, si dhe në bashkëpunim me Shkollën e Magjistraturës të organizojnë trajnime për anëtarët e Këshillit, gjyqtarët, për mediet, administratën e Këshillit dhe nëpunësit civilë gjyqësorë të përfshirë në këto aktivitete.</w:t>
      </w:r>
    </w:p>
    <w:p w14:paraId="4A7FF476" w14:textId="00384FD1" w:rsidR="00180929" w:rsidRP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>13.</w:t>
      </w:r>
      <w:r w:rsidR="00516E8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0929">
        <w:rPr>
          <w:rFonts w:ascii="Garamond" w:hAnsi="Garamond" w:cs="Times New Roman"/>
          <w:color w:val="000000"/>
          <w:sz w:val="24"/>
          <w:szCs w:val="24"/>
        </w:rPr>
        <w:t>Të vijojë me dhënien e opinioneve dhe vlerësimeve për përmirësimet ligjore në përputhje me përcaktimet e nenit 187 të ligjit nr. 115/2016 “Për organet e qeverisjes së sistemit të drejtësisë.</w:t>
      </w:r>
    </w:p>
    <w:p w14:paraId="09787103" w14:textId="4BCA413C" w:rsidR="00180929" w:rsidRDefault="00180929" w:rsidP="001809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0929">
        <w:rPr>
          <w:rFonts w:ascii="Garamond" w:hAnsi="Garamond" w:cs="Times New Roman"/>
          <w:color w:val="000000"/>
          <w:sz w:val="24"/>
          <w:szCs w:val="24"/>
        </w:rPr>
        <w:t xml:space="preserve">Miratuar </w:t>
      </w:r>
      <w:r w:rsidR="00773195">
        <w:rPr>
          <w:rFonts w:ascii="Garamond" w:hAnsi="Garamond" w:cs="Times New Roman"/>
          <w:color w:val="000000"/>
          <w:sz w:val="24"/>
          <w:szCs w:val="24"/>
        </w:rPr>
        <w:t>m</w:t>
      </w:r>
      <w:r w:rsidRPr="00180929">
        <w:rPr>
          <w:rFonts w:ascii="Garamond" w:hAnsi="Garamond" w:cs="Times New Roman"/>
          <w:color w:val="000000"/>
          <w:sz w:val="24"/>
          <w:szCs w:val="24"/>
        </w:rPr>
        <w:t>ë datë 14.7.2022</w:t>
      </w:r>
      <w:r w:rsidR="0077319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DC2C893" w14:textId="2BF33BDC" w:rsidR="00B310E1" w:rsidRDefault="00B310E1" w:rsidP="00B310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r>
        <w:rPr>
          <w:rFonts w:ascii="Garamond" w:hAnsi="Garamond" w:cs="Times New Roman"/>
          <w:color w:val="000000"/>
          <w:sz w:val="24"/>
          <w:szCs w:val="24"/>
        </w:rPr>
        <w:t>KRYETARE</w:t>
      </w:r>
    </w:p>
    <w:p w14:paraId="074CE4D4" w14:textId="4501AFA6" w:rsidR="00B310E1" w:rsidRPr="00B310E1" w:rsidRDefault="00B310E1" w:rsidP="00B310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B310E1">
        <w:rPr>
          <w:rFonts w:ascii="Garamond" w:hAnsi="Garamond" w:cs="Times New Roman"/>
          <w:b/>
          <w:color w:val="000000"/>
          <w:sz w:val="24"/>
          <w:szCs w:val="24"/>
        </w:rPr>
        <w:t>Lindita Nikolla</w:t>
      </w:r>
      <w:bookmarkEnd w:id="0"/>
    </w:p>
    <w:sectPr w:rsidR="00B310E1" w:rsidRPr="00B310E1" w:rsidSect="00E7684C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2128F" w14:textId="77777777" w:rsidR="00BB0C50" w:rsidRDefault="00BB0C50" w:rsidP="00C86383">
      <w:pPr>
        <w:spacing w:after="0" w:line="240" w:lineRule="auto"/>
      </w:pPr>
      <w:r>
        <w:separator/>
      </w:r>
    </w:p>
  </w:endnote>
  <w:endnote w:type="continuationSeparator" w:id="0">
    <w:p w14:paraId="67DCBD88" w14:textId="77777777" w:rsidR="00BB0C50" w:rsidRDefault="00BB0C50" w:rsidP="00C86383">
      <w:pPr>
        <w:spacing w:after="0" w:line="240" w:lineRule="auto"/>
      </w:pPr>
      <w:r>
        <w:continuationSeparator/>
      </w:r>
    </w:p>
  </w:endnote>
  <w:endnote w:type="continuationNotice" w:id="1">
    <w:p w14:paraId="6CA16C99" w14:textId="77777777" w:rsidR="00BB0C50" w:rsidRDefault="00BB0C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8455A" w14:textId="16107F16" w:rsidR="00BB0C50" w:rsidRPr="00E7684C" w:rsidRDefault="00BB0C50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BB0C50" w:rsidRDefault="00BB0C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EC673" w14:textId="77777777" w:rsidR="00BB0C50" w:rsidRDefault="00BB0C50" w:rsidP="00C86383">
      <w:pPr>
        <w:spacing w:after="0" w:line="240" w:lineRule="auto"/>
      </w:pPr>
      <w:r>
        <w:separator/>
      </w:r>
    </w:p>
  </w:footnote>
  <w:footnote w:type="continuationSeparator" w:id="0">
    <w:p w14:paraId="32C90535" w14:textId="77777777" w:rsidR="00BB0C50" w:rsidRDefault="00BB0C50" w:rsidP="00C86383">
      <w:pPr>
        <w:spacing w:after="0" w:line="240" w:lineRule="auto"/>
      </w:pPr>
      <w:r>
        <w:continuationSeparator/>
      </w:r>
    </w:p>
  </w:footnote>
  <w:footnote w:type="continuationNotice" w:id="1">
    <w:p w14:paraId="09324E52" w14:textId="77777777" w:rsidR="00BB0C50" w:rsidRDefault="00BB0C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937AF"/>
    <w:multiLevelType w:val="hybridMultilevel"/>
    <w:tmpl w:val="7332B462"/>
    <w:lvl w:ilvl="0" w:tplc="BABE792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7CE0"/>
    <w:rsid w:val="001501FF"/>
    <w:rsid w:val="0016140E"/>
    <w:rsid w:val="00162EC4"/>
    <w:rsid w:val="00176BBD"/>
    <w:rsid w:val="00180929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4536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1991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6C04"/>
    <w:rsid w:val="003918EF"/>
    <w:rsid w:val="00391D0F"/>
    <w:rsid w:val="00393AEF"/>
    <w:rsid w:val="00393D81"/>
    <w:rsid w:val="00394CF3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04781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16E8C"/>
    <w:rsid w:val="00520F52"/>
    <w:rsid w:val="005228B2"/>
    <w:rsid w:val="005228E2"/>
    <w:rsid w:val="005243D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19B3"/>
    <w:rsid w:val="00605A5F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61637"/>
    <w:rsid w:val="00761C31"/>
    <w:rsid w:val="00761C60"/>
    <w:rsid w:val="00773195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1AF4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75D7D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122A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10E1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87B02"/>
    <w:rsid w:val="00B91916"/>
    <w:rsid w:val="00BA2D77"/>
    <w:rsid w:val="00BA7E66"/>
    <w:rsid w:val="00BB0C50"/>
    <w:rsid w:val="00BB1D27"/>
    <w:rsid w:val="00BB4C3C"/>
    <w:rsid w:val="00BB5EC4"/>
    <w:rsid w:val="00BC2A76"/>
    <w:rsid w:val="00BD592D"/>
    <w:rsid w:val="00BD5A4B"/>
    <w:rsid w:val="00BF0A3E"/>
    <w:rsid w:val="00BF1682"/>
    <w:rsid w:val="00BF1C79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5F33"/>
    <w:rsid w:val="00CC6F24"/>
    <w:rsid w:val="00CD31B5"/>
    <w:rsid w:val="00CD3633"/>
    <w:rsid w:val="00CD48BD"/>
    <w:rsid w:val="00CE032B"/>
    <w:rsid w:val="00CE0964"/>
    <w:rsid w:val="00CE0B9A"/>
    <w:rsid w:val="00CE1708"/>
    <w:rsid w:val="00CE5869"/>
    <w:rsid w:val="00CE6F13"/>
    <w:rsid w:val="00D05C90"/>
    <w:rsid w:val="00D0709B"/>
    <w:rsid w:val="00D16956"/>
    <w:rsid w:val="00D17929"/>
    <w:rsid w:val="00D2027A"/>
    <w:rsid w:val="00D22C59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719E7"/>
    <w:rsid w:val="00D82199"/>
    <w:rsid w:val="00D84E15"/>
    <w:rsid w:val="00D864D2"/>
    <w:rsid w:val="00D874FB"/>
    <w:rsid w:val="00D90262"/>
    <w:rsid w:val="00D9235C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07D33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A7C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2022-07-29T07:00:12Z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Për vlerësimin e veprimtarisë së Këshillit të Lartë Gjyqësor për vitin 2021</Titulli>
    <Modifikuesi xmlns="0e656187-b300-4fb0-8bf4-3a50f872073c">jorina.kryeziu</Modifikuesi>
    <Nr_x002e__x0020_prot_x0020_QBZ xmlns="0e656187-b300-4fb0-8bf4-3a50f872073c">1148/7</Nr_x002e__x0020_prot_x0020_QBZ>
    <Data_x0020_e_x0020_Modifikimit xmlns="0e656187-b300-4fb0-8bf4-3a50f872073c">2022-07-29T10:31:31Z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2572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10285185E49AF8AE4D898D9D66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10285185E49AF8AE4D898D9D66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75C8B-8DD1-42CB-B550-0F75F6EC0B61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A307022-D5C4-4531-AD3E-1292EDC34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936500-9ED9-4C17-AF0B-74A35BDAF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374B5B-A0E7-41B8-B31D-AF750AF936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02047A-4750-4A3B-8BE1-E23A5EAC8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F2F51E-6593-407A-B78A-9942FFE6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Këshillit të Lartë Gjyqësor për vitin 2021</vt:lpstr>
    </vt:vector>
  </TitlesOfParts>
  <Company/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Këshillit të Lartë Gjyqësor për vitin 2021</dc:title>
  <dc:creator>user</dc:creator>
  <cp:lastModifiedBy>Valjeta Kaftalli</cp:lastModifiedBy>
  <cp:revision>74</cp:revision>
  <cp:lastPrinted>2022-07-19T07:40:00Z</cp:lastPrinted>
  <dcterms:created xsi:type="dcterms:W3CDTF">2019-04-04T07:08:00Z</dcterms:created>
  <dcterms:modified xsi:type="dcterms:W3CDTF">2022-07-29T10:42:00Z</dcterms:modified>
</cp:coreProperties>
</file>