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7B563C" w:rsidRDefault="007B563C" w:rsidP="007B56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E10BF5">
        <w:rPr>
          <w:rFonts w:ascii="Garamond" w:eastAsia="Times New Roman" w:hAnsi="Garamond" w:cs="Times New Roman"/>
          <w:b/>
          <w:sz w:val="24"/>
          <w:szCs w:val="24"/>
        </w:rPr>
        <w:t>REZOLUTË</w:t>
      </w:r>
    </w:p>
    <w:p w14:paraId="6172BDEF" w14:textId="77777777" w:rsidR="00830DA7" w:rsidRPr="00E10BF5" w:rsidRDefault="00830DA7" w:rsidP="007B56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7E350FEC" w14:textId="57AB54AF" w:rsidR="007B563C" w:rsidRPr="00E10BF5" w:rsidRDefault="007B563C" w:rsidP="007B56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E10BF5">
        <w:rPr>
          <w:rFonts w:ascii="Garamond" w:eastAsia="Times New Roman" w:hAnsi="Garamond" w:cs="Times New Roman"/>
          <w:b/>
          <w:sz w:val="24"/>
          <w:szCs w:val="24"/>
        </w:rPr>
        <w:t>PËR VLERËSIMIN E VEPRIMTARISË SË KËSHILLIT TË LARTË GJYQËSOR</w:t>
      </w:r>
    </w:p>
    <w:p w14:paraId="54B0C001" w14:textId="37B5BA2F" w:rsidR="007B563C" w:rsidRPr="00E10BF5" w:rsidRDefault="007B563C" w:rsidP="007B56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E10BF5">
        <w:rPr>
          <w:rFonts w:ascii="Garamond" w:eastAsia="Times New Roman" w:hAnsi="Garamond" w:cs="Times New Roman"/>
          <w:b/>
          <w:sz w:val="24"/>
          <w:szCs w:val="24"/>
        </w:rPr>
        <w:t>PËR VITIN 2022</w:t>
      </w:r>
    </w:p>
    <w:p w14:paraId="1BC2B62A" w14:textId="62DCA13A" w:rsidR="007B563C" w:rsidRPr="00E10BF5" w:rsidRDefault="007B563C" w:rsidP="007B56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B946C5B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E10BF5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59E82EB2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Duke nënvizuar rëndësinë e rolit të Këshillit të Lartë Gjyqësor në sigurimin e pavarësisë, përgjegjshmërisë dhe mbarëvajtjes së pushtetit gjyqësor në Republikën e Shqipërisë;</w:t>
      </w:r>
    </w:p>
    <w:p w14:paraId="2979B459" w14:textId="6E7CE4FC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Duke mbajtur parasysh rolin e Këshillit të Lartë Gjyqësor në emërimin, caktimin në pozicion, transferimin, ngritjen në detyrë, komandimin dhe riemërimin, vlerësimin e veprimtarisë etike dhe profesionale, vendosjen e masave disiplinore dhe pezullimin e gjyqtarëve të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 gjitha niveleve;</w:t>
      </w:r>
    </w:p>
    <w:p w14:paraId="0A3DCF49" w14:textId="6340F8B2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Duke nënvizuar rëndësinë e bashkëpunimit të Këshillit të Lartë Gjyqësor me Shkollën e Magjistraturës, sidomos për trajnimin vazhdues të gjyqtarëve dhe emërimin e gjyqtarëve pas diplomimit në Shkollën e Magjistraturës; </w:t>
      </w:r>
    </w:p>
    <w:p w14:paraId="11DD0BBE" w14:textId="31AE8EA0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Duke theksuar rëndësinë e rolit të Këshillit të Lartë Gjyqësor në drejtimin dhe kujdes</w:t>
      </w:r>
      <w:r w:rsidR="00AA4ACD">
        <w:rPr>
          <w:rFonts w:ascii="Garamond" w:eastAsia="Times New Roman" w:hAnsi="Garamond" w:cs="Times New Roman"/>
          <w:sz w:val="24"/>
          <w:szCs w:val="24"/>
        </w:rPr>
        <w:t>i</w:t>
      </w:r>
      <w:r w:rsidRPr="00E10BF5">
        <w:rPr>
          <w:rFonts w:ascii="Garamond" w:eastAsia="Times New Roman" w:hAnsi="Garamond" w:cs="Times New Roman"/>
          <w:sz w:val="24"/>
          <w:szCs w:val="24"/>
        </w:rPr>
        <w:t xml:space="preserve">n për mbarëvajtjen e punës në administratën e gjykatave me fokus hartimin dhe ndjekjen e zbatimit të politikave për administrimin gjyqësor, monitorimin dhe menaxhimin e ngarkesës së gjyqtarëve dhe të gjykatave, kohëzgjatjen e çështjeve dhe miratimin e rregullave të brendshme standarde të gjykatës; </w:t>
      </w:r>
    </w:p>
    <w:p w14:paraId="05298C70" w14:textId="6471698A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Duke mbajtur në konsideratë nevojat e Këshillit për mbarëvajtjen e sistemit gjyqësor; </w:t>
      </w:r>
    </w:p>
    <w:p w14:paraId="1A625E04" w14:textId="23DDEAC3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Duke mbajtur parasysh rëndësinë e informimit të publikut dhe Kuvendit për gjendjen e</w:t>
      </w:r>
      <w:r w:rsidR="00D32EC6">
        <w:rPr>
          <w:rFonts w:ascii="Garamond" w:eastAsia="Times New Roman" w:hAnsi="Garamond" w:cs="Times New Roman"/>
          <w:sz w:val="24"/>
          <w:szCs w:val="24"/>
        </w:rPr>
        <w:t xml:space="preserve"> </w:t>
      </w:r>
      <w:bookmarkStart w:id="0" w:name="_GoBack"/>
      <w:bookmarkEnd w:id="0"/>
      <w:r w:rsidRPr="00E10BF5">
        <w:rPr>
          <w:rFonts w:ascii="Garamond" w:eastAsia="Times New Roman" w:hAnsi="Garamond" w:cs="Times New Roman"/>
          <w:sz w:val="24"/>
          <w:szCs w:val="24"/>
        </w:rPr>
        <w:t>sistemit gjyqësor;</w:t>
      </w:r>
    </w:p>
    <w:p w14:paraId="64084DF0" w14:textId="3E1A5534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E10BF5">
        <w:rPr>
          <w:rFonts w:ascii="Garamond" w:eastAsia="Times New Roman" w:hAnsi="Garamond" w:cs="Times New Roman"/>
          <w:b/>
          <w:sz w:val="24"/>
          <w:szCs w:val="24"/>
        </w:rPr>
        <w:t>Bazuar në analizën e të dhënave të vitit 2022, të referuara në raportin e paraqitur nga Këshilli i Lartë Gjyqësor, konstaton:</w:t>
      </w:r>
    </w:p>
    <w:p w14:paraId="611AE502" w14:textId="777CA2A8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Miratimin e Planit të ri Strategjik të Këshillit për sistemin gjyqësor në Shqipëri për periudhën 2022–2024.</w:t>
      </w:r>
    </w:p>
    <w:p w14:paraId="5FD055FE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Miratimin e planit të ri të komunikimit për gjykatat, të shoqëruar me një sërë aktesh, me qëllim rritjen e transparencës.</w:t>
      </w:r>
    </w:p>
    <w:p w14:paraId="567FE111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Plotësimin e Gjykatës së Lartë me 16 anëtarë dhe hapjen e garës për 3 vendet e mbetura vakante përmes procedurës së ngritjes në detyrë të magjistratëve/gjyqtarëve.</w:t>
      </w:r>
    </w:p>
    <w:p w14:paraId="02EA2352" w14:textId="4CEE3CBF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Ngritjen dhe funksionimin e Grupit Ndërinstitucional të Punës (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GNP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>) për ndjekjen dhe zbatimin e vendimit nr. 495, datë 21.7.2022 të Këshillit të Ministrave</w:t>
      </w:r>
      <w:r w:rsidR="00AA4ACD">
        <w:rPr>
          <w:rFonts w:ascii="Garamond" w:eastAsia="Times New Roman" w:hAnsi="Garamond" w:cs="Times New Roman"/>
          <w:sz w:val="24"/>
          <w:szCs w:val="24"/>
        </w:rPr>
        <w:t>,</w:t>
      </w:r>
      <w:r w:rsidRPr="00E10BF5">
        <w:rPr>
          <w:rFonts w:ascii="Garamond" w:eastAsia="Times New Roman" w:hAnsi="Garamond" w:cs="Times New Roman"/>
          <w:sz w:val="24"/>
          <w:szCs w:val="24"/>
        </w:rPr>
        <w:t xml:space="preserve"> “Për riorganizimin e rretheve gjyqësore dhe kompetencave gjyqësore të gjykatave”. </w:t>
      </w:r>
    </w:p>
    <w:p w14:paraId="6B59A19B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Vazhdimin e zbatimit të reformës së administratës civile gjyqësore duke realizuar shtimin e stafit administrativ dhe mbështetjen teknike në sistemin e menaxhimit të çështjeve në gjykatat e apelit, standardizimin dhe përmirësimin e sistemit të llogaridhënies së nëpunësve civilë gjyqësorë përmes miratimit të rregullores “Për zhvillimin e procedurave disiplinore për kancelarin, këshilltarin dhe ndihmësin ligjor”, si dhe verifikimin dhe pranimin në shërbimin civil gjyqësor të 15 punonjësve nga të cilët 5 këshilltarë ligjorë pranë njësisë ligjore të Gjykatës së Lartë dhe 10 ndihmës ligjorë në gjykatat e apeleve.</w:t>
      </w:r>
    </w:p>
    <w:p w14:paraId="63BA8E1E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Përcaktimin e numrit të kuotave në Shkollën e Magjistraturës për vitin akademik 2022- 2023, plotësimin me 45 kandidatë për magjistratë në profilin gjyqtar dhe 10 kandidatë në profilin këshilltar dhe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ndihmësligjor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 për të cilët u krye edhe verifikimi i kritereve formale ligjore, pasurisë dhe figurës.</w:t>
      </w:r>
    </w:p>
    <w:p w14:paraId="01C3AD12" w14:textId="2CF03DF4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Vijimin e bashkëpunimit të ngushtë me organet e rivlerësimit në kuadër të procesit të rivlerësimit kalimtar të gjyqtarëve duke depozituar pranë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KPK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-së 30 raporte të analizimit të aftësive profesionale të shoqëruara me 150 dosje gjyqësore për 30 subjekte të rivlerësimit kalimtar. </w:t>
      </w:r>
    </w:p>
    <w:p w14:paraId="27643444" w14:textId="3756EFBF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Ushtrimin e kompetencave lidhur me përgjegjësinë disiplinore të gjyqtarëve duke zhvilluar 5 procedimeve disiplinore.</w:t>
      </w:r>
    </w:p>
    <w:p w14:paraId="329757C5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lastRenderedPageBreak/>
        <w:t>Punën për forcimin e kapaciteteve të Qendrës së Teknologjisë së Informacionit dhe kontributin për krijimin e sistemit të ri modern të integruar të menaxhimit të çështjeve gjyqësore.</w:t>
      </w:r>
    </w:p>
    <w:p w14:paraId="730EE280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Me qëllim plotësimin e trupave gjyqësore në gjykata, trajtimin e 744 kërkesave duke caktuar 920 gjyqtarë për gjykimin e çështjeve gjyqësore të veçanta në gjykata të ndryshme nga ato ku ushtrojnë funksionin në mënyrë të përhershme, si dhe përfshirë në skemë delegimi 10 gjyqtarë dhe transferuar me pëlqim 9 të tjerë.</w:t>
      </w:r>
    </w:p>
    <w:p w14:paraId="1D1442B6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Vazhdimin e vlerësimeve etike-profesionale të gjyqtarëve në përputhje me kuadrin ligjor në fuqi, duke hartuar dhe miratuar 27 raporte vlerësimi, duke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prioritizuar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 kandidatët të cilët janë në procedurat e ngritjes në detyrë në Gjykatën e Lartë, gjykatat e posaçme dhe gjykatat e apeleve, me qëllim funksionalizimin apo ruajtjen e funksionalitetit të tyre. </w:t>
      </w:r>
    </w:p>
    <w:p w14:paraId="2D4FFD7C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Zhvillimin e 114 mbledhjeve plenare, nga të cilat 45 mbledhje për caktim gjyqtarësh me qëllim plotësimin e trupës gjyqësore dhe miratimin e 562 vendimeve. </w:t>
      </w:r>
    </w:p>
    <w:p w14:paraId="70BC4ED1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Marrjen e masave për përmirësimin e sistemit aktual të menaxhimit të çështjeve (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ICMIS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 dhe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ARKIT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), duke iu përgjigjur me mbështetje teknike 686 kërkesave të gjykatave nga i gjithë vendi. </w:t>
      </w:r>
    </w:p>
    <w:p w14:paraId="0328A0CA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Përfundimin me sukses të migrimit të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 gjithë bazës së të dhënave të 5 gjykatave të mëparshme të apelit në Gjykatën e Apelit të Juridiksionit të Përgjithshëm, realizuar në kuadër të zbatimit të hartës së re gjyqësore, si dhe përcaktimin e rregullave të hollësishme për ndarjen e çështjeve me short, marrjen e masave të nevojshme, si dhe testimin i këtij mekanizmi për të mundësuar realizimin me sukses në praktikë.</w:t>
      </w:r>
    </w:p>
    <w:p w14:paraId="48AD1869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Trajtimin e 24 kërkesave në zbatim të ligjit për të drejtën e informimit.</w:t>
      </w:r>
    </w:p>
    <w:p w14:paraId="0F08807B" w14:textId="7DFDA288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Përditësimin me informacion të faqes zyrtare të internetit me materialet dhe vendimmarrjet e Këshillit.</w:t>
      </w:r>
    </w:p>
    <w:p w14:paraId="73951944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Vijimin e bashkëpunimit të brendshëm dhe të jashtëm duke zhvilluar një sërë aktivitetesh, takimesh, konferencash dhe trajnimesh me institucionet vendase, ndërkombëtare, shoqërinë civile, etj.</w:t>
      </w:r>
    </w:p>
    <w:p w14:paraId="39F72EFA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Zhvillimin e trajnimeve në bashkëpunim me Shkollën e Magjistraturës,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ASPA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>-n, projektet e asistencës së huaj etj., të 13 punonjësve të institucionit, 103 punonjësve të gjykatave dhe 220 gjyqtarëve.</w:t>
      </w:r>
    </w:p>
    <w:p w14:paraId="60461690" w14:textId="0EB60506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E10BF5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 i rekomandon Këshillit të Lartë Gjyqësor për vitin 2023, në përmbushje të detyrave të ngarkuara me ligj, të angazhohet veçanërisht edhe në këto drejtime: </w:t>
      </w:r>
    </w:p>
    <w:p w14:paraId="528FA171" w14:textId="6A23CCC1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1. Të përmbyllë procesin e plotësimit të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vakancave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 në Gjykatën e Lartë. </w:t>
      </w:r>
    </w:p>
    <w:p w14:paraId="6B3152C6" w14:textId="67BC3D52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2. Të vijojë me ritme të shpejta procedurat për plotësimin e vendeve vakante në Gjykatën e Posaçme të Apelit për Korrupsionin dhe Krimin e Organizuar dhe në Gjykatën e Shkallës së Parë për Korrupsionin dhe Krimin e Organizuar. </w:t>
      </w:r>
    </w:p>
    <w:p w14:paraId="5E417741" w14:textId="779E6A51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3. Të ndjekë ecurinë dhe problematikat në implementimin e hartës së re gjyqësore dhe të informojë Kuvendin e Shqipërisë rreth tyre brenda muajit dhjetor 2023. </w:t>
      </w:r>
    </w:p>
    <w:p w14:paraId="1088E63D" w14:textId="66FB939E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4. Të vijojë me hartimin dhe miratimin e kuadrit nënligjor për planifikimin strategjik, administrimin dhe buxhetin e sistemit gjyqësor, veprimtarinë dhe mirëfunksionimin e gjykatave, si dhe atyre për vlerësimin, promovimin dhe disiplinën e gjyqtarëve. </w:t>
      </w:r>
    </w:p>
    <w:p w14:paraId="6EF55BAB" w14:textId="613BBA64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5. Të finalizojë paketën e akteve të nevojshme për mirëfunksionimin e administratës civile gjyqësore në zbatim të reformës për nëpunësin civil gjyqësor.</w:t>
      </w:r>
    </w:p>
    <w:p w14:paraId="55CAA116" w14:textId="1DCC29B1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6. Të ndërtojë një strategji konkrete për menaxhimin e çështjeve që presin të shqyrtohen (</w:t>
      </w:r>
      <w:proofErr w:type="spellStart"/>
      <w:r w:rsidRPr="00E10BF5">
        <w:rPr>
          <w:rFonts w:ascii="Garamond" w:eastAsia="Times New Roman" w:hAnsi="Garamond" w:cs="Times New Roman"/>
          <w:i/>
          <w:sz w:val="24"/>
          <w:szCs w:val="24"/>
        </w:rPr>
        <w:t>backlog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), si dhe të bëjë të mundur standardizimin e normës orientuese për evadimin e çështjeve. </w:t>
      </w:r>
    </w:p>
    <w:p w14:paraId="5992AD78" w14:textId="67377086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7. Të nxisë Gjykatën e Lartë për njësimin e praktikave gjyqësore, me qëllim vendosjen e standardeve të njëjta në drejtim të respektimit të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 drejtave të njeriut në procesin penal, parimit të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proporcionalitetit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>, veçanërisht për zbatimin e masave të sigurimit personal, aplikimin e gjykimeve të posaçme dhe veprave penale të dhunës në familje.</w:t>
      </w:r>
    </w:p>
    <w:p w14:paraId="6B15C4AF" w14:textId="52B2AAED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 xml:space="preserve">8. Të thellojë bashkëpunimin me Shkollën e Magjistraturës për përcaktimin e kuotave për magjistratët e rinj dhe për trajnimin fillestar të tyre, si dhe për trajnimin e gjyqtarëve në detyrë. </w:t>
      </w:r>
    </w:p>
    <w:p w14:paraId="3D276396" w14:textId="6D4B33DB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lastRenderedPageBreak/>
        <w:t xml:space="preserve">9. Të vijojë me prioritet vlerësimet etike dhe profesionale të gjyqtarëve në përputhje me programin e miratuar. </w:t>
      </w:r>
    </w:p>
    <w:p w14:paraId="401B8EB6" w14:textId="0378EE36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10.</w:t>
      </w:r>
      <w:r w:rsidR="00270B9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10BF5">
        <w:rPr>
          <w:rFonts w:ascii="Garamond" w:eastAsia="Times New Roman" w:hAnsi="Garamond" w:cs="Times New Roman"/>
          <w:sz w:val="24"/>
          <w:szCs w:val="24"/>
        </w:rPr>
        <w:t>Në bashkëpunim me Këshillin e Lartë të Prokurorisë, të miratohen rregullat e përbashkëta për bashkimin e procedimeve në rastin kur një gjyqtar dhe një prokuror janë përfshirë në të njëjtën shkelje.</w:t>
      </w:r>
    </w:p>
    <w:p w14:paraId="7C3EB08F" w14:textId="4756959E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11.</w:t>
      </w:r>
      <w:r w:rsidR="00270B9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10BF5">
        <w:rPr>
          <w:rFonts w:ascii="Garamond" w:eastAsia="Times New Roman" w:hAnsi="Garamond" w:cs="Times New Roman"/>
          <w:sz w:val="24"/>
          <w:szCs w:val="24"/>
        </w:rPr>
        <w:t>Të kontribuojë nëpërmjet kërkesave të motivuara dhe të bashkëpunojë me Inspektorin e Lartë të Drejtësisë për hartimin e planit vjetor të inspektimeve tematike në përputhje me përcaktimet e ligjit nr. 115/2016</w:t>
      </w:r>
      <w:r w:rsidR="00FB6A03">
        <w:rPr>
          <w:rFonts w:ascii="Garamond" w:eastAsia="Times New Roman" w:hAnsi="Garamond" w:cs="Times New Roman"/>
          <w:sz w:val="24"/>
          <w:szCs w:val="24"/>
        </w:rPr>
        <w:t>,</w:t>
      </w:r>
      <w:r w:rsidRPr="00E10BF5">
        <w:rPr>
          <w:rFonts w:ascii="Garamond" w:eastAsia="Times New Roman" w:hAnsi="Garamond" w:cs="Times New Roman"/>
          <w:sz w:val="24"/>
          <w:szCs w:val="24"/>
        </w:rPr>
        <w:t xml:space="preserve"> “Për organet e qeverisjes së sistemit të drejtësisë”, veçanërisht në drejtim të respektimit të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 drejtave të njeriut, barazisë para ligjit dhe parimit të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proporcionalitetit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>.</w:t>
      </w:r>
    </w:p>
    <w:p w14:paraId="0C0869FE" w14:textId="1C1B3F60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12.</w:t>
      </w:r>
      <w:r w:rsidR="00270B9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10BF5">
        <w:rPr>
          <w:rFonts w:ascii="Garamond" w:eastAsia="Times New Roman" w:hAnsi="Garamond" w:cs="Times New Roman"/>
          <w:sz w:val="24"/>
          <w:szCs w:val="24"/>
        </w:rPr>
        <w:t>Të raportojë në Kuvend brenda muajit dhjetor 2023 për ecurinë e krijimit të sistemit të ri modern të integruar të menaxhimit të çështjeve gjyqësore.</w:t>
      </w:r>
    </w:p>
    <w:p w14:paraId="39D6FB7B" w14:textId="2DB5442C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eastAsia="Times New Roman" w:hAnsi="Garamond" w:cs="Times New Roman"/>
          <w:sz w:val="24"/>
          <w:szCs w:val="24"/>
        </w:rPr>
        <w:t>13.</w:t>
      </w:r>
      <w:r w:rsidR="00270B9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10BF5">
        <w:rPr>
          <w:rFonts w:ascii="Garamond" w:eastAsia="Times New Roman" w:hAnsi="Garamond" w:cs="Times New Roman"/>
          <w:sz w:val="24"/>
          <w:szCs w:val="24"/>
        </w:rPr>
        <w:t xml:space="preserve">Të kontribuojë në adresimin e problematikave të konstatuara në </w:t>
      </w:r>
      <w:proofErr w:type="spellStart"/>
      <w:r w:rsidRPr="00E10BF5">
        <w:rPr>
          <w:rFonts w:ascii="Garamond" w:eastAsia="Times New Roman" w:hAnsi="Garamond" w:cs="Times New Roman"/>
          <w:sz w:val="24"/>
          <w:szCs w:val="24"/>
        </w:rPr>
        <w:t>progresraportin</w:t>
      </w:r>
      <w:proofErr w:type="spellEnd"/>
      <w:r w:rsidRPr="00E10BF5">
        <w:rPr>
          <w:rFonts w:ascii="Garamond" w:eastAsia="Times New Roman" w:hAnsi="Garamond" w:cs="Times New Roman"/>
          <w:sz w:val="24"/>
          <w:szCs w:val="24"/>
        </w:rPr>
        <w:t xml:space="preserve"> e Bashkimit E</w:t>
      </w:r>
      <w:r w:rsidR="00270B98">
        <w:rPr>
          <w:rFonts w:ascii="Garamond" w:eastAsia="Times New Roman" w:hAnsi="Garamond" w:cs="Times New Roman"/>
          <w:sz w:val="24"/>
          <w:szCs w:val="24"/>
        </w:rPr>
        <w:t>v</w:t>
      </w:r>
      <w:r w:rsidRPr="00E10BF5">
        <w:rPr>
          <w:rFonts w:ascii="Garamond" w:eastAsia="Times New Roman" w:hAnsi="Garamond" w:cs="Times New Roman"/>
          <w:sz w:val="24"/>
          <w:szCs w:val="24"/>
        </w:rPr>
        <w:t xml:space="preserve">ropian të vitit 2022 lidhur me aktivitetin e Këshillit. </w:t>
      </w:r>
    </w:p>
    <w:p w14:paraId="077A7F18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6A744B" w14:textId="77777777" w:rsidR="007B563C" w:rsidRPr="00E10BF5" w:rsidRDefault="007B563C" w:rsidP="007B563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E10BF5">
        <w:rPr>
          <w:rFonts w:ascii="Garamond" w:eastAsia="Times New Roman" w:hAnsi="Garamond" w:cs="Times New Roman"/>
          <w:color w:val="000000" w:themeColor="text1"/>
          <w:sz w:val="24"/>
          <w:szCs w:val="24"/>
        </w:rPr>
        <w:t>KRYETARE</w:t>
      </w:r>
    </w:p>
    <w:p w14:paraId="6BFC1A0A" w14:textId="77777777" w:rsidR="007B563C" w:rsidRPr="00E10BF5" w:rsidRDefault="007B563C" w:rsidP="007B563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E10BF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Lindita </w:t>
      </w:r>
      <w:proofErr w:type="spellStart"/>
      <w:r w:rsidRPr="00E10BF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Nikolla</w:t>
      </w:r>
      <w:proofErr w:type="spellEnd"/>
    </w:p>
    <w:p w14:paraId="48E0F3E7" w14:textId="77777777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24AE9BFC" w:rsidR="007B563C" w:rsidRPr="00E10BF5" w:rsidRDefault="007B563C" w:rsidP="007B56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10BF5">
        <w:rPr>
          <w:rFonts w:ascii="Garamond" w:hAnsi="Garamond" w:cs="Times New Roman"/>
          <w:sz w:val="24"/>
          <w:szCs w:val="24"/>
        </w:rPr>
        <w:t xml:space="preserve">Miratuar </w:t>
      </w:r>
      <w:r w:rsidR="00270B98">
        <w:rPr>
          <w:rFonts w:ascii="Garamond" w:hAnsi="Garamond" w:cs="Times New Roman"/>
          <w:sz w:val="24"/>
          <w:szCs w:val="24"/>
        </w:rPr>
        <w:t>m</w:t>
      </w:r>
      <w:r w:rsidRPr="00E10BF5">
        <w:rPr>
          <w:rFonts w:ascii="Garamond" w:hAnsi="Garamond" w:cs="Times New Roman"/>
          <w:sz w:val="24"/>
          <w:szCs w:val="24"/>
        </w:rPr>
        <w:t>ë datë 6.7.2023</w:t>
      </w:r>
      <w:r w:rsidR="00270B98">
        <w:rPr>
          <w:rFonts w:ascii="Garamond" w:hAnsi="Garamond" w:cs="Times New Roman"/>
          <w:sz w:val="24"/>
          <w:szCs w:val="24"/>
        </w:rPr>
        <w:t>.</w:t>
      </w:r>
    </w:p>
    <w:p w14:paraId="2081D79A" w14:textId="77777777" w:rsidR="007B563C" w:rsidRPr="00E10BF5" w:rsidRDefault="007B563C" w:rsidP="007B563C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2BBA2B42" w14:textId="74E66577" w:rsidR="007A744F" w:rsidRPr="007B563C" w:rsidRDefault="007A744F" w:rsidP="007B563C"/>
    <w:sectPr w:rsidR="007A744F" w:rsidRPr="007B563C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8AFDBE" w14:textId="77777777" w:rsidR="00270B98" w:rsidRDefault="00270B98" w:rsidP="00C86383">
      <w:pPr>
        <w:spacing w:after="0" w:line="240" w:lineRule="auto"/>
      </w:pPr>
      <w:r>
        <w:separator/>
      </w:r>
    </w:p>
  </w:endnote>
  <w:endnote w:type="continuationSeparator" w:id="0">
    <w:p w14:paraId="134BD325" w14:textId="77777777" w:rsidR="00270B98" w:rsidRDefault="00270B98" w:rsidP="00C86383">
      <w:pPr>
        <w:spacing w:after="0" w:line="240" w:lineRule="auto"/>
      </w:pPr>
      <w:r>
        <w:continuationSeparator/>
      </w:r>
    </w:p>
  </w:endnote>
  <w:endnote w:type="continuationNotice" w:id="1">
    <w:p w14:paraId="36E0BCB0" w14:textId="77777777" w:rsidR="00270B98" w:rsidRDefault="00270B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70F8DFC4" w:rsidR="00270B98" w:rsidRPr="00E7684C" w:rsidRDefault="00270B9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270B98" w:rsidRDefault="00270B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7900D" w14:textId="77777777" w:rsidR="00270B98" w:rsidRDefault="00270B98" w:rsidP="00C86383">
      <w:pPr>
        <w:spacing w:after="0" w:line="240" w:lineRule="auto"/>
      </w:pPr>
      <w:r>
        <w:separator/>
      </w:r>
    </w:p>
  </w:footnote>
  <w:footnote w:type="continuationSeparator" w:id="0">
    <w:p w14:paraId="1433D97D" w14:textId="77777777" w:rsidR="00270B98" w:rsidRDefault="00270B98" w:rsidP="00C86383">
      <w:pPr>
        <w:spacing w:after="0" w:line="240" w:lineRule="auto"/>
      </w:pPr>
      <w:r>
        <w:continuationSeparator/>
      </w:r>
    </w:p>
  </w:footnote>
  <w:footnote w:type="continuationNotice" w:id="1">
    <w:p w14:paraId="2C1A1EA7" w14:textId="77777777" w:rsidR="00270B98" w:rsidRDefault="00270B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F937AF"/>
    <w:multiLevelType w:val="hybridMultilevel"/>
    <w:tmpl w:val="7332B462"/>
    <w:lvl w:ilvl="0" w:tplc="BABE792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07B47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A718A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41BC"/>
    <w:rsid w:val="001D6B9F"/>
    <w:rsid w:val="001E2085"/>
    <w:rsid w:val="001E3542"/>
    <w:rsid w:val="001F4CD5"/>
    <w:rsid w:val="00202011"/>
    <w:rsid w:val="00204536"/>
    <w:rsid w:val="0020553B"/>
    <w:rsid w:val="002063FE"/>
    <w:rsid w:val="002129CF"/>
    <w:rsid w:val="00215A96"/>
    <w:rsid w:val="00215C02"/>
    <w:rsid w:val="002176D7"/>
    <w:rsid w:val="00223BB0"/>
    <w:rsid w:val="0022618D"/>
    <w:rsid w:val="002359AF"/>
    <w:rsid w:val="00237CB2"/>
    <w:rsid w:val="00240E91"/>
    <w:rsid w:val="00241D9D"/>
    <w:rsid w:val="00244B19"/>
    <w:rsid w:val="002501DC"/>
    <w:rsid w:val="00262C8A"/>
    <w:rsid w:val="00266214"/>
    <w:rsid w:val="00270B98"/>
    <w:rsid w:val="00275313"/>
    <w:rsid w:val="00283031"/>
    <w:rsid w:val="00286E87"/>
    <w:rsid w:val="00291991"/>
    <w:rsid w:val="0029415F"/>
    <w:rsid w:val="002A1841"/>
    <w:rsid w:val="002A4484"/>
    <w:rsid w:val="002A77D6"/>
    <w:rsid w:val="002B2319"/>
    <w:rsid w:val="002B42ED"/>
    <w:rsid w:val="002B6674"/>
    <w:rsid w:val="002C0BF7"/>
    <w:rsid w:val="002C7B60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86C04"/>
    <w:rsid w:val="003918EF"/>
    <w:rsid w:val="00391D0F"/>
    <w:rsid w:val="00393AEF"/>
    <w:rsid w:val="00393D81"/>
    <w:rsid w:val="00394CF3"/>
    <w:rsid w:val="003962DE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19B3"/>
    <w:rsid w:val="0060550D"/>
    <w:rsid w:val="00605A5F"/>
    <w:rsid w:val="00606A64"/>
    <w:rsid w:val="00611AFD"/>
    <w:rsid w:val="00612758"/>
    <w:rsid w:val="00630061"/>
    <w:rsid w:val="00630EA6"/>
    <w:rsid w:val="006344E9"/>
    <w:rsid w:val="00635067"/>
    <w:rsid w:val="00656A17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52EE"/>
    <w:rsid w:val="00750776"/>
    <w:rsid w:val="00752319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563C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4B12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0DA7"/>
    <w:rsid w:val="00831CD1"/>
    <w:rsid w:val="00833B9B"/>
    <w:rsid w:val="00847CF0"/>
    <w:rsid w:val="00851363"/>
    <w:rsid w:val="00851711"/>
    <w:rsid w:val="00851AF4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75D7D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52F7"/>
    <w:rsid w:val="008C63A2"/>
    <w:rsid w:val="008C7273"/>
    <w:rsid w:val="008D114F"/>
    <w:rsid w:val="008D41C9"/>
    <w:rsid w:val="008D5CDA"/>
    <w:rsid w:val="008D7A71"/>
    <w:rsid w:val="008E122E"/>
    <w:rsid w:val="008E13AA"/>
    <w:rsid w:val="008E2C2A"/>
    <w:rsid w:val="008F0F64"/>
    <w:rsid w:val="008F3C04"/>
    <w:rsid w:val="008F3C44"/>
    <w:rsid w:val="008F668F"/>
    <w:rsid w:val="008F6781"/>
    <w:rsid w:val="0090262A"/>
    <w:rsid w:val="009051F4"/>
    <w:rsid w:val="0092415F"/>
    <w:rsid w:val="009256DD"/>
    <w:rsid w:val="0094122A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4349"/>
    <w:rsid w:val="009F5E40"/>
    <w:rsid w:val="00A07E25"/>
    <w:rsid w:val="00A11FD9"/>
    <w:rsid w:val="00A14187"/>
    <w:rsid w:val="00A14640"/>
    <w:rsid w:val="00A14720"/>
    <w:rsid w:val="00A16B59"/>
    <w:rsid w:val="00A215AB"/>
    <w:rsid w:val="00A22178"/>
    <w:rsid w:val="00A241B8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A4AC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87B02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5D89"/>
    <w:rsid w:val="00CB5F33"/>
    <w:rsid w:val="00CC6F24"/>
    <w:rsid w:val="00CD2B3A"/>
    <w:rsid w:val="00CD31B5"/>
    <w:rsid w:val="00CD3633"/>
    <w:rsid w:val="00CD48BD"/>
    <w:rsid w:val="00CE032B"/>
    <w:rsid w:val="00CE0964"/>
    <w:rsid w:val="00CE0B9A"/>
    <w:rsid w:val="00CE1708"/>
    <w:rsid w:val="00CE5869"/>
    <w:rsid w:val="00CE6F13"/>
    <w:rsid w:val="00CF6F1F"/>
    <w:rsid w:val="00D05C90"/>
    <w:rsid w:val="00D0709B"/>
    <w:rsid w:val="00D16956"/>
    <w:rsid w:val="00D17929"/>
    <w:rsid w:val="00D2027A"/>
    <w:rsid w:val="00D22C59"/>
    <w:rsid w:val="00D27092"/>
    <w:rsid w:val="00D31426"/>
    <w:rsid w:val="00D31E4D"/>
    <w:rsid w:val="00D32EC6"/>
    <w:rsid w:val="00D332B5"/>
    <w:rsid w:val="00D44DC4"/>
    <w:rsid w:val="00D57B3A"/>
    <w:rsid w:val="00D600F3"/>
    <w:rsid w:val="00D621BE"/>
    <w:rsid w:val="00D62BE5"/>
    <w:rsid w:val="00D66EB0"/>
    <w:rsid w:val="00D704A8"/>
    <w:rsid w:val="00D719E7"/>
    <w:rsid w:val="00D82199"/>
    <w:rsid w:val="00D84E15"/>
    <w:rsid w:val="00D864D2"/>
    <w:rsid w:val="00D874FB"/>
    <w:rsid w:val="00D90262"/>
    <w:rsid w:val="00D9235C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43C9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A7C"/>
    <w:rsid w:val="00FB2B6A"/>
    <w:rsid w:val="00FB340F"/>
    <w:rsid w:val="00FB4761"/>
    <w:rsid w:val="00FB6A03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992795CA-0C2F-4AA1-91F9-79A24510E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563C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8DD766692D441498AF2DE175C25A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2222-1</Nr_x002e__x0020_akti>
    <Data_x0020_e_x0020_Krijimit xmlns="0e656187-b300-4fb0-8bf4-3a50f872073c">2023-07-12T12:27:16Z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2023-07-11T22:00:00Z</Date_x0020_protokolli>
    <Titulli xmlns="0e656187-b300-4fb0-8bf4-3a50f872073c">Për vlerësimin e veprimtarisë së Këshillit të Lartë Gjyqësor për vitin 2022</Titulli>
    <Modifikuesi xmlns="0e656187-b300-4fb0-8bf4-3a50f872073c">nevila.samarxhi</Modifikuesi>
    <Nr_x002e__x0020_prot_x0020_QBZ xmlns="0e656187-b300-4fb0-8bf4-3a50f872073c">1054/1</Nr_x002e__x0020_prot_x0020_QBZ>
    <Data_x0020_e_x0020_Modifikimit xmlns="0e656187-b300-4fb0-8bf4-3a50f872073c">2023-07-12T13:04:24Z</Data_x0020_e_x0020_Modifikimit>
    <Dekretuar xmlns="0e656187-b300-4fb0-8bf4-3a50f872073c">false</Dekretuar>
    <Data xmlns="0e656187-b300-4fb0-8bf4-3a50f872073c">2023-07-05T22:00:00Z</Data>
    <Nr_x002e__x0020_protokolli_x0020_i_x0020_aktit xmlns="0e656187-b300-4fb0-8bf4-3a50f872073c">2222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8DD766692D441498AF2DE175C25A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BBF0E-7F3D-4412-B92C-433FBFBCC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ED22C7-4EBE-49BC-B4E0-E78EFA57059C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50D99C4-47A4-44CB-B2DD-9851D4F5FE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4D7934-5564-4BAD-9D71-DA8BA76B02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834DA7-50B3-4233-AA97-CB8FB366A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3FE4E6-2ACB-4B06-BC6A-01FED9FE9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Këshillit të Lartë Gjyqësor për vitin 2022</vt:lpstr>
    </vt:vector>
  </TitlesOfParts>
  <Company/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Këshillit të Lartë Gjyqësor për vitin 2022</dc:title>
  <dc:creator>user</dc:creator>
  <cp:lastModifiedBy>Jorina Kryeziu</cp:lastModifiedBy>
  <cp:revision>11</cp:revision>
  <cp:lastPrinted>2023-07-10T06:41:00Z</cp:lastPrinted>
  <dcterms:created xsi:type="dcterms:W3CDTF">2023-07-12T12:18:00Z</dcterms:created>
  <dcterms:modified xsi:type="dcterms:W3CDTF">2023-07-12T13:16:00Z</dcterms:modified>
</cp:coreProperties>
</file>