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616F4E" w:rsidRPr="0097574B" w:rsidRDefault="00616F4E" w:rsidP="00616F4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7574B">
        <w:rPr>
          <w:rFonts w:ascii="Garamond" w:eastAsia="Times New Roman" w:hAnsi="Garamond" w:cs="Times New Roman"/>
          <w:b/>
          <w:sz w:val="24"/>
          <w:szCs w:val="24"/>
        </w:rPr>
        <w:t>REZOLUTË</w:t>
      </w:r>
    </w:p>
    <w:p w14:paraId="505BB66B" w14:textId="77777777" w:rsidR="00616F4E" w:rsidRPr="0097574B" w:rsidRDefault="00616F4E" w:rsidP="00616F4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39783727" w14:textId="375C6B11" w:rsidR="00616F4E" w:rsidRPr="0097574B" w:rsidRDefault="00616F4E" w:rsidP="00616F4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7574B">
        <w:rPr>
          <w:rFonts w:ascii="Garamond" w:eastAsia="Times New Roman" w:hAnsi="Garamond" w:cs="Times New Roman"/>
          <w:b/>
          <w:sz w:val="24"/>
          <w:szCs w:val="24"/>
        </w:rPr>
        <w:t>PËR VLERËSIMIN E VEPRIMTARISË SË STRUKTURËS SË POSAÇME KUNDËR KORRUPSIONIT DHE KRIMIT TË ORGANIZUAR PËR VITIN 2022</w:t>
      </w:r>
    </w:p>
    <w:p w14:paraId="2BF65623" w14:textId="0322EE9D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896BA8A" w14:textId="1143B34D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>Në Kuvendin e Shqipërisë është paraqitur raporti “Mbi veprimtarinë e Strukturës së Posaçme kundër Korrupsionit dhe Krimit të Organizuar gjatë vitit 2022” bazuar në përcaktimet e neneve 104 dhe 105 të ligjit nr. 97/2016</w:t>
      </w:r>
      <w:r w:rsidR="00E572E5">
        <w:rPr>
          <w:rFonts w:ascii="Garamond" w:hAnsi="Garamond" w:cs="Times New Roman"/>
          <w:sz w:val="24"/>
          <w:szCs w:val="24"/>
        </w:rPr>
        <w:t>.</w:t>
      </w:r>
      <w:r w:rsidRPr="0097574B">
        <w:rPr>
          <w:rFonts w:ascii="Garamond" w:hAnsi="Garamond" w:cs="Times New Roman"/>
          <w:sz w:val="24"/>
          <w:szCs w:val="24"/>
        </w:rPr>
        <w:t xml:space="preserve"> “Për organizimin dhe funksionimin e prokurorisë në Republikën e Shqipërisë”. </w:t>
      </w:r>
    </w:p>
    <w:p w14:paraId="397F1ADF" w14:textId="6D425AED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>Në raportin “Mbi veprimtarinë e Strukturës së Posaçme kundër Korrupsionit dhe Krimit të Organizuar gjatë vitit 2022” janë paraqitur treguesit e punës, gjendja e kriminalitetit sipas juridiksionit përkatës dhe veprimtaria e realizuar në zbatim të ligjit nr. 95/2016</w:t>
      </w:r>
      <w:r w:rsidR="00E572E5">
        <w:rPr>
          <w:rFonts w:ascii="Garamond" w:hAnsi="Garamond" w:cs="Times New Roman"/>
          <w:sz w:val="24"/>
          <w:szCs w:val="24"/>
        </w:rPr>
        <w:t>,</w:t>
      </w:r>
      <w:r w:rsidRPr="0097574B">
        <w:rPr>
          <w:rFonts w:ascii="Garamond" w:hAnsi="Garamond" w:cs="Times New Roman"/>
          <w:sz w:val="24"/>
          <w:szCs w:val="24"/>
        </w:rPr>
        <w:t xml:space="preserve"> “Për organizimin dhe funksionimin e institucioneve për të luftuar korrupsionin dhe krimin e organizuar”. </w:t>
      </w:r>
    </w:p>
    <w:p w14:paraId="5C36B593" w14:textId="4285807A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7574B">
        <w:rPr>
          <w:rFonts w:ascii="Garamond" w:hAnsi="Garamond" w:cs="Times New Roman"/>
          <w:b/>
          <w:sz w:val="24"/>
          <w:szCs w:val="24"/>
        </w:rPr>
        <w:t xml:space="preserve">Kuvendi i Shqipërisë për veprimtarinë e Strukturës së Posaçme kundër Korrupsionit dhe Krimit të Organizuar gjatë vitit 2022: </w:t>
      </w:r>
    </w:p>
    <w:p w14:paraId="39E0BD11" w14:textId="090F99B8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 xml:space="preserve">Konsideron si të një rëndësie të veçantë rolin e Strukturës së Posaçme kundër Korrupsionit dhe Krimit të Organizuar në ushtrimin e ndjekjes penale, hetimin, përfaqësimin e akuzës në emër të shtetit para Gjykatës së Shkallës së Parë kundër Korrupsionit dhe Krimit të Organizuar, Gjykatës së Apelit kundër Korrupsionit dhe Krimit të Organizuar dhe Gjykatës së Lartë. </w:t>
      </w:r>
    </w:p>
    <w:p w14:paraId="17B5CA6A" w14:textId="53788D43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 xml:space="preserve">Vlerëson ngarkesën që Prokuroria e Posaçme dhe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BKH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-ja kanë mbajtur gjatë vitit 2022, rezultatet pozitive të evidentuara në luftën kundër krimit të organizuar, si dhe hetimin e një sërë çështjeve të cilat lidhen me korrupsionin. </w:t>
      </w:r>
    </w:p>
    <w:p w14:paraId="3DAFC349" w14:textId="7842633B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 xml:space="preserve">Vlerëson si inkurajuese rezultatet pozitive në luftën kundër krimit organizuar e shoqëruar me rritjen e bashkëpunimit të homologëve ndërkombëtarë të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SPAK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-ut. </w:t>
      </w:r>
    </w:p>
    <w:p w14:paraId="2B1C47CD" w14:textId="02C69D11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7574B">
        <w:rPr>
          <w:rFonts w:ascii="Garamond" w:hAnsi="Garamond" w:cs="Times New Roman"/>
          <w:b/>
          <w:sz w:val="24"/>
          <w:szCs w:val="24"/>
        </w:rPr>
        <w:t xml:space="preserve">Kuvendi i Shqipërisë për veprimtarinë e Strukturës së Posaçme kundër Korrupsionit dhe Krimit të Organizuar për vitin 2022 konstaton se: </w:t>
      </w:r>
    </w:p>
    <w:p w14:paraId="11A63E45" w14:textId="31210786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 xml:space="preserve">Prokuroria e Posaçme dhe Byroja Kombëtare e Hetimit kanë pasur mbështetje aktive me burime buxhetore e njerëzore në trajtimin me paga dhe përfitime të tjera financiare shtesë dhe me instrumente ligjore shtesë në funksion të rritjes së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efi</w:t>
      </w:r>
      <w:r w:rsidR="00D40624">
        <w:rPr>
          <w:rFonts w:ascii="Garamond" w:hAnsi="Garamond" w:cs="Times New Roman"/>
          <w:sz w:val="24"/>
          <w:szCs w:val="24"/>
        </w:rPr>
        <w:t>ci</w:t>
      </w:r>
      <w:r w:rsidRPr="0097574B">
        <w:rPr>
          <w:rFonts w:ascii="Garamond" w:hAnsi="Garamond" w:cs="Times New Roman"/>
          <w:sz w:val="24"/>
          <w:szCs w:val="24"/>
        </w:rPr>
        <w:t>encës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 së tyre dhe çmon se kjo mbështetje ka rritur pritshmërinë e taksapaguesve shqiptarë për një ritëm më të shpejtë në rezultate më domethënëse në luftën kundër krimit të organizuar dhe korrupsionit në nivelet e larta në veçanti, pavarësisht kohës dhe personave të përfshirë në to, si kusht thelbësor për të forcuar më tej besimin e publikut te drejtësia. </w:t>
      </w:r>
    </w:p>
    <w:p w14:paraId="31AFA61F" w14:textId="050B09DD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 xml:space="preserve">Prokuroria e Posaçme dhe Byroja Kombëtare e Hetimit kanë kontribuar në plotësimin e elementeve të planit të veprimit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ICRG</w:t>
      </w:r>
      <w:proofErr w:type="spellEnd"/>
      <w:r w:rsidRPr="0097574B">
        <w:rPr>
          <w:rFonts w:ascii="Garamond" w:hAnsi="Garamond" w:cs="Times New Roman"/>
          <w:sz w:val="24"/>
          <w:szCs w:val="24"/>
        </w:rPr>
        <w:t>/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FATF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, duke bërë që Shqipëria të adresojë plotësisht pikën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IO.8</w:t>
      </w:r>
      <w:proofErr w:type="spellEnd"/>
      <w:r w:rsidRPr="0097574B">
        <w:rPr>
          <w:rFonts w:ascii="Garamond" w:hAnsi="Garamond" w:cs="Times New Roman"/>
          <w:sz w:val="24"/>
          <w:szCs w:val="24"/>
        </w:rPr>
        <w:t>.</w:t>
      </w:r>
    </w:p>
    <w:p w14:paraId="3A84D0EC" w14:textId="3FB38BB0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 xml:space="preserve">Është rritur vlera e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aseteve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 të konfiskuara dhe numri i çështjeve, të cilat janë përfunduar me vendime dënimi në fushën e pastrimit të parave, si dhe konfiskimet e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aseteve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 kriminale në procesin penal.</w:t>
      </w:r>
    </w:p>
    <w:p w14:paraId="144FC986" w14:textId="7F2E12AE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 xml:space="preserve">Është plotësuar organika me 60 hetues të Byrosë Kombëtare të Hetimit edhe nga pikëpamja organizative, duke bërë që struktura e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SPAK</w:t>
      </w:r>
      <w:proofErr w:type="spellEnd"/>
      <w:r w:rsidRPr="0097574B">
        <w:rPr>
          <w:rFonts w:ascii="Garamond" w:hAnsi="Garamond" w:cs="Times New Roman"/>
          <w:sz w:val="24"/>
          <w:szCs w:val="24"/>
        </w:rPr>
        <w:t>-ut të vijë drejt konsolidimit, ndërsa plotësimi me prokurorë dhe staf të specializuar është ende në proces.</w:t>
      </w:r>
    </w:p>
    <w:p w14:paraId="53F2E0B6" w14:textId="55269870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>Ka nisur krijimi i një qasjeje strategjike në komunikimin me publikun për të krijuar dhe siguruar besimin e tij në organet e reja të drejtësisë.</w:t>
      </w:r>
    </w:p>
    <w:p w14:paraId="27A38773" w14:textId="6A2F266A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>Po vlerësohet në vazhdim krijimi i një sistemi për menaxhimin e çështjeve, i cili do të jap</w:t>
      </w:r>
      <w:r w:rsidR="00E572E5">
        <w:rPr>
          <w:rFonts w:ascii="Garamond" w:hAnsi="Garamond" w:cs="Times New Roman"/>
          <w:sz w:val="24"/>
          <w:szCs w:val="24"/>
        </w:rPr>
        <w:t xml:space="preserve">ë </w:t>
      </w:r>
      <w:r w:rsidRPr="0097574B">
        <w:rPr>
          <w:rFonts w:ascii="Garamond" w:hAnsi="Garamond" w:cs="Times New Roman"/>
          <w:sz w:val="24"/>
          <w:szCs w:val="24"/>
        </w:rPr>
        <w:t>m</w:t>
      </w:r>
      <w:r w:rsidRPr="0097574B">
        <w:rPr>
          <w:rFonts w:ascii="Garamond" w:hAnsi="Garamond" w:cs="Garamond"/>
          <w:sz w:val="24"/>
          <w:szCs w:val="24"/>
        </w:rPr>
        <w:t>ë</w:t>
      </w:r>
      <w:r w:rsidRPr="0097574B">
        <w:rPr>
          <w:rFonts w:ascii="Garamond" w:hAnsi="Garamond" w:cs="Times New Roman"/>
          <w:sz w:val="24"/>
          <w:szCs w:val="24"/>
        </w:rPr>
        <w:t xml:space="preserve"> shum</w:t>
      </w:r>
      <w:r w:rsidRPr="0097574B">
        <w:rPr>
          <w:rFonts w:ascii="Garamond" w:hAnsi="Garamond" w:cs="Garamond"/>
          <w:sz w:val="24"/>
          <w:szCs w:val="24"/>
        </w:rPr>
        <w:t>ë</w:t>
      </w:r>
      <w:r w:rsidRPr="0097574B">
        <w:rPr>
          <w:rFonts w:ascii="Garamond" w:hAnsi="Garamond" w:cs="Times New Roman"/>
          <w:sz w:val="24"/>
          <w:szCs w:val="24"/>
        </w:rPr>
        <w:t xml:space="preserve"> mund</w:t>
      </w:r>
      <w:r w:rsidRPr="0097574B">
        <w:rPr>
          <w:rFonts w:ascii="Garamond" w:hAnsi="Garamond" w:cs="Garamond"/>
          <w:sz w:val="24"/>
          <w:szCs w:val="24"/>
        </w:rPr>
        <w:t>ë</w:t>
      </w:r>
      <w:r w:rsidRPr="0097574B">
        <w:rPr>
          <w:rFonts w:ascii="Garamond" w:hAnsi="Garamond" w:cs="Times New Roman"/>
          <w:sz w:val="24"/>
          <w:szCs w:val="24"/>
        </w:rPr>
        <w:t>si p</w:t>
      </w:r>
      <w:r w:rsidRPr="0097574B">
        <w:rPr>
          <w:rFonts w:ascii="Garamond" w:hAnsi="Garamond" w:cs="Garamond"/>
          <w:sz w:val="24"/>
          <w:szCs w:val="24"/>
        </w:rPr>
        <w:t>ë</w:t>
      </w:r>
      <w:r w:rsidRPr="0097574B">
        <w:rPr>
          <w:rFonts w:ascii="Garamond" w:hAnsi="Garamond" w:cs="Times New Roman"/>
          <w:sz w:val="24"/>
          <w:szCs w:val="24"/>
        </w:rPr>
        <w:t>r t</w:t>
      </w:r>
      <w:r w:rsidRPr="0097574B">
        <w:rPr>
          <w:rFonts w:ascii="Garamond" w:hAnsi="Garamond" w:cs="Garamond"/>
          <w:sz w:val="24"/>
          <w:szCs w:val="24"/>
        </w:rPr>
        <w:t>ë</w:t>
      </w:r>
      <w:r w:rsidRPr="0097574B">
        <w:rPr>
          <w:rFonts w:ascii="Garamond" w:hAnsi="Garamond" w:cs="Times New Roman"/>
          <w:sz w:val="24"/>
          <w:szCs w:val="24"/>
        </w:rPr>
        <w:t xml:space="preserve"> pasur transparenc</w:t>
      </w:r>
      <w:r w:rsidRPr="0097574B">
        <w:rPr>
          <w:rFonts w:ascii="Garamond" w:hAnsi="Garamond" w:cs="Garamond"/>
          <w:sz w:val="24"/>
          <w:szCs w:val="24"/>
        </w:rPr>
        <w:t>ë</w:t>
      </w:r>
      <w:r w:rsidRPr="0097574B">
        <w:rPr>
          <w:rFonts w:ascii="Garamond" w:hAnsi="Garamond" w:cs="Times New Roman"/>
          <w:sz w:val="24"/>
          <w:szCs w:val="24"/>
        </w:rPr>
        <w:t xml:space="preserve"> dhe pavar</w:t>
      </w:r>
      <w:r w:rsidRPr="0097574B">
        <w:rPr>
          <w:rFonts w:ascii="Garamond" w:hAnsi="Garamond" w:cs="Garamond"/>
          <w:sz w:val="24"/>
          <w:szCs w:val="24"/>
        </w:rPr>
        <w:t>ë</w:t>
      </w:r>
      <w:r w:rsidRPr="0097574B">
        <w:rPr>
          <w:rFonts w:ascii="Garamond" w:hAnsi="Garamond" w:cs="Times New Roman"/>
          <w:sz w:val="24"/>
          <w:szCs w:val="24"/>
        </w:rPr>
        <w:t>si n</w:t>
      </w:r>
      <w:r w:rsidRPr="0097574B">
        <w:rPr>
          <w:rFonts w:ascii="Garamond" w:hAnsi="Garamond" w:cs="Garamond"/>
          <w:sz w:val="24"/>
          <w:szCs w:val="24"/>
        </w:rPr>
        <w:t>ë</w:t>
      </w:r>
      <w:r w:rsidRPr="0097574B">
        <w:rPr>
          <w:rFonts w:ascii="Garamond" w:hAnsi="Garamond" w:cs="Times New Roman"/>
          <w:sz w:val="24"/>
          <w:szCs w:val="24"/>
        </w:rPr>
        <w:t xml:space="preserve"> trajtimin e </w:t>
      </w:r>
      <w:r w:rsidRPr="0097574B">
        <w:rPr>
          <w:rFonts w:ascii="Garamond" w:hAnsi="Garamond" w:cs="Garamond"/>
          <w:sz w:val="24"/>
          <w:szCs w:val="24"/>
        </w:rPr>
        <w:t>çë</w:t>
      </w:r>
      <w:r w:rsidRPr="0097574B">
        <w:rPr>
          <w:rFonts w:ascii="Garamond" w:hAnsi="Garamond" w:cs="Times New Roman"/>
          <w:sz w:val="24"/>
          <w:szCs w:val="24"/>
        </w:rPr>
        <w:t>shtjeve.</w:t>
      </w:r>
    </w:p>
    <w:p w14:paraId="6FE25DAA" w14:textId="0ACF9D8C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97574B">
        <w:rPr>
          <w:rFonts w:ascii="Garamond" w:hAnsi="Garamond" w:cs="Times New Roman"/>
          <w:b/>
          <w:sz w:val="24"/>
          <w:szCs w:val="24"/>
        </w:rPr>
        <w:t xml:space="preserve">Kuvendi i Shqipërisë i rekomandon Strukturës së Posaçme kundër Korrupsionit dhe Krimit të Organizuar për vitin 2023, në përmbushje të detyrave të ngarkuara me ligj, të angazhohet veçanërisht edhe në këto drejtime: </w:t>
      </w:r>
    </w:p>
    <w:p w14:paraId="06E7BBBE" w14:textId="2475CE47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lastRenderedPageBreak/>
        <w:t>1. Të rrisë përdorimin e</w:t>
      </w:r>
      <w:r w:rsidR="00D40624">
        <w:rPr>
          <w:rFonts w:ascii="Garamond" w:hAnsi="Garamond" w:cs="Times New Roman"/>
          <w:sz w:val="24"/>
          <w:szCs w:val="24"/>
        </w:rPr>
        <w:t xml:space="preserve"> </w:t>
      </w:r>
      <w:r w:rsidRPr="0097574B">
        <w:rPr>
          <w:rFonts w:ascii="Garamond" w:hAnsi="Garamond" w:cs="Times New Roman"/>
          <w:sz w:val="24"/>
          <w:szCs w:val="24"/>
        </w:rPr>
        <w:t xml:space="preserve">teknikave të hetimit dhe numrin e hetimeve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proaktive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 në çështjet e korrupsionit të zyrtarëve të lartë, përfshirë dhe ish-magjistratë, dhe krimit të organizuar me prioritet çështjet me interes të veçantë publik.</w:t>
      </w:r>
    </w:p>
    <w:p w14:paraId="031A0DA4" w14:textId="68E9A2D5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 xml:space="preserve">2. Të rrisë numrin e hetimeve financiare dhe pasurore, si dhe sekuestrimin dhe konfiskimin e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aseteve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 kriminale, që rezultojnë nga veprat penale të kryera në kuadrin e korrupsionit dhe krimit të organizuar brenda dhe jashtë vendit. </w:t>
      </w:r>
    </w:p>
    <w:p w14:paraId="198A071A" w14:textId="1BF8D4CF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 xml:space="preserve">3. Të forcojë bashkëpunimin me Inspektorin e Lartë të drejtësisë dhe të vlerësojë referimet nga publiku, media dhe shoqëria civile lidhur me praktikat e mundshme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korruptive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 në radhët e gjyqtarëve, prokurorëve dhe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OPGJ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-ve të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të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 gjitha niveleve si kusht për të garantuar përgjegjshmërinë dhe integritetin profesional dhe etik në sistemin e drejtësisë.</w:t>
      </w:r>
    </w:p>
    <w:p w14:paraId="5F3F1E9A" w14:textId="367AB172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>4. Të vijojë puna për ngritjen e sistemit të administrimit të çështjeve, ku të vlerësohet dhe përfshirja e krijimit të “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track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 rekordit” për procedimet penale të korrupsionit në nivele të larta, kusht i vendosur edhe nga Komisioni E</w:t>
      </w:r>
      <w:r w:rsidR="00D40624">
        <w:rPr>
          <w:rFonts w:ascii="Garamond" w:hAnsi="Garamond" w:cs="Times New Roman"/>
          <w:sz w:val="24"/>
          <w:szCs w:val="24"/>
        </w:rPr>
        <w:t>v</w:t>
      </w:r>
      <w:r w:rsidRPr="0097574B">
        <w:rPr>
          <w:rFonts w:ascii="Garamond" w:hAnsi="Garamond" w:cs="Times New Roman"/>
          <w:sz w:val="24"/>
          <w:szCs w:val="24"/>
        </w:rPr>
        <w:t>ropian.</w:t>
      </w:r>
    </w:p>
    <w:p w14:paraId="1385E698" w14:textId="33976543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 xml:space="preserve">5. Të përmbyllë procesin e plotësimit të vendeve vakante në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SPAK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 dhe të vijojë me nxjerrjen e akteve nënligjore, të cilat përmirësojnë efikasitetin e tij.</w:t>
      </w:r>
    </w:p>
    <w:p w14:paraId="12EC173C" w14:textId="0BB712A4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 xml:space="preserve">6. Të realizojë ndërtimin i një kornizë strategjike institucionale që të përmbajë: Planin Strategjik të Institucionit, Strategjinë e Komunikimit (procesi të drejtohet nga Koordinatori për Marrëdhëniet me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Mediet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); Strategjinë e Burimeve Njerëzore dhe Planin e Trajnimit të punonjësve sipas kategorive, Strategjinë e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TIK</w:t>
      </w:r>
      <w:proofErr w:type="spellEnd"/>
      <w:r w:rsidRPr="0097574B">
        <w:rPr>
          <w:rFonts w:ascii="Garamond" w:hAnsi="Garamond" w:cs="Times New Roman"/>
          <w:sz w:val="24"/>
          <w:szCs w:val="24"/>
        </w:rPr>
        <w:t>-ut dhe Sigurisë Kibernetike. Këto të shoqërohen me plane vjetore veprimi.</w:t>
      </w:r>
    </w:p>
    <w:p w14:paraId="06440D40" w14:textId="38957EC9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 xml:space="preserve">7. Të hartojë një plan vlerësimi për integritetin, që të përmbajë masa konkrete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antikorrupsion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, masa mbi etikën dhe sjelljen e punonjësve të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SPAK</w:t>
      </w:r>
      <w:proofErr w:type="spellEnd"/>
      <w:r w:rsidRPr="0097574B">
        <w:rPr>
          <w:rFonts w:ascii="Garamond" w:hAnsi="Garamond" w:cs="Times New Roman"/>
          <w:sz w:val="24"/>
          <w:szCs w:val="24"/>
        </w:rPr>
        <w:t>-ut. Plani mund të qëndrojë i veçantë apo të integrohet në planin e veprimit të Strategjisë së Burimeve Njerëzore.</w:t>
      </w:r>
    </w:p>
    <w:p w14:paraId="7BBD096B" w14:textId="24A4EE40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 xml:space="preserve">8. Të identifikojë gjetjet dhe rekomandimet e raporteve të organizatave ndërkombëtare në lidhje me luftën kundër korrupsionit dhe krimit të organizuar dhe të adresohen ato në përputhje me ligjin dhe praktikat e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mirëpranuara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 ndërkombëtare. </w:t>
      </w:r>
    </w:p>
    <w:p w14:paraId="1E1F3E6A" w14:textId="68C1457C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 xml:space="preserve">9. Të vijojë me nënshkrimin e marrëveshjeve teknike të bashkëpunimit me agjencitë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ligjzbatuese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 rajonale dhe ndërkombëtare, si dhe shteteve të tjera që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SPAK</w:t>
      </w:r>
      <w:proofErr w:type="spellEnd"/>
      <w:r w:rsidR="003A6F29">
        <w:rPr>
          <w:rFonts w:ascii="Garamond" w:hAnsi="Garamond" w:cs="Times New Roman"/>
          <w:sz w:val="24"/>
          <w:szCs w:val="24"/>
        </w:rPr>
        <w:t>-u</w:t>
      </w:r>
      <w:r w:rsidRPr="0097574B">
        <w:rPr>
          <w:rFonts w:ascii="Garamond" w:hAnsi="Garamond" w:cs="Times New Roman"/>
          <w:sz w:val="24"/>
          <w:szCs w:val="24"/>
        </w:rPr>
        <w:t xml:space="preserve"> e shikon të nevojshme në funksion të efektivitetit të hetimeve për veprat penale që lidhen me kompetencat lëndore të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SPAK</w:t>
      </w:r>
      <w:proofErr w:type="spellEnd"/>
      <w:r w:rsidRPr="0097574B">
        <w:rPr>
          <w:rFonts w:ascii="Garamond" w:hAnsi="Garamond" w:cs="Times New Roman"/>
          <w:sz w:val="24"/>
          <w:szCs w:val="24"/>
        </w:rPr>
        <w:t>-ut</w:t>
      </w:r>
      <w:r w:rsidR="00F72622">
        <w:rPr>
          <w:rFonts w:ascii="Garamond" w:hAnsi="Garamond" w:cs="Times New Roman"/>
          <w:sz w:val="24"/>
          <w:szCs w:val="24"/>
        </w:rPr>
        <w:t>.</w:t>
      </w:r>
    </w:p>
    <w:p w14:paraId="250955F4" w14:textId="77777777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>10</w:t>
      </w:r>
      <w:r>
        <w:rPr>
          <w:rFonts w:ascii="Garamond" w:hAnsi="Garamond" w:cs="Times New Roman"/>
          <w:sz w:val="24"/>
          <w:szCs w:val="24"/>
        </w:rPr>
        <w:t xml:space="preserve">. </w:t>
      </w:r>
      <w:r w:rsidRPr="0097574B">
        <w:rPr>
          <w:rFonts w:ascii="Garamond" w:hAnsi="Garamond" w:cs="Times New Roman"/>
          <w:sz w:val="24"/>
          <w:szCs w:val="24"/>
        </w:rPr>
        <w:t xml:space="preserve">Të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uniformizojë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 standardet e hetimit dhe ndjekjes penale në drejtim të respektimit të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të</w:t>
      </w:r>
      <w:proofErr w:type="spellEnd"/>
      <w:r w:rsidRPr="0097574B">
        <w:rPr>
          <w:rFonts w:ascii="Garamond" w:hAnsi="Garamond" w:cs="Times New Roman"/>
          <w:sz w:val="24"/>
          <w:szCs w:val="24"/>
        </w:rPr>
        <w:t xml:space="preserve"> drejtave të njeriut, barazisë para ligjit dhe parimit të </w:t>
      </w:r>
      <w:proofErr w:type="spellStart"/>
      <w:r w:rsidRPr="0097574B">
        <w:rPr>
          <w:rFonts w:ascii="Garamond" w:hAnsi="Garamond" w:cs="Times New Roman"/>
          <w:sz w:val="24"/>
          <w:szCs w:val="24"/>
        </w:rPr>
        <w:t>propocionalitetit</w:t>
      </w:r>
      <w:proofErr w:type="spellEnd"/>
      <w:r w:rsidRPr="0097574B">
        <w:rPr>
          <w:rFonts w:ascii="Garamond" w:hAnsi="Garamond" w:cs="Times New Roman"/>
          <w:sz w:val="24"/>
          <w:szCs w:val="24"/>
        </w:rPr>
        <w:t>.</w:t>
      </w:r>
    </w:p>
    <w:p w14:paraId="74770709" w14:textId="77777777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555C8AD" w14:textId="77777777" w:rsidR="00616F4E" w:rsidRPr="0097574B" w:rsidRDefault="00616F4E" w:rsidP="00616F4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000000" w:themeColor="text1"/>
          <w:sz w:val="24"/>
        </w:rPr>
      </w:pPr>
      <w:r w:rsidRPr="0097574B">
        <w:rPr>
          <w:rFonts w:ascii="Garamond" w:eastAsia="Times New Roman" w:hAnsi="Garamond" w:cs="Times New Roman"/>
          <w:color w:val="000000" w:themeColor="text1"/>
          <w:sz w:val="24"/>
        </w:rPr>
        <w:t>KRYETARE</w:t>
      </w:r>
    </w:p>
    <w:p w14:paraId="17006327" w14:textId="77777777" w:rsidR="00616F4E" w:rsidRPr="0097574B" w:rsidRDefault="00616F4E" w:rsidP="00616F4E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color w:val="000000" w:themeColor="text1"/>
          <w:sz w:val="24"/>
        </w:rPr>
      </w:pPr>
      <w:r w:rsidRPr="0097574B">
        <w:rPr>
          <w:rFonts w:ascii="Garamond" w:eastAsia="Times New Roman" w:hAnsi="Garamond" w:cs="Times New Roman"/>
          <w:b/>
          <w:color w:val="000000" w:themeColor="text1"/>
          <w:sz w:val="24"/>
        </w:rPr>
        <w:t xml:space="preserve">Lindita </w:t>
      </w:r>
      <w:proofErr w:type="spellStart"/>
      <w:r w:rsidRPr="0097574B">
        <w:rPr>
          <w:rFonts w:ascii="Garamond" w:eastAsia="Times New Roman" w:hAnsi="Garamond" w:cs="Times New Roman"/>
          <w:b/>
          <w:color w:val="000000" w:themeColor="text1"/>
          <w:sz w:val="24"/>
        </w:rPr>
        <w:t>Nikolla</w:t>
      </w:r>
      <w:proofErr w:type="spellEnd"/>
    </w:p>
    <w:p w14:paraId="11823EE2" w14:textId="77777777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21649EC" w14:textId="3F9CAFD8" w:rsidR="00616F4E" w:rsidRPr="0097574B" w:rsidRDefault="00616F4E" w:rsidP="00616F4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7574B">
        <w:rPr>
          <w:rFonts w:ascii="Garamond" w:hAnsi="Garamond" w:cs="Times New Roman"/>
          <w:sz w:val="24"/>
          <w:szCs w:val="24"/>
        </w:rPr>
        <w:t xml:space="preserve">Miratuar </w:t>
      </w:r>
      <w:r w:rsidR="009E2168">
        <w:rPr>
          <w:rFonts w:ascii="Garamond" w:hAnsi="Garamond" w:cs="Times New Roman"/>
          <w:sz w:val="24"/>
          <w:szCs w:val="24"/>
        </w:rPr>
        <w:t>m</w:t>
      </w:r>
      <w:r w:rsidRPr="0097574B">
        <w:rPr>
          <w:rFonts w:ascii="Garamond" w:hAnsi="Garamond" w:cs="Times New Roman"/>
          <w:sz w:val="24"/>
          <w:szCs w:val="24"/>
        </w:rPr>
        <w:t>ë datë 6.7.2023</w:t>
      </w:r>
      <w:r w:rsidR="009E2168">
        <w:rPr>
          <w:rFonts w:ascii="Garamond" w:hAnsi="Garamond" w:cs="Times New Roman"/>
          <w:sz w:val="24"/>
          <w:szCs w:val="24"/>
        </w:rPr>
        <w:t>.</w:t>
      </w:r>
      <w:bookmarkStart w:id="0" w:name="_GoBack"/>
      <w:bookmarkEnd w:id="0"/>
    </w:p>
    <w:p w14:paraId="2076E2A0" w14:textId="77777777" w:rsidR="00616F4E" w:rsidRPr="0097574B" w:rsidRDefault="00616F4E" w:rsidP="00616F4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575ED8F" w14:textId="77777777" w:rsidR="00616F4E" w:rsidRPr="0097574B" w:rsidRDefault="00616F4E" w:rsidP="00616F4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2BBA2B42" w14:textId="74E66577" w:rsidR="007A744F" w:rsidRPr="00616F4E" w:rsidRDefault="007A744F" w:rsidP="00616F4E"/>
    <w:sectPr w:rsidR="007A744F" w:rsidRPr="00616F4E" w:rsidSect="00E7684C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5D7B2" w14:textId="77777777" w:rsidR="009E2168" w:rsidRDefault="009E2168" w:rsidP="00C86383">
      <w:pPr>
        <w:spacing w:after="0" w:line="240" w:lineRule="auto"/>
      </w:pPr>
      <w:r>
        <w:separator/>
      </w:r>
    </w:p>
  </w:endnote>
  <w:endnote w:type="continuationSeparator" w:id="0">
    <w:p w14:paraId="0DBF38CE" w14:textId="77777777" w:rsidR="009E2168" w:rsidRDefault="009E2168" w:rsidP="00C86383">
      <w:pPr>
        <w:spacing w:after="0" w:line="240" w:lineRule="auto"/>
      </w:pPr>
      <w:r>
        <w:continuationSeparator/>
      </w:r>
    </w:p>
  </w:endnote>
  <w:endnote w:type="continuationNotice" w:id="1">
    <w:p w14:paraId="317E2BF3" w14:textId="77777777" w:rsidR="009E2168" w:rsidRDefault="009E21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7B1FB44" w:rsidR="009E2168" w:rsidRPr="00E7684C" w:rsidRDefault="009E2168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9E2168" w:rsidRDefault="009E21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D0E5AF" w14:textId="77777777" w:rsidR="009E2168" w:rsidRDefault="009E2168" w:rsidP="00C86383">
      <w:pPr>
        <w:spacing w:after="0" w:line="240" w:lineRule="auto"/>
      </w:pPr>
      <w:r>
        <w:separator/>
      </w:r>
    </w:p>
  </w:footnote>
  <w:footnote w:type="continuationSeparator" w:id="0">
    <w:p w14:paraId="74F2719A" w14:textId="77777777" w:rsidR="009E2168" w:rsidRDefault="009E2168" w:rsidP="00C86383">
      <w:pPr>
        <w:spacing w:after="0" w:line="240" w:lineRule="auto"/>
      </w:pPr>
      <w:r>
        <w:continuationSeparator/>
      </w:r>
    </w:p>
  </w:footnote>
  <w:footnote w:type="continuationNotice" w:id="1">
    <w:p w14:paraId="6EF3974F" w14:textId="77777777" w:rsidR="009E2168" w:rsidRDefault="009E216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0942"/>
    <w:rsid w:val="0001371B"/>
    <w:rsid w:val="00013FC1"/>
    <w:rsid w:val="0001705C"/>
    <w:rsid w:val="00017F55"/>
    <w:rsid w:val="00020115"/>
    <w:rsid w:val="000224FD"/>
    <w:rsid w:val="000225F5"/>
    <w:rsid w:val="00022B06"/>
    <w:rsid w:val="0002452F"/>
    <w:rsid w:val="000278AC"/>
    <w:rsid w:val="00027E1F"/>
    <w:rsid w:val="00032ACF"/>
    <w:rsid w:val="00044096"/>
    <w:rsid w:val="00044C1F"/>
    <w:rsid w:val="00051513"/>
    <w:rsid w:val="0005725B"/>
    <w:rsid w:val="00062B6C"/>
    <w:rsid w:val="00062F7F"/>
    <w:rsid w:val="0007298B"/>
    <w:rsid w:val="00082B98"/>
    <w:rsid w:val="00091EE7"/>
    <w:rsid w:val="000A08B2"/>
    <w:rsid w:val="000A0B41"/>
    <w:rsid w:val="000C0CFC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07AB4"/>
    <w:rsid w:val="001113F8"/>
    <w:rsid w:val="00114E82"/>
    <w:rsid w:val="001156F1"/>
    <w:rsid w:val="00121DB5"/>
    <w:rsid w:val="00125D8E"/>
    <w:rsid w:val="001312CF"/>
    <w:rsid w:val="001315C1"/>
    <w:rsid w:val="001325AF"/>
    <w:rsid w:val="00132AD7"/>
    <w:rsid w:val="001336E2"/>
    <w:rsid w:val="001356DB"/>
    <w:rsid w:val="001424BF"/>
    <w:rsid w:val="001432F5"/>
    <w:rsid w:val="00143A0C"/>
    <w:rsid w:val="00144394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C14D6"/>
    <w:rsid w:val="001C343A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37A7"/>
    <w:rsid w:val="002351FC"/>
    <w:rsid w:val="002359AF"/>
    <w:rsid w:val="00237CB2"/>
    <w:rsid w:val="00240E91"/>
    <w:rsid w:val="00244B19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4C7"/>
    <w:rsid w:val="003345F5"/>
    <w:rsid w:val="00343599"/>
    <w:rsid w:val="00343D14"/>
    <w:rsid w:val="0034558C"/>
    <w:rsid w:val="00351908"/>
    <w:rsid w:val="003556E0"/>
    <w:rsid w:val="003557DA"/>
    <w:rsid w:val="00373D67"/>
    <w:rsid w:val="003802C5"/>
    <w:rsid w:val="00380CE5"/>
    <w:rsid w:val="00384791"/>
    <w:rsid w:val="00384A0F"/>
    <w:rsid w:val="00387159"/>
    <w:rsid w:val="003918EF"/>
    <w:rsid w:val="00391D0F"/>
    <w:rsid w:val="00393AEF"/>
    <w:rsid w:val="00393D81"/>
    <w:rsid w:val="003962DE"/>
    <w:rsid w:val="00397B89"/>
    <w:rsid w:val="003A3D56"/>
    <w:rsid w:val="003A6540"/>
    <w:rsid w:val="003A6F29"/>
    <w:rsid w:val="003B7568"/>
    <w:rsid w:val="003C3B41"/>
    <w:rsid w:val="003C51DC"/>
    <w:rsid w:val="003D23B3"/>
    <w:rsid w:val="003E08F3"/>
    <w:rsid w:val="003E193B"/>
    <w:rsid w:val="003E334D"/>
    <w:rsid w:val="003E39E2"/>
    <w:rsid w:val="003E3F68"/>
    <w:rsid w:val="003F623E"/>
    <w:rsid w:val="003F66F6"/>
    <w:rsid w:val="00401578"/>
    <w:rsid w:val="00402A6A"/>
    <w:rsid w:val="004148DA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67AB4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5558"/>
    <w:rsid w:val="00505674"/>
    <w:rsid w:val="005124C3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66A66"/>
    <w:rsid w:val="00567336"/>
    <w:rsid w:val="005920D3"/>
    <w:rsid w:val="00595D7E"/>
    <w:rsid w:val="005A4BF2"/>
    <w:rsid w:val="005A6A5B"/>
    <w:rsid w:val="005B4F54"/>
    <w:rsid w:val="005C0232"/>
    <w:rsid w:val="005C275E"/>
    <w:rsid w:val="005C7FD6"/>
    <w:rsid w:val="005D008B"/>
    <w:rsid w:val="005D260E"/>
    <w:rsid w:val="005D2C27"/>
    <w:rsid w:val="005D79C0"/>
    <w:rsid w:val="005E0B16"/>
    <w:rsid w:val="005E17AC"/>
    <w:rsid w:val="005E3C64"/>
    <w:rsid w:val="005E4979"/>
    <w:rsid w:val="005F08C5"/>
    <w:rsid w:val="005F7BAE"/>
    <w:rsid w:val="00600647"/>
    <w:rsid w:val="00600908"/>
    <w:rsid w:val="00606A64"/>
    <w:rsid w:val="00611AFD"/>
    <w:rsid w:val="00612758"/>
    <w:rsid w:val="00616F4E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80190"/>
    <w:rsid w:val="00686471"/>
    <w:rsid w:val="00695534"/>
    <w:rsid w:val="006A1126"/>
    <w:rsid w:val="006A710C"/>
    <w:rsid w:val="006B27CE"/>
    <w:rsid w:val="006B790D"/>
    <w:rsid w:val="006C2AEE"/>
    <w:rsid w:val="006D3004"/>
    <w:rsid w:val="006D6CF7"/>
    <w:rsid w:val="006E1D69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50776"/>
    <w:rsid w:val="00752319"/>
    <w:rsid w:val="00761637"/>
    <w:rsid w:val="00761C31"/>
    <w:rsid w:val="00761C60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744F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6166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B1AAF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668F"/>
    <w:rsid w:val="008F6781"/>
    <w:rsid w:val="009051F4"/>
    <w:rsid w:val="0092415F"/>
    <w:rsid w:val="009256DD"/>
    <w:rsid w:val="00935A81"/>
    <w:rsid w:val="00937BC1"/>
    <w:rsid w:val="0094122A"/>
    <w:rsid w:val="00946C72"/>
    <w:rsid w:val="0095624F"/>
    <w:rsid w:val="009571C2"/>
    <w:rsid w:val="00960704"/>
    <w:rsid w:val="00960B17"/>
    <w:rsid w:val="00964622"/>
    <w:rsid w:val="009649C3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49A9"/>
    <w:rsid w:val="009A67C9"/>
    <w:rsid w:val="009A734A"/>
    <w:rsid w:val="009B3A7B"/>
    <w:rsid w:val="009B6083"/>
    <w:rsid w:val="009D0BB6"/>
    <w:rsid w:val="009D3A41"/>
    <w:rsid w:val="009D5991"/>
    <w:rsid w:val="009D76B9"/>
    <w:rsid w:val="009E2168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215AB"/>
    <w:rsid w:val="00A22178"/>
    <w:rsid w:val="00A22ADE"/>
    <w:rsid w:val="00A241B8"/>
    <w:rsid w:val="00A37632"/>
    <w:rsid w:val="00A503B4"/>
    <w:rsid w:val="00A5392D"/>
    <w:rsid w:val="00A558AE"/>
    <w:rsid w:val="00A564E2"/>
    <w:rsid w:val="00A67678"/>
    <w:rsid w:val="00A74270"/>
    <w:rsid w:val="00A755F6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26C7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15BE1"/>
    <w:rsid w:val="00C2107A"/>
    <w:rsid w:val="00C22617"/>
    <w:rsid w:val="00C277DC"/>
    <w:rsid w:val="00C310C5"/>
    <w:rsid w:val="00C3396C"/>
    <w:rsid w:val="00C356CF"/>
    <w:rsid w:val="00C42220"/>
    <w:rsid w:val="00C46623"/>
    <w:rsid w:val="00C50843"/>
    <w:rsid w:val="00C569D5"/>
    <w:rsid w:val="00C65542"/>
    <w:rsid w:val="00C76C1D"/>
    <w:rsid w:val="00C829DC"/>
    <w:rsid w:val="00C86383"/>
    <w:rsid w:val="00C9434B"/>
    <w:rsid w:val="00C96F2B"/>
    <w:rsid w:val="00CA0814"/>
    <w:rsid w:val="00CA0EBE"/>
    <w:rsid w:val="00CA57B6"/>
    <w:rsid w:val="00CC6F24"/>
    <w:rsid w:val="00CD31B5"/>
    <w:rsid w:val="00CD3633"/>
    <w:rsid w:val="00CD48BD"/>
    <w:rsid w:val="00CE032B"/>
    <w:rsid w:val="00CE0964"/>
    <w:rsid w:val="00CE0B9A"/>
    <w:rsid w:val="00CE5869"/>
    <w:rsid w:val="00CE6F13"/>
    <w:rsid w:val="00CF056C"/>
    <w:rsid w:val="00D05C90"/>
    <w:rsid w:val="00D0709B"/>
    <w:rsid w:val="00D17929"/>
    <w:rsid w:val="00D200FB"/>
    <w:rsid w:val="00D2027A"/>
    <w:rsid w:val="00D22C59"/>
    <w:rsid w:val="00D27092"/>
    <w:rsid w:val="00D31426"/>
    <w:rsid w:val="00D31E4D"/>
    <w:rsid w:val="00D332B5"/>
    <w:rsid w:val="00D40624"/>
    <w:rsid w:val="00D44DC4"/>
    <w:rsid w:val="00D47674"/>
    <w:rsid w:val="00D47862"/>
    <w:rsid w:val="00D57B3A"/>
    <w:rsid w:val="00D600F3"/>
    <w:rsid w:val="00D61A19"/>
    <w:rsid w:val="00D621BE"/>
    <w:rsid w:val="00D62BE5"/>
    <w:rsid w:val="00D66EB0"/>
    <w:rsid w:val="00D704A8"/>
    <w:rsid w:val="00D719E7"/>
    <w:rsid w:val="00D8441D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C58FC"/>
    <w:rsid w:val="00DC5A82"/>
    <w:rsid w:val="00DD32F3"/>
    <w:rsid w:val="00DD3DDE"/>
    <w:rsid w:val="00DD473E"/>
    <w:rsid w:val="00DF0BAA"/>
    <w:rsid w:val="00DF1BC6"/>
    <w:rsid w:val="00DF6555"/>
    <w:rsid w:val="00DF6CD2"/>
    <w:rsid w:val="00E02D8F"/>
    <w:rsid w:val="00E03375"/>
    <w:rsid w:val="00E042C2"/>
    <w:rsid w:val="00E06BA5"/>
    <w:rsid w:val="00E10087"/>
    <w:rsid w:val="00E12C4C"/>
    <w:rsid w:val="00E24099"/>
    <w:rsid w:val="00E26211"/>
    <w:rsid w:val="00E318C7"/>
    <w:rsid w:val="00E34C07"/>
    <w:rsid w:val="00E36067"/>
    <w:rsid w:val="00E442DC"/>
    <w:rsid w:val="00E51DFA"/>
    <w:rsid w:val="00E51E75"/>
    <w:rsid w:val="00E572E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7B60"/>
    <w:rsid w:val="00EB31F6"/>
    <w:rsid w:val="00EB4EE4"/>
    <w:rsid w:val="00EB62DE"/>
    <w:rsid w:val="00ED4C45"/>
    <w:rsid w:val="00ED5AEE"/>
    <w:rsid w:val="00ED668D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AA7"/>
    <w:rsid w:val="00F37FAF"/>
    <w:rsid w:val="00F4148E"/>
    <w:rsid w:val="00F42E3E"/>
    <w:rsid w:val="00F43580"/>
    <w:rsid w:val="00F454F1"/>
    <w:rsid w:val="00F466D7"/>
    <w:rsid w:val="00F5324C"/>
    <w:rsid w:val="00F5634D"/>
    <w:rsid w:val="00F65C99"/>
    <w:rsid w:val="00F701B3"/>
    <w:rsid w:val="00F72622"/>
    <w:rsid w:val="00F779F7"/>
    <w:rsid w:val="00F82F68"/>
    <w:rsid w:val="00F83F05"/>
    <w:rsid w:val="00F86A50"/>
    <w:rsid w:val="00F87519"/>
    <w:rsid w:val="00F9446E"/>
    <w:rsid w:val="00F94822"/>
    <w:rsid w:val="00F9485F"/>
    <w:rsid w:val="00F960FE"/>
    <w:rsid w:val="00F969A9"/>
    <w:rsid w:val="00F9796E"/>
    <w:rsid w:val="00F97CB9"/>
    <w:rsid w:val="00FB2B6A"/>
    <w:rsid w:val="00FB340F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33373F4-F394-482A-9FC8-620C1A754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6F4E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E09971E6204E96A91A670FEEE45B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2222-2</Nr_x002e__x0020_akti>
    <Data_x0020_e_x0020_Krijimit xmlns="0e656187-b300-4fb0-8bf4-3a50f872073c">2023-07-12T12:27:18Z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2023-07-11T22:00:00Z</Date_x0020_protokolli>
    <Titulli xmlns="0e656187-b300-4fb0-8bf4-3a50f872073c">Për vlerësimin e veprimtarisë së Strukturës së Posaçme Kundër Korrupsionit dhe Krimit të Organizuar për vitin 2022</Titulli>
    <Modifikuesi xmlns="0e656187-b300-4fb0-8bf4-3a50f872073c">nevila.samarxhi</Modifikuesi>
    <Nr_x002e__x0020_prot_x0020_QBZ xmlns="0e656187-b300-4fb0-8bf4-3a50f872073c">1054/2</Nr_x002e__x0020_prot_x0020_QBZ>
    <Data_x0020_e_x0020_Modifikimit xmlns="0e656187-b300-4fb0-8bf4-3a50f872073c">2023-07-12T13:06:13Z</Data_x0020_e_x0020_Modifikimit>
    <Dekretuar xmlns="0e656187-b300-4fb0-8bf4-3a50f872073c">false</Dekretuar>
    <Data xmlns="0e656187-b300-4fb0-8bf4-3a50f872073c">2023-07-05T22:00:00Z</Data>
    <Nr_x002e__x0020_protokolli_x0020_i_x0020_aktit xmlns="0e656187-b300-4fb0-8bf4-3a50f872073c">2222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E09971E6204E96A91A670FEEE45B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ACFDC-2899-4946-952F-3AC0F9FE56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E79A733-1528-475B-AC91-3592F264EF4F}">
  <ds:schemaRefs>
    <ds:schemaRef ds:uri="http://www.w3.org/XML/1998/namespace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B769FA9-EF17-47EA-AAFC-C2826F0411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01F5DC-3E85-484B-8A6D-175A8F94A8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4B0D2E-6F48-4AE9-9EDE-8A788060D8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5BA01B-859B-4A16-B534-20C66051C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Strukturës së Posaçme Kundër Korrupsionit dhe Krimit të Organizuar për vitin 2022</vt:lpstr>
    </vt:vector>
  </TitlesOfParts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Strukturës së Posaçme Kundër Korrupsionit dhe Krimit të Organizuar për vitin 2022</dc:title>
  <dc:creator>user</dc:creator>
  <cp:lastModifiedBy>Alma Lisaku</cp:lastModifiedBy>
  <cp:revision>8</cp:revision>
  <cp:lastPrinted>2023-07-10T07:39:00Z</cp:lastPrinted>
  <dcterms:created xsi:type="dcterms:W3CDTF">2023-07-12T12:16:00Z</dcterms:created>
  <dcterms:modified xsi:type="dcterms:W3CDTF">2023-07-12T13:21:00Z</dcterms:modified>
</cp:coreProperties>
</file>