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54703A" w:rsidRDefault="0054703A" w:rsidP="0054703A">
      <w:pPr>
        <w:spacing w:after="0" w:line="240" w:lineRule="auto"/>
        <w:ind w:firstLine="284"/>
        <w:jc w:val="center"/>
        <w:rPr>
          <w:rFonts w:ascii="Garamond" w:eastAsia="Times New Roman" w:hAnsi="Garamond" w:cs="Times New Roman"/>
          <w:b/>
          <w:sz w:val="24"/>
          <w:szCs w:val="24"/>
        </w:rPr>
      </w:pPr>
      <w:r w:rsidRPr="00FA490E">
        <w:rPr>
          <w:rFonts w:ascii="Garamond" w:eastAsia="Times New Roman" w:hAnsi="Garamond" w:cs="Times New Roman"/>
          <w:b/>
          <w:sz w:val="24"/>
          <w:szCs w:val="24"/>
        </w:rPr>
        <w:t>REZOLUTË</w:t>
      </w:r>
    </w:p>
    <w:p w14:paraId="505BB66B" w14:textId="77777777" w:rsidR="0054703A" w:rsidRPr="00FA490E" w:rsidRDefault="0054703A" w:rsidP="0054703A">
      <w:pPr>
        <w:spacing w:after="0" w:line="240" w:lineRule="auto"/>
        <w:ind w:firstLine="284"/>
        <w:jc w:val="center"/>
        <w:rPr>
          <w:rFonts w:ascii="Garamond" w:eastAsia="Times New Roman" w:hAnsi="Garamond" w:cs="Times New Roman"/>
          <w:b/>
          <w:sz w:val="24"/>
          <w:szCs w:val="24"/>
        </w:rPr>
      </w:pPr>
    </w:p>
    <w:p w14:paraId="0FB2CB61" w14:textId="57BBE8C6" w:rsidR="0054703A" w:rsidRPr="00FA490E" w:rsidRDefault="0054703A" w:rsidP="0054703A">
      <w:pPr>
        <w:spacing w:after="0" w:line="240" w:lineRule="auto"/>
        <w:ind w:firstLine="284"/>
        <w:jc w:val="center"/>
        <w:rPr>
          <w:rFonts w:ascii="Garamond" w:eastAsia="Times New Roman" w:hAnsi="Garamond" w:cs="Times New Roman"/>
          <w:b/>
          <w:sz w:val="24"/>
          <w:szCs w:val="24"/>
        </w:rPr>
      </w:pPr>
      <w:r w:rsidRPr="00FA490E">
        <w:rPr>
          <w:rFonts w:ascii="Garamond" w:eastAsia="Times New Roman" w:hAnsi="Garamond" w:cs="Times New Roman"/>
          <w:b/>
          <w:sz w:val="24"/>
          <w:szCs w:val="24"/>
        </w:rPr>
        <w:t>PËR VLERËSIMIN E VEPRIMTARISË SË PROKURORISË SË PËRGJITHSHME PËR VITIN 2022</w:t>
      </w:r>
    </w:p>
    <w:p w14:paraId="3E143638" w14:textId="2870C721" w:rsidR="0054703A" w:rsidRPr="00FA490E" w:rsidRDefault="0054703A" w:rsidP="0054703A">
      <w:pPr>
        <w:spacing w:after="0" w:line="240" w:lineRule="auto"/>
        <w:ind w:firstLine="284"/>
        <w:jc w:val="both"/>
        <w:rPr>
          <w:rFonts w:ascii="Garamond" w:eastAsia="Times New Roman" w:hAnsi="Garamond" w:cs="Times New Roman"/>
          <w:b/>
          <w:sz w:val="24"/>
          <w:szCs w:val="24"/>
        </w:rPr>
      </w:pPr>
    </w:p>
    <w:p w14:paraId="407A5FCE" w14:textId="1B340BC9" w:rsidR="0054703A" w:rsidRPr="00FA490E" w:rsidRDefault="0054703A" w:rsidP="0054703A">
      <w:pPr>
        <w:spacing w:after="0" w:line="240" w:lineRule="auto"/>
        <w:ind w:firstLine="284"/>
        <w:jc w:val="both"/>
        <w:rPr>
          <w:rFonts w:ascii="Garamond" w:eastAsia="Times New Roman" w:hAnsi="Garamond" w:cs="Times New Roman"/>
          <w:b/>
          <w:sz w:val="24"/>
          <w:szCs w:val="24"/>
        </w:rPr>
      </w:pPr>
      <w:r w:rsidRPr="00FA490E">
        <w:rPr>
          <w:rFonts w:ascii="Garamond" w:eastAsia="Times New Roman" w:hAnsi="Garamond" w:cs="Times New Roman"/>
          <w:b/>
          <w:sz w:val="24"/>
          <w:szCs w:val="24"/>
        </w:rPr>
        <w:t>Kuvendi i Shqipërisë,</w:t>
      </w:r>
    </w:p>
    <w:p w14:paraId="50C119B5" w14:textId="77777777"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Duke mbajtur në konsideratë rolin e prokurorisë në ushtrimin e ndjekjes penale, hetimin, përfaqësimin e akuzës në gjyq, ekzekutimin e vendimeve penale dhe kryerjen e detyrave të tjera të ngarkuara me ligj; </w:t>
      </w:r>
    </w:p>
    <w:p w14:paraId="05E74C70" w14:textId="74279CC4"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Duke mbajtur në vëmendje që realizimi optimal i detyrave të prokurorëve është vështirësuar nga krijimi i </w:t>
      </w:r>
      <w:proofErr w:type="spellStart"/>
      <w:r w:rsidRPr="00FA490E">
        <w:rPr>
          <w:rFonts w:ascii="Garamond" w:eastAsia="Times New Roman" w:hAnsi="Garamond" w:cs="Times New Roman"/>
          <w:sz w:val="24"/>
          <w:szCs w:val="24"/>
        </w:rPr>
        <w:t>vakancave</w:t>
      </w:r>
      <w:proofErr w:type="spellEnd"/>
      <w:r w:rsidR="00725DF9">
        <w:rPr>
          <w:rFonts w:ascii="Garamond" w:eastAsia="Times New Roman" w:hAnsi="Garamond" w:cs="Times New Roman"/>
          <w:sz w:val="24"/>
          <w:szCs w:val="24"/>
        </w:rPr>
        <w:t>,</w:t>
      </w:r>
      <w:r w:rsidRPr="00FA490E">
        <w:rPr>
          <w:rFonts w:ascii="Garamond" w:eastAsia="Times New Roman" w:hAnsi="Garamond" w:cs="Times New Roman"/>
          <w:sz w:val="24"/>
          <w:szCs w:val="24"/>
        </w:rPr>
        <w:t xml:space="preserve"> për shkak të rivlerësimit kalimtar të prokurorëve;</w:t>
      </w:r>
    </w:p>
    <w:p w14:paraId="6E9A386B" w14:textId="286BF6CB"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Duke vlerësuar rëndësinë e raportimit të Prokurorit të Përgjithshëm në Kuvend për gjendjen e kriminalitetit, zbatimin e rekomandimeve </w:t>
      </w:r>
      <w:proofErr w:type="spellStart"/>
      <w:r w:rsidRPr="00FA490E">
        <w:rPr>
          <w:rFonts w:ascii="Garamond" w:eastAsia="Times New Roman" w:hAnsi="Garamond" w:cs="Times New Roman"/>
          <w:sz w:val="24"/>
          <w:szCs w:val="24"/>
        </w:rPr>
        <w:t>prioritare</w:t>
      </w:r>
      <w:proofErr w:type="spellEnd"/>
      <w:r w:rsidRPr="00FA490E">
        <w:rPr>
          <w:rFonts w:ascii="Garamond" w:eastAsia="Times New Roman" w:hAnsi="Garamond" w:cs="Times New Roman"/>
          <w:sz w:val="24"/>
          <w:szCs w:val="24"/>
        </w:rPr>
        <w:t xml:space="preserve"> të Kuvendit dhe Këshillit të Ministrave në luftën kundër kriminalitetit dhe për efektivitetin e ndjekjes penale; </w:t>
      </w:r>
    </w:p>
    <w:p w14:paraId="3DBC0F19" w14:textId="17E2E533"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Duke vlerësuar rolin e Prokurorit të Përgjithshëm në nxjerrjen e udhëzimeve të përgjithshme për prokurorët e prokurorive të juridiksionit të përgjithshëm, për oficerët e Policisë Gjyqësore, si dhe për mbikëqyrjen e zbatimit të tyre, si dhe kujdes</w:t>
      </w:r>
      <w:r w:rsidR="00904981">
        <w:rPr>
          <w:rFonts w:ascii="Garamond" w:eastAsia="Times New Roman" w:hAnsi="Garamond" w:cs="Times New Roman"/>
          <w:sz w:val="24"/>
          <w:szCs w:val="24"/>
        </w:rPr>
        <w:t xml:space="preserve">in </w:t>
      </w:r>
      <w:r w:rsidRPr="00FA490E">
        <w:rPr>
          <w:rFonts w:ascii="Garamond" w:eastAsia="Times New Roman" w:hAnsi="Garamond" w:cs="Times New Roman"/>
          <w:sz w:val="24"/>
          <w:szCs w:val="24"/>
        </w:rPr>
        <w:t xml:space="preserve">për ushtrimin e kompetencave ligjore dhe kushtetuese të prokurorisë; </w:t>
      </w:r>
    </w:p>
    <w:p w14:paraId="647CF131" w14:textId="51C0D95F"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Duke vlerësuar angazhimin në procesin e zbatimit të hartës së re gjyqësore, me synim garantimin e të drejtave dhe lirive themelore të individit, me theks të veçantë tek e drejta e </w:t>
      </w:r>
      <w:proofErr w:type="spellStart"/>
      <w:r w:rsidRPr="00FA490E">
        <w:rPr>
          <w:rFonts w:ascii="Garamond" w:eastAsia="Times New Roman" w:hAnsi="Garamond" w:cs="Times New Roman"/>
          <w:sz w:val="24"/>
          <w:szCs w:val="24"/>
        </w:rPr>
        <w:t>aksesit</w:t>
      </w:r>
      <w:proofErr w:type="spellEnd"/>
      <w:r w:rsidRPr="00FA490E">
        <w:rPr>
          <w:rFonts w:ascii="Garamond" w:eastAsia="Times New Roman" w:hAnsi="Garamond" w:cs="Times New Roman"/>
          <w:sz w:val="24"/>
          <w:szCs w:val="24"/>
        </w:rPr>
        <w:t xml:space="preserve"> në drejtësi;</w:t>
      </w:r>
    </w:p>
    <w:p w14:paraId="68E07089" w14:textId="21EF8F2A"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Duke vlerësuar kontributin e dhënë me opinione dhe sugjerime në procesin e hartimit të legjislacionit dhe/ose përmirësimin e tij dhe duke mbajtur në konsideratë rolin e prokurorisë në përmbushjen e detyrimeve në kuadër të integrimit e</w:t>
      </w:r>
      <w:r w:rsidR="00904981">
        <w:rPr>
          <w:rFonts w:ascii="Garamond" w:eastAsia="Times New Roman" w:hAnsi="Garamond" w:cs="Times New Roman"/>
          <w:sz w:val="24"/>
          <w:szCs w:val="24"/>
        </w:rPr>
        <w:t>v</w:t>
      </w:r>
      <w:r w:rsidRPr="00FA490E">
        <w:rPr>
          <w:rFonts w:ascii="Garamond" w:eastAsia="Times New Roman" w:hAnsi="Garamond" w:cs="Times New Roman"/>
          <w:sz w:val="24"/>
          <w:szCs w:val="24"/>
        </w:rPr>
        <w:t xml:space="preserve">ropian; </w:t>
      </w:r>
    </w:p>
    <w:p w14:paraId="06D450DD" w14:textId="18ACA8DC"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Duke vlerësuar angazhimin për zbatimin e rekomandimeve të Grupit të Shteteve të Këshillit të E</w:t>
      </w:r>
      <w:r w:rsidR="00725DF9">
        <w:rPr>
          <w:rFonts w:ascii="Garamond" w:eastAsia="Times New Roman" w:hAnsi="Garamond" w:cs="Times New Roman"/>
          <w:sz w:val="24"/>
          <w:szCs w:val="24"/>
        </w:rPr>
        <w:t>v</w:t>
      </w:r>
      <w:r w:rsidRPr="00FA490E">
        <w:rPr>
          <w:rFonts w:ascii="Garamond" w:eastAsia="Times New Roman" w:hAnsi="Garamond" w:cs="Times New Roman"/>
          <w:sz w:val="24"/>
          <w:szCs w:val="24"/>
        </w:rPr>
        <w:t>ropës kundër Korrupsionit (</w:t>
      </w:r>
      <w:proofErr w:type="spellStart"/>
      <w:r w:rsidRPr="00FA490E">
        <w:rPr>
          <w:rFonts w:ascii="Garamond" w:eastAsia="Times New Roman" w:hAnsi="Garamond" w:cs="Times New Roman"/>
          <w:sz w:val="24"/>
          <w:szCs w:val="24"/>
        </w:rPr>
        <w:t>GRECO</w:t>
      </w:r>
      <w:proofErr w:type="spellEnd"/>
      <w:r w:rsidRPr="00FA490E">
        <w:rPr>
          <w:rFonts w:ascii="Garamond" w:eastAsia="Times New Roman" w:hAnsi="Garamond" w:cs="Times New Roman"/>
          <w:sz w:val="24"/>
          <w:szCs w:val="24"/>
        </w:rPr>
        <w:t>);</w:t>
      </w:r>
    </w:p>
    <w:p w14:paraId="13588A5C" w14:textId="0D9A56F1"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Duke nënvizuar rëndësinë e bashkëpunimit të Prokurorit të Përgjithshëm dhe drejtuesit të Prokurorisë së Posaçme në luftën kundër pastrimit të parave, të korrupsionit, krimit të organizuar dhe terrorizmit; </w:t>
      </w:r>
    </w:p>
    <w:p w14:paraId="68A217F2" w14:textId="48EE8021"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Duke ritheksuar rëndësinë e bashkëpunimit të Prokurorit të Përgjithshëm me organet e drejtësisë dhe organet ekzekutive </w:t>
      </w:r>
      <w:proofErr w:type="spellStart"/>
      <w:r w:rsidRPr="00FA490E">
        <w:rPr>
          <w:rFonts w:ascii="Garamond" w:eastAsia="Times New Roman" w:hAnsi="Garamond" w:cs="Times New Roman"/>
          <w:sz w:val="24"/>
          <w:szCs w:val="24"/>
        </w:rPr>
        <w:t>ligjzbatuese</w:t>
      </w:r>
      <w:proofErr w:type="spellEnd"/>
      <w:r w:rsidRPr="00FA490E">
        <w:rPr>
          <w:rFonts w:ascii="Garamond" w:eastAsia="Times New Roman" w:hAnsi="Garamond" w:cs="Times New Roman"/>
          <w:sz w:val="24"/>
          <w:szCs w:val="24"/>
        </w:rPr>
        <w:t>, Kuvendin, organet e tjera homologe vend</w:t>
      </w:r>
      <w:r w:rsidR="00725DF9">
        <w:rPr>
          <w:rFonts w:ascii="Garamond" w:eastAsia="Times New Roman" w:hAnsi="Garamond" w:cs="Times New Roman"/>
          <w:sz w:val="24"/>
          <w:szCs w:val="24"/>
        </w:rPr>
        <w:t>ë</w:t>
      </w:r>
      <w:r w:rsidRPr="00FA490E">
        <w:rPr>
          <w:rFonts w:ascii="Garamond" w:eastAsia="Times New Roman" w:hAnsi="Garamond" w:cs="Times New Roman"/>
          <w:sz w:val="24"/>
          <w:szCs w:val="24"/>
        </w:rPr>
        <w:t>se ose të huaja dhe organizatat e asistencës dhe ndihmës në raport me prokurorinë</w:t>
      </w:r>
      <w:r w:rsidR="00725DF9">
        <w:rPr>
          <w:rFonts w:ascii="Garamond" w:eastAsia="Times New Roman" w:hAnsi="Garamond" w:cs="Times New Roman"/>
          <w:sz w:val="24"/>
          <w:szCs w:val="24"/>
        </w:rPr>
        <w:t>.</w:t>
      </w:r>
    </w:p>
    <w:p w14:paraId="454E6A97" w14:textId="221A0537" w:rsidR="0054703A" w:rsidRPr="00FA490E" w:rsidRDefault="0054703A" w:rsidP="0054703A">
      <w:pPr>
        <w:spacing w:after="0" w:line="240" w:lineRule="auto"/>
        <w:ind w:firstLine="284"/>
        <w:jc w:val="both"/>
        <w:rPr>
          <w:rFonts w:ascii="Garamond" w:eastAsia="Times New Roman" w:hAnsi="Garamond" w:cs="Times New Roman"/>
          <w:b/>
          <w:sz w:val="24"/>
          <w:szCs w:val="24"/>
        </w:rPr>
      </w:pPr>
      <w:r w:rsidRPr="00FA490E">
        <w:rPr>
          <w:rFonts w:ascii="Garamond" w:eastAsia="Times New Roman" w:hAnsi="Garamond" w:cs="Times New Roman"/>
          <w:b/>
          <w:sz w:val="24"/>
          <w:szCs w:val="24"/>
        </w:rPr>
        <w:t>Për veprimtarinë e Prokurorit të Përgjithshëm për vitin 2022 konstaton</w:t>
      </w:r>
      <w:r w:rsidR="008D1E6B">
        <w:rPr>
          <w:rFonts w:ascii="Garamond" w:eastAsia="Times New Roman" w:hAnsi="Garamond" w:cs="Times New Roman"/>
          <w:b/>
          <w:sz w:val="24"/>
          <w:szCs w:val="24"/>
        </w:rPr>
        <w:t>,</w:t>
      </w:r>
      <w:r w:rsidRPr="00FA490E">
        <w:rPr>
          <w:rFonts w:ascii="Garamond" w:eastAsia="Times New Roman" w:hAnsi="Garamond" w:cs="Times New Roman"/>
          <w:b/>
          <w:sz w:val="24"/>
          <w:szCs w:val="24"/>
        </w:rPr>
        <w:t xml:space="preserve"> se: </w:t>
      </w:r>
    </w:p>
    <w:p w14:paraId="2D7F0452" w14:textId="77777777"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Është konsoliduar pavarësia institucionale dhe funksionale e institucionit të prokurorisë, veçanërisht pavarësia e prokurorëve në procesin e hetimit dhe vendimmarrjes në funksion të rezultateve më të mira në luftën kundër krimit.</w:t>
      </w:r>
    </w:p>
    <w:p w14:paraId="7CD57BD4" w14:textId="77777777"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Është rritur cilësia e hetimeve për veprat penale të dhunës në familje dhe veprave penale ndaj të miturve, ku prokurorët dhe oficerët e Policisë Gjyqësore në seksionet për të mitur kanë bërë kujdes që ndaj të miturve në konflikt me ligjin të kërkohen masa alternative të dënimit, si: shmangia, ndërmjetësimi, këshillimi për të miturin apo familjen dhe paralajmërimi me shkrim.</w:t>
      </w:r>
    </w:p>
    <w:p w14:paraId="24FC5D24" w14:textId="5B46CAB2"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Është konsoliduar bashkëpunimi dhe koordinimi ndërinstitucional me institucionet dhe agjencitë </w:t>
      </w:r>
      <w:proofErr w:type="spellStart"/>
      <w:r w:rsidRPr="00FA490E">
        <w:rPr>
          <w:rFonts w:ascii="Garamond" w:eastAsia="Times New Roman" w:hAnsi="Garamond" w:cs="Times New Roman"/>
          <w:sz w:val="24"/>
          <w:szCs w:val="24"/>
        </w:rPr>
        <w:t>ligjzbatuese</w:t>
      </w:r>
      <w:proofErr w:type="spellEnd"/>
      <w:r w:rsidRPr="00FA490E">
        <w:rPr>
          <w:rFonts w:ascii="Garamond" w:eastAsia="Times New Roman" w:hAnsi="Garamond" w:cs="Times New Roman"/>
          <w:sz w:val="24"/>
          <w:szCs w:val="24"/>
        </w:rPr>
        <w:t xml:space="preserve"> palë në marrëveshje dy</w:t>
      </w:r>
      <w:r w:rsidR="008D1E6B">
        <w:rPr>
          <w:rFonts w:ascii="Garamond" w:eastAsia="Times New Roman" w:hAnsi="Garamond" w:cs="Times New Roman"/>
          <w:sz w:val="24"/>
          <w:szCs w:val="24"/>
        </w:rPr>
        <w:t>-</w:t>
      </w:r>
      <w:r w:rsidRPr="00FA490E">
        <w:rPr>
          <w:rFonts w:ascii="Garamond" w:eastAsia="Times New Roman" w:hAnsi="Garamond" w:cs="Times New Roman"/>
          <w:sz w:val="24"/>
          <w:szCs w:val="24"/>
        </w:rPr>
        <w:t xml:space="preserve"> ose shumëpalëshe, si dhe në marrëdhëniet </w:t>
      </w:r>
      <w:proofErr w:type="spellStart"/>
      <w:r w:rsidRPr="00FA490E">
        <w:rPr>
          <w:rFonts w:ascii="Garamond" w:eastAsia="Times New Roman" w:hAnsi="Garamond" w:cs="Times New Roman"/>
          <w:sz w:val="24"/>
          <w:szCs w:val="24"/>
        </w:rPr>
        <w:t>juridiksionale</w:t>
      </w:r>
      <w:proofErr w:type="spellEnd"/>
      <w:r w:rsidRPr="00FA490E">
        <w:rPr>
          <w:rFonts w:ascii="Garamond" w:eastAsia="Times New Roman" w:hAnsi="Garamond" w:cs="Times New Roman"/>
          <w:sz w:val="24"/>
          <w:szCs w:val="24"/>
        </w:rPr>
        <w:t xml:space="preserve"> me autoritetet gjyqësore të huaja nëpërmjet zyrës së Prokurorit Ndërlidhës të Shqipërisë në </w:t>
      </w:r>
      <w:proofErr w:type="spellStart"/>
      <w:r w:rsidRPr="00FA490E">
        <w:rPr>
          <w:rFonts w:ascii="Garamond" w:eastAsia="Times New Roman" w:hAnsi="Garamond" w:cs="Times New Roman"/>
          <w:sz w:val="24"/>
          <w:szCs w:val="24"/>
        </w:rPr>
        <w:t>Eurojust</w:t>
      </w:r>
      <w:proofErr w:type="spellEnd"/>
      <w:r w:rsidRPr="00FA490E">
        <w:rPr>
          <w:rFonts w:ascii="Garamond" w:eastAsia="Times New Roman" w:hAnsi="Garamond" w:cs="Times New Roman"/>
          <w:sz w:val="24"/>
          <w:szCs w:val="24"/>
        </w:rPr>
        <w:t>, veçanërisht në rritjen e numrit të skuadrave të përbashkëta hetimore dhe goditjen e krimit.</w:t>
      </w:r>
    </w:p>
    <w:p w14:paraId="008E01ED" w14:textId="77777777"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Është përmirësuar bashkërendimi dhe koordinimi me Komisionin e Policisë Gjyqësore për forcimin e kapaciteteve profesionale të oficerëve të Policisë Gjyqësore në strukturat përkatëse të shërbimeve dhe seksioneve të Policisë Gjyqësore, me synim rritjen e cilësisë dhe efektivitetit në kryerjen e hetimeve në drejtimet </w:t>
      </w:r>
      <w:proofErr w:type="spellStart"/>
      <w:r w:rsidRPr="00FA490E">
        <w:rPr>
          <w:rFonts w:ascii="Garamond" w:eastAsia="Times New Roman" w:hAnsi="Garamond" w:cs="Times New Roman"/>
          <w:sz w:val="24"/>
          <w:szCs w:val="24"/>
        </w:rPr>
        <w:t>prioritare</w:t>
      </w:r>
      <w:proofErr w:type="spellEnd"/>
      <w:r w:rsidRPr="00FA490E">
        <w:rPr>
          <w:rFonts w:ascii="Garamond" w:eastAsia="Times New Roman" w:hAnsi="Garamond" w:cs="Times New Roman"/>
          <w:sz w:val="24"/>
          <w:szCs w:val="24"/>
        </w:rPr>
        <w:t xml:space="preserve"> të luftës kundër kriminalitetit.</w:t>
      </w:r>
    </w:p>
    <w:p w14:paraId="62EC9E63" w14:textId="512866C5"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Mbetet problematikë parësore krijimi i </w:t>
      </w:r>
      <w:proofErr w:type="spellStart"/>
      <w:r w:rsidRPr="00FA490E">
        <w:rPr>
          <w:rFonts w:ascii="Garamond" w:eastAsia="Times New Roman" w:hAnsi="Garamond" w:cs="Times New Roman"/>
          <w:sz w:val="24"/>
          <w:szCs w:val="24"/>
        </w:rPr>
        <w:t>vakancave</w:t>
      </w:r>
      <w:proofErr w:type="spellEnd"/>
      <w:r w:rsidRPr="00FA490E">
        <w:rPr>
          <w:rFonts w:ascii="Garamond" w:eastAsia="Times New Roman" w:hAnsi="Garamond" w:cs="Times New Roman"/>
          <w:sz w:val="24"/>
          <w:szCs w:val="24"/>
        </w:rPr>
        <w:t xml:space="preserve"> të përkohshme dhe të përhershme (deri në 42%)</w:t>
      </w:r>
      <w:r w:rsidR="00B37791">
        <w:rPr>
          <w:rFonts w:ascii="Garamond" w:eastAsia="Times New Roman" w:hAnsi="Garamond" w:cs="Times New Roman"/>
          <w:sz w:val="24"/>
          <w:szCs w:val="24"/>
        </w:rPr>
        <w:t>,</w:t>
      </w:r>
      <w:r w:rsidRPr="00FA490E">
        <w:rPr>
          <w:rFonts w:ascii="Garamond" w:eastAsia="Times New Roman" w:hAnsi="Garamond" w:cs="Times New Roman"/>
          <w:sz w:val="24"/>
          <w:szCs w:val="24"/>
        </w:rPr>
        <w:t xml:space="preserve"> për shkak të rivlerësimit kalimtar të prokurorëve. </w:t>
      </w:r>
    </w:p>
    <w:p w14:paraId="2A852C23" w14:textId="15FB7A98"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Prokuroria e Përgjithshme ka vijuar përpjekjet për të mundësuar zhvillimin e programit statistikor </w:t>
      </w:r>
      <w:proofErr w:type="spellStart"/>
      <w:r w:rsidRPr="00FA490E">
        <w:rPr>
          <w:rFonts w:ascii="Garamond" w:eastAsia="Times New Roman" w:hAnsi="Garamond" w:cs="Times New Roman"/>
          <w:sz w:val="24"/>
          <w:szCs w:val="24"/>
        </w:rPr>
        <w:t>PRESTO</w:t>
      </w:r>
      <w:proofErr w:type="spellEnd"/>
      <w:r w:rsidRPr="00FA490E">
        <w:rPr>
          <w:rFonts w:ascii="Garamond" w:eastAsia="Times New Roman" w:hAnsi="Garamond" w:cs="Times New Roman"/>
          <w:sz w:val="24"/>
          <w:szCs w:val="24"/>
        </w:rPr>
        <w:t xml:space="preserve"> për administrimin elektronik të regjistrave proceduralë dhe përfitimin e një sistemi statistikor </w:t>
      </w:r>
      <w:proofErr w:type="spellStart"/>
      <w:r w:rsidRPr="00FA490E">
        <w:rPr>
          <w:rFonts w:ascii="Garamond" w:eastAsia="Times New Roman" w:hAnsi="Garamond" w:cs="Times New Roman"/>
          <w:sz w:val="24"/>
          <w:szCs w:val="24"/>
        </w:rPr>
        <w:t>fleksibël</w:t>
      </w:r>
      <w:proofErr w:type="spellEnd"/>
      <w:r w:rsidR="00B37791">
        <w:rPr>
          <w:rFonts w:ascii="Garamond" w:eastAsia="Times New Roman" w:hAnsi="Garamond" w:cs="Times New Roman"/>
          <w:sz w:val="24"/>
          <w:szCs w:val="24"/>
        </w:rPr>
        <w:t>,</w:t>
      </w:r>
      <w:r w:rsidRPr="00FA490E">
        <w:rPr>
          <w:rFonts w:ascii="Garamond" w:eastAsia="Times New Roman" w:hAnsi="Garamond" w:cs="Times New Roman"/>
          <w:sz w:val="24"/>
          <w:szCs w:val="24"/>
        </w:rPr>
        <w:t xml:space="preserve"> në kohë reale dhe me të dhëna gjithëpërfshirëse për periudhën tranzitore deri në ngritjen e sistemit të ri (</w:t>
      </w:r>
      <w:proofErr w:type="spellStart"/>
      <w:r w:rsidRPr="00FA490E">
        <w:rPr>
          <w:rFonts w:ascii="Garamond" w:eastAsia="Times New Roman" w:hAnsi="Garamond" w:cs="Times New Roman"/>
          <w:sz w:val="24"/>
          <w:szCs w:val="24"/>
        </w:rPr>
        <w:t>CAMS</w:t>
      </w:r>
      <w:proofErr w:type="spellEnd"/>
      <w:r w:rsidRPr="00FA490E">
        <w:rPr>
          <w:rFonts w:ascii="Garamond" w:eastAsia="Times New Roman" w:hAnsi="Garamond" w:cs="Times New Roman"/>
          <w:sz w:val="24"/>
          <w:szCs w:val="24"/>
        </w:rPr>
        <w:t xml:space="preserve">). </w:t>
      </w:r>
    </w:p>
    <w:p w14:paraId="51FAF66F" w14:textId="391D0FD6"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lastRenderedPageBreak/>
        <w:t>Prokuroria e Përgjithshme është angazhuar në zbatimin e rekomandimeve të Grupit të Shteteve të Këshillit të E</w:t>
      </w:r>
      <w:r w:rsidR="00904981">
        <w:rPr>
          <w:rFonts w:ascii="Garamond" w:eastAsia="Times New Roman" w:hAnsi="Garamond" w:cs="Times New Roman"/>
          <w:sz w:val="24"/>
          <w:szCs w:val="24"/>
        </w:rPr>
        <w:t>v</w:t>
      </w:r>
      <w:r w:rsidRPr="00FA490E">
        <w:rPr>
          <w:rFonts w:ascii="Garamond" w:eastAsia="Times New Roman" w:hAnsi="Garamond" w:cs="Times New Roman"/>
          <w:sz w:val="24"/>
          <w:szCs w:val="24"/>
        </w:rPr>
        <w:t>ropës kundër Korrupsionit (</w:t>
      </w:r>
      <w:proofErr w:type="spellStart"/>
      <w:r w:rsidRPr="00FA490E">
        <w:rPr>
          <w:rFonts w:ascii="Garamond" w:eastAsia="Times New Roman" w:hAnsi="Garamond" w:cs="Times New Roman"/>
          <w:sz w:val="24"/>
          <w:szCs w:val="24"/>
        </w:rPr>
        <w:t>GRECO</w:t>
      </w:r>
      <w:proofErr w:type="spellEnd"/>
      <w:r w:rsidRPr="00FA490E">
        <w:rPr>
          <w:rFonts w:ascii="Garamond" w:eastAsia="Times New Roman" w:hAnsi="Garamond" w:cs="Times New Roman"/>
          <w:sz w:val="24"/>
          <w:szCs w:val="24"/>
        </w:rPr>
        <w:t>) dhe planit përkatës të veprimit.</w:t>
      </w:r>
    </w:p>
    <w:p w14:paraId="23CCD140" w14:textId="77777777"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Sipas Prokurorit të Përgjithshëm, vlerësimi i rregullimit ligjor aktual vështirëson lidhjen organike efektive mes drejtuesve të prokurorive në prokuroritë e shkallës së parë dhe apeleve me Prokurorinë e Përgjithshme, ndërkohë që angazhimet institucionale që dalin nga rezoluta e Kuvendit, rekomandimet e Këshillit të Ministrave apo raportet e organizmave të tjerë ndërkombëtarë kërkojnë një nivel më të lartë kohezioni institucional.</w:t>
      </w:r>
    </w:p>
    <w:p w14:paraId="0A7671EC" w14:textId="12B699B9" w:rsidR="0054703A" w:rsidRPr="00FA490E" w:rsidRDefault="0054703A" w:rsidP="0054703A">
      <w:pPr>
        <w:spacing w:after="0" w:line="240" w:lineRule="auto"/>
        <w:ind w:firstLine="284"/>
        <w:jc w:val="both"/>
        <w:rPr>
          <w:rFonts w:ascii="Garamond" w:eastAsia="Times New Roman" w:hAnsi="Garamond" w:cs="Times New Roman"/>
          <w:b/>
          <w:sz w:val="24"/>
          <w:szCs w:val="24"/>
        </w:rPr>
      </w:pPr>
      <w:r w:rsidRPr="00FA490E">
        <w:rPr>
          <w:rFonts w:ascii="Garamond" w:eastAsia="Times New Roman" w:hAnsi="Garamond" w:cs="Times New Roman"/>
          <w:b/>
          <w:sz w:val="24"/>
          <w:szCs w:val="24"/>
        </w:rPr>
        <w:t xml:space="preserve">Kuvendi i Shqipërisë kërkon që Prokurori i Përgjithshëm për vitin 2023, në përmbushje të detyrave të ngarkuara me ligj, të angazhohet veçanërisht edhe në këto drejtime: </w:t>
      </w:r>
    </w:p>
    <w:p w14:paraId="185F8E0E" w14:textId="0AFDF903"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1. Të vijojë rritja e rolit aktiv të prokurorëve që të ushtrojnë kontroll efektiv në punën e oficerëve të Policisë Gjyqësore, si dhe të evidentohen rastet që duhen proceduar në rrugë disiplinore.</w:t>
      </w:r>
    </w:p>
    <w:p w14:paraId="24D97140" w14:textId="1274EE3E"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2. Të merren masa efektive për mbrojtjen e viktimave të veprave penale të dhunës në familje e veprave penale ndaj të miturve dhe të rritet bashkëpunimi me institucionet shtetërore që ngarkohen me përgjegjësi në këtë drejtim sipas legjislacionit në fuqi. Të forcohen kapacitetet për hetimin dhe ndjekjen penale të krimeve të kryera kundër fëmijëve në internet, si dhe për hetimin e rasteve të dhunës në familje.</w:t>
      </w:r>
    </w:p>
    <w:p w14:paraId="44DA66A3" w14:textId="766484CF"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3. Të vijojë puna për vlerësimin e kapaciteteve profesionale, teknologjike dhe marrjen e masave të tjera për ngritjen sa më parë të sistemit të menaxhimit të çështjeve, si dhe ndërlidhjes duke bashkëpunuar me Qendrën e Teknologjisë së Informacionit për Sistemin e Drejtësisë pranë Këshillit të Lartë Gjyqësor.</w:t>
      </w:r>
    </w:p>
    <w:p w14:paraId="09A05283" w14:textId="3E7E5012"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4. Të vijojë puna e nisur për zhvillimin dhe përfundimin e sistemit elektronik </w:t>
      </w:r>
      <w:proofErr w:type="spellStart"/>
      <w:r w:rsidRPr="00FA490E">
        <w:rPr>
          <w:rFonts w:ascii="Garamond" w:eastAsia="Times New Roman" w:hAnsi="Garamond" w:cs="Times New Roman"/>
          <w:sz w:val="24"/>
          <w:szCs w:val="24"/>
        </w:rPr>
        <w:t>PRESTO</w:t>
      </w:r>
      <w:proofErr w:type="spellEnd"/>
      <w:r w:rsidRPr="00FA490E">
        <w:rPr>
          <w:rFonts w:ascii="Garamond" w:eastAsia="Times New Roman" w:hAnsi="Garamond" w:cs="Times New Roman"/>
          <w:sz w:val="24"/>
          <w:szCs w:val="24"/>
        </w:rPr>
        <w:t xml:space="preserve"> për administrimin elektronik të regjistrave proceduralë dhe përfitimin e statistikave në kohë reale me të dhëna gjithëpërfshirëse. </w:t>
      </w:r>
    </w:p>
    <w:p w14:paraId="668A1027" w14:textId="339A8C23"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5. Të përditësohet manuali për pastrimin e parave dhe rikuperimin e </w:t>
      </w:r>
      <w:proofErr w:type="spellStart"/>
      <w:r w:rsidRPr="00FA490E">
        <w:rPr>
          <w:rFonts w:ascii="Garamond" w:eastAsia="Times New Roman" w:hAnsi="Garamond" w:cs="Times New Roman"/>
          <w:sz w:val="24"/>
          <w:szCs w:val="24"/>
        </w:rPr>
        <w:t>aseteve</w:t>
      </w:r>
      <w:proofErr w:type="spellEnd"/>
      <w:r w:rsidRPr="00FA490E">
        <w:rPr>
          <w:rFonts w:ascii="Garamond" w:eastAsia="Times New Roman" w:hAnsi="Garamond" w:cs="Times New Roman"/>
          <w:sz w:val="24"/>
          <w:szCs w:val="24"/>
        </w:rPr>
        <w:t xml:space="preserve"> në kuadrin e projektit </w:t>
      </w:r>
      <w:proofErr w:type="spellStart"/>
      <w:r w:rsidRPr="00FA490E">
        <w:rPr>
          <w:rFonts w:ascii="Garamond" w:eastAsia="Times New Roman" w:hAnsi="Garamond" w:cs="Times New Roman"/>
          <w:sz w:val="24"/>
          <w:szCs w:val="24"/>
        </w:rPr>
        <w:t>FIIAPP</w:t>
      </w:r>
      <w:proofErr w:type="spellEnd"/>
      <w:r w:rsidRPr="00FA490E">
        <w:rPr>
          <w:rFonts w:ascii="Garamond" w:eastAsia="Times New Roman" w:hAnsi="Garamond" w:cs="Times New Roman"/>
          <w:sz w:val="24"/>
          <w:szCs w:val="24"/>
        </w:rPr>
        <w:t>. Të rritet efektiviteti i hetimeve financiare. Të trajnohen policia dhe prokurorët për të përmirësuar teknikat e hetimit financiar. Të rritet efektiviteti i hetimeve për çështjet e pastrimit të parave dhe të krijohet bashkëpunimi institucional ndërmjet Bankës së Shqipërisë, Policisë së Shtetit në Ministrinë e Brendshme dhe zyrës së Prokurorit të Përgjithshëm për çështjen e monedhave të falsifikuara në vend.</w:t>
      </w:r>
    </w:p>
    <w:p w14:paraId="599A9A95" w14:textId="04668C59"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6. Të raportohet mbi gjetje, problematika dhe rekomandime për zbatimin e hartës së re gjyqësore brenda muajit dhjetor. </w:t>
      </w:r>
    </w:p>
    <w:p w14:paraId="1B292DFB" w14:textId="17CF3B55"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7. Të punohet për të siguruar </w:t>
      </w:r>
      <w:proofErr w:type="spellStart"/>
      <w:r w:rsidRPr="00FA490E">
        <w:rPr>
          <w:rFonts w:ascii="Garamond" w:eastAsia="Times New Roman" w:hAnsi="Garamond" w:cs="Times New Roman"/>
          <w:sz w:val="24"/>
          <w:szCs w:val="24"/>
        </w:rPr>
        <w:t>aksesin</w:t>
      </w:r>
      <w:proofErr w:type="spellEnd"/>
      <w:r w:rsidRPr="00FA490E">
        <w:rPr>
          <w:rFonts w:ascii="Garamond" w:eastAsia="Times New Roman" w:hAnsi="Garamond" w:cs="Times New Roman"/>
          <w:sz w:val="24"/>
          <w:szCs w:val="24"/>
        </w:rPr>
        <w:t xml:space="preserve"> e drejtpërdrejtë në regjistrin elektronik të abonentëve celularë dhe adresat </w:t>
      </w:r>
      <w:proofErr w:type="spellStart"/>
      <w:r w:rsidRPr="00FA490E">
        <w:rPr>
          <w:rFonts w:ascii="Garamond" w:eastAsia="Times New Roman" w:hAnsi="Garamond" w:cs="Times New Roman"/>
          <w:sz w:val="24"/>
          <w:szCs w:val="24"/>
        </w:rPr>
        <w:t>IP</w:t>
      </w:r>
      <w:proofErr w:type="spellEnd"/>
      <w:r w:rsidRPr="00FA490E">
        <w:rPr>
          <w:rFonts w:ascii="Garamond" w:eastAsia="Times New Roman" w:hAnsi="Garamond" w:cs="Times New Roman"/>
          <w:sz w:val="24"/>
          <w:szCs w:val="24"/>
        </w:rPr>
        <w:t xml:space="preserve"> nga ana e ofruesve të shërbimit të internetit (jo vetëm në 40 regjistrat kombëtarë) për lehtësimin e hetimeve.</w:t>
      </w:r>
    </w:p>
    <w:p w14:paraId="15D5C696" w14:textId="2B42F4F6"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8. Të rritet shkëmbimi i informacionit ndërmjet institucioneve të përfshira (agjencitë </w:t>
      </w:r>
      <w:proofErr w:type="spellStart"/>
      <w:r w:rsidRPr="00FA490E">
        <w:rPr>
          <w:rFonts w:ascii="Garamond" w:eastAsia="Times New Roman" w:hAnsi="Garamond" w:cs="Times New Roman"/>
          <w:sz w:val="24"/>
          <w:szCs w:val="24"/>
        </w:rPr>
        <w:t>ligjzbatuese</w:t>
      </w:r>
      <w:proofErr w:type="spellEnd"/>
      <w:r w:rsidRPr="00FA490E">
        <w:rPr>
          <w:rFonts w:ascii="Garamond" w:eastAsia="Times New Roman" w:hAnsi="Garamond" w:cs="Times New Roman"/>
          <w:sz w:val="24"/>
          <w:szCs w:val="24"/>
        </w:rPr>
        <w:t>, prokuroria dhe sistemi gjyqësor) për rastet e trafikimit të armëve të zjarrit.</w:t>
      </w:r>
    </w:p>
    <w:p w14:paraId="45301826" w14:textId="6FC132B8"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 xml:space="preserve">9. Të rriten kapacitetet institucionale dhe profesionale në prokurori, si dhe bashkëpunimi ndërinstitucional nëpërmjet përdorimit të rrjetit të pikave të kontaktit, të ngritur në zbatim të Konventës së </w:t>
      </w:r>
      <w:proofErr w:type="spellStart"/>
      <w:r w:rsidRPr="00FA490E">
        <w:rPr>
          <w:rFonts w:ascii="Garamond" w:eastAsia="Times New Roman" w:hAnsi="Garamond" w:cs="Times New Roman"/>
          <w:sz w:val="24"/>
          <w:szCs w:val="24"/>
        </w:rPr>
        <w:t>KiE</w:t>
      </w:r>
      <w:proofErr w:type="spellEnd"/>
      <w:r w:rsidRPr="00FA490E">
        <w:rPr>
          <w:rFonts w:ascii="Garamond" w:eastAsia="Times New Roman" w:hAnsi="Garamond" w:cs="Times New Roman"/>
          <w:sz w:val="24"/>
          <w:szCs w:val="24"/>
        </w:rPr>
        <w:t xml:space="preserve">-së për krimin </w:t>
      </w:r>
      <w:proofErr w:type="spellStart"/>
      <w:r w:rsidRPr="00FA490E">
        <w:rPr>
          <w:rFonts w:ascii="Garamond" w:eastAsia="Times New Roman" w:hAnsi="Garamond" w:cs="Times New Roman"/>
          <w:sz w:val="24"/>
          <w:szCs w:val="24"/>
        </w:rPr>
        <w:t>kibernetik</w:t>
      </w:r>
      <w:proofErr w:type="spellEnd"/>
      <w:r w:rsidRPr="00FA490E">
        <w:rPr>
          <w:rFonts w:ascii="Garamond" w:eastAsia="Times New Roman" w:hAnsi="Garamond" w:cs="Times New Roman"/>
          <w:sz w:val="24"/>
          <w:szCs w:val="24"/>
        </w:rPr>
        <w:t xml:space="preserve"> për të rritur efektivitetin në luftën kundër krimit </w:t>
      </w:r>
      <w:proofErr w:type="spellStart"/>
      <w:r w:rsidRPr="00FA490E">
        <w:rPr>
          <w:rFonts w:ascii="Garamond" w:eastAsia="Times New Roman" w:hAnsi="Garamond" w:cs="Times New Roman"/>
          <w:sz w:val="24"/>
          <w:szCs w:val="24"/>
        </w:rPr>
        <w:t>kibernetik</w:t>
      </w:r>
      <w:proofErr w:type="spellEnd"/>
      <w:r w:rsidRPr="00FA490E">
        <w:rPr>
          <w:rFonts w:ascii="Garamond" w:eastAsia="Times New Roman" w:hAnsi="Garamond" w:cs="Times New Roman"/>
          <w:sz w:val="24"/>
          <w:szCs w:val="24"/>
        </w:rPr>
        <w:t xml:space="preserve"> dhe mashtrimit në internet.</w:t>
      </w:r>
    </w:p>
    <w:p w14:paraId="611B315C" w14:textId="4D578E97" w:rsidR="0054703A" w:rsidRPr="00FA490E" w:rsidRDefault="0054703A" w:rsidP="0054703A">
      <w:pPr>
        <w:spacing w:after="0" w:line="240" w:lineRule="auto"/>
        <w:ind w:firstLine="284"/>
        <w:jc w:val="both"/>
        <w:rPr>
          <w:rFonts w:ascii="Garamond" w:eastAsia="Times New Roman" w:hAnsi="Garamond" w:cs="Times New Roman"/>
          <w:sz w:val="24"/>
          <w:szCs w:val="24"/>
        </w:rPr>
      </w:pPr>
      <w:r w:rsidRPr="00FA490E">
        <w:rPr>
          <w:rFonts w:ascii="Garamond" w:eastAsia="Times New Roman" w:hAnsi="Garamond" w:cs="Times New Roman"/>
          <w:sz w:val="24"/>
          <w:szCs w:val="24"/>
        </w:rPr>
        <w:t>10.</w:t>
      </w:r>
      <w:r>
        <w:rPr>
          <w:rFonts w:ascii="Garamond" w:eastAsia="Times New Roman" w:hAnsi="Garamond" w:cs="Times New Roman"/>
          <w:sz w:val="24"/>
          <w:szCs w:val="24"/>
        </w:rPr>
        <w:t xml:space="preserve"> </w:t>
      </w:r>
      <w:r w:rsidRPr="00FA490E">
        <w:rPr>
          <w:rFonts w:ascii="Garamond" w:eastAsia="Times New Roman" w:hAnsi="Garamond" w:cs="Times New Roman"/>
          <w:sz w:val="24"/>
          <w:szCs w:val="24"/>
        </w:rPr>
        <w:t>Të vijojë forcimi i bashkëpunimit dhe koordinimit me Inspektorin e Lartë të Drejtësisë në lidhje me: i</w:t>
      </w:r>
      <w:r w:rsidR="00BE6B33">
        <w:rPr>
          <w:rFonts w:ascii="Garamond" w:eastAsia="Times New Roman" w:hAnsi="Garamond" w:cs="Times New Roman"/>
          <w:sz w:val="24"/>
          <w:szCs w:val="24"/>
        </w:rPr>
        <w:t>.</w:t>
      </w:r>
      <w:r w:rsidRPr="00FA490E">
        <w:rPr>
          <w:rFonts w:ascii="Garamond" w:eastAsia="Times New Roman" w:hAnsi="Garamond" w:cs="Times New Roman"/>
          <w:sz w:val="24"/>
          <w:szCs w:val="24"/>
        </w:rPr>
        <w:t xml:space="preserve"> kryerjen e inspektimeve institucionale e tematike për arritjen e standardeve të unifikuara në zbatimin e ligjit gjatë ushtrimit të funksionit, veçanërisht zbatimin e udhëzimeve me karakter të përgjithshëm për respektimin e garancive procedurale në procesin penal, si dhe </w:t>
      </w:r>
      <w:proofErr w:type="spellStart"/>
      <w:r w:rsidRPr="00FA490E">
        <w:rPr>
          <w:rFonts w:ascii="Garamond" w:eastAsia="Times New Roman" w:hAnsi="Garamond" w:cs="Times New Roman"/>
          <w:sz w:val="24"/>
          <w:szCs w:val="24"/>
        </w:rPr>
        <w:t>ii</w:t>
      </w:r>
      <w:proofErr w:type="spellEnd"/>
      <w:r w:rsidR="00BE6B33">
        <w:rPr>
          <w:rFonts w:ascii="Garamond" w:eastAsia="Times New Roman" w:hAnsi="Garamond" w:cs="Times New Roman"/>
          <w:sz w:val="24"/>
          <w:szCs w:val="24"/>
        </w:rPr>
        <w:t>.</w:t>
      </w:r>
      <w:bookmarkStart w:id="0" w:name="_GoBack"/>
      <w:bookmarkEnd w:id="0"/>
      <w:r w:rsidRPr="00FA490E">
        <w:rPr>
          <w:rFonts w:ascii="Garamond" w:eastAsia="Times New Roman" w:hAnsi="Garamond" w:cs="Times New Roman"/>
          <w:sz w:val="24"/>
          <w:szCs w:val="24"/>
        </w:rPr>
        <w:t xml:space="preserve"> për shkelje individuale të magjistratëve.</w:t>
      </w:r>
    </w:p>
    <w:p w14:paraId="541D1382" w14:textId="77777777" w:rsidR="0054703A" w:rsidRPr="00FA490E" w:rsidRDefault="0054703A" w:rsidP="0054703A">
      <w:pPr>
        <w:spacing w:after="0" w:line="240" w:lineRule="auto"/>
        <w:ind w:firstLine="284"/>
        <w:jc w:val="both"/>
        <w:rPr>
          <w:rFonts w:ascii="Garamond" w:eastAsia="Times New Roman" w:hAnsi="Garamond" w:cs="Times New Roman"/>
          <w:sz w:val="24"/>
          <w:szCs w:val="24"/>
        </w:rPr>
      </w:pPr>
    </w:p>
    <w:p w14:paraId="7A8254CA" w14:textId="77777777" w:rsidR="0054703A" w:rsidRPr="00FA490E" w:rsidRDefault="0054703A" w:rsidP="0054703A">
      <w:pPr>
        <w:spacing w:after="0" w:line="240" w:lineRule="auto"/>
        <w:ind w:firstLine="284"/>
        <w:jc w:val="right"/>
        <w:rPr>
          <w:rFonts w:ascii="Garamond" w:eastAsia="Times New Roman" w:hAnsi="Garamond" w:cs="Times New Roman"/>
          <w:color w:val="000000" w:themeColor="text1"/>
          <w:sz w:val="24"/>
        </w:rPr>
      </w:pPr>
      <w:r w:rsidRPr="00FA490E">
        <w:rPr>
          <w:rFonts w:ascii="Garamond" w:eastAsia="Times New Roman" w:hAnsi="Garamond" w:cs="Times New Roman"/>
          <w:color w:val="000000" w:themeColor="text1"/>
          <w:sz w:val="24"/>
        </w:rPr>
        <w:t>KRYETARE</w:t>
      </w:r>
    </w:p>
    <w:p w14:paraId="74FBBF2B" w14:textId="77777777" w:rsidR="0054703A" w:rsidRPr="00FA490E" w:rsidRDefault="0054703A" w:rsidP="0054703A">
      <w:pPr>
        <w:spacing w:after="0" w:line="240" w:lineRule="auto"/>
        <w:ind w:firstLine="284"/>
        <w:jc w:val="right"/>
        <w:rPr>
          <w:rFonts w:ascii="Garamond" w:eastAsia="Times New Roman" w:hAnsi="Garamond" w:cs="Times New Roman"/>
          <w:b/>
          <w:color w:val="000000" w:themeColor="text1"/>
          <w:sz w:val="24"/>
        </w:rPr>
      </w:pPr>
      <w:r w:rsidRPr="00FA490E">
        <w:rPr>
          <w:rFonts w:ascii="Garamond" w:eastAsia="Times New Roman" w:hAnsi="Garamond" w:cs="Times New Roman"/>
          <w:b/>
          <w:color w:val="000000" w:themeColor="text1"/>
          <w:sz w:val="24"/>
        </w:rPr>
        <w:t xml:space="preserve">Lindita </w:t>
      </w:r>
      <w:proofErr w:type="spellStart"/>
      <w:r w:rsidRPr="00FA490E">
        <w:rPr>
          <w:rFonts w:ascii="Garamond" w:eastAsia="Times New Roman" w:hAnsi="Garamond" w:cs="Times New Roman"/>
          <w:b/>
          <w:color w:val="000000" w:themeColor="text1"/>
          <w:sz w:val="24"/>
        </w:rPr>
        <w:t>Nikolla</w:t>
      </w:r>
      <w:proofErr w:type="spellEnd"/>
    </w:p>
    <w:p w14:paraId="68568997" w14:textId="77777777" w:rsidR="0054703A" w:rsidRPr="00FA490E" w:rsidRDefault="0054703A" w:rsidP="0054703A">
      <w:pPr>
        <w:spacing w:after="0" w:line="240" w:lineRule="auto"/>
        <w:ind w:firstLine="284"/>
        <w:jc w:val="both"/>
        <w:rPr>
          <w:rFonts w:ascii="Garamond" w:hAnsi="Garamond" w:cs="Times New Roman"/>
          <w:sz w:val="24"/>
          <w:szCs w:val="24"/>
        </w:rPr>
      </w:pPr>
    </w:p>
    <w:p w14:paraId="52B395A1" w14:textId="1726F6DB" w:rsidR="0054703A" w:rsidRPr="00FA490E" w:rsidRDefault="0054703A" w:rsidP="00904981">
      <w:pPr>
        <w:spacing w:after="0" w:line="240" w:lineRule="auto"/>
        <w:ind w:firstLine="284"/>
        <w:jc w:val="both"/>
        <w:rPr>
          <w:rFonts w:ascii="Garamond" w:eastAsia="Times New Roman" w:hAnsi="Garamond" w:cs="Times New Roman"/>
          <w:sz w:val="20"/>
          <w:szCs w:val="20"/>
        </w:rPr>
      </w:pPr>
      <w:r w:rsidRPr="00FA490E">
        <w:rPr>
          <w:rFonts w:ascii="Garamond" w:hAnsi="Garamond" w:cs="Times New Roman"/>
          <w:sz w:val="24"/>
          <w:szCs w:val="24"/>
        </w:rPr>
        <w:t xml:space="preserve">Miratuar </w:t>
      </w:r>
      <w:r w:rsidR="00904981">
        <w:rPr>
          <w:rFonts w:ascii="Garamond" w:hAnsi="Garamond" w:cs="Times New Roman"/>
          <w:sz w:val="24"/>
          <w:szCs w:val="24"/>
        </w:rPr>
        <w:t>m</w:t>
      </w:r>
      <w:r w:rsidRPr="00FA490E">
        <w:rPr>
          <w:rFonts w:ascii="Garamond" w:hAnsi="Garamond" w:cs="Times New Roman"/>
          <w:sz w:val="24"/>
          <w:szCs w:val="24"/>
        </w:rPr>
        <w:t>ë datë 6.7.2023</w:t>
      </w:r>
      <w:r w:rsidR="00904981">
        <w:rPr>
          <w:rFonts w:ascii="Garamond" w:hAnsi="Garamond" w:cs="Times New Roman"/>
          <w:sz w:val="24"/>
          <w:szCs w:val="24"/>
        </w:rPr>
        <w:t>.</w:t>
      </w:r>
    </w:p>
    <w:p w14:paraId="3C845386" w14:textId="28E65F95" w:rsidR="00911B68" w:rsidRPr="0054703A" w:rsidRDefault="00911B68" w:rsidP="0054703A"/>
    <w:sectPr w:rsidR="00911B68" w:rsidRPr="0054703A" w:rsidSect="00904981">
      <w:footerReference w:type="default" r:id="rId13"/>
      <w:pgSz w:w="11907" w:h="16840" w:code="9"/>
      <w:pgMar w:top="1260" w:right="1440" w:bottom="6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E9978" w14:textId="77777777" w:rsidR="00904981" w:rsidRDefault="00904981" w:rsidP="00C86383">
      <w:pPr>
        <w:spacing w:after="0" w:line="240" w:lineRule="auto"/>
      </w:pPr>
      <w:r>
        <w:separator/>
      </w:r>
    </w:p>
  </w:endnote>
  <w:endnote w:type="continuationSeparator" w:id="0">
    <w:p w14:paraId="34B37DD0" w14:textId="77777777" w:rsidR="00904981" w:rsidRDefault="00904981" w:rsidP="00C86383">
      <w:pPr>
        <w:spacing w:after="0" w:line="240" w:lineRule="auto"/>
      </w:pPr>
      <w:r>
        <w:continuationSeparator/>
      </w:r>
    </w:p>
  </w:endnote>
  <w:endnote w:type="continuationNotice" w:id="1">
    <w:p w14:paraId="297B9DB0" w14:textId="77777777" w:rsidR="00904981" w:rsidRDefault="009049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29E71FF9" w:rsidR="00904981" w:rsidRPr="00E7684C" w:rsidRDefault="00904981">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904981" w:rsidRDefault="00904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B18C2" w14:textId="77777777" w:rsidR="00904981" w:rsidRDefault="00904981" w:rsidP="00C86383">
      <w:pPr>
        <w:spacing w:after="0" w:line="240" w:lineRule="auto"/>
      </w:pPr>
      <w:r>
        <w:separator/>
      </w:r>
    </w:p>
  </w:footnote>
  <w:footnote w:type="continuationSeparator" w:id="0">
    <w:p w14:paraId="4E9C0DB2" w14:textId="77777777" w:rsidR="00904981" w:rsidRDefault="00904981" w:rsidP="00C86383">
      <w:pPr>
        <w:spacing w:after="0" w:line="240" w:lineRule="auto"/>
      </w:pPr>
      <w:r>
        <w:continuationSeparator/>
      </w:r>
    </w:p>
  </w:footnote>
  <w:footnote w:type="continuationNotice" w:id="1">
    <w:p w14:paraId="79BB0FCC" w14:textId="77777777" w:rsidR="00904981" w:rsidRDefault="009049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1CD8"/>
    <w:rsid w:val="001424BF"/>
    <w:rsid w:val="001432F5"/>
    <w:rsid w:val="00143A0C"/>
    <w:rsid w:val="001501FF"/>
    <w:rsid w:val="0016140E"/>
    <w:rsid w:val="00161A4F"/>
    <w:rsid w:val="00162EC4"/>
    <w:rsid w:val="00176BBD"/>
    <w:rsid w:val="0018119B"/>
    <w:rsid w:val="00181B37"/>
    <w:rsid w:val="00184409"/>
    <w:rsid w:val="001858C3"/>
    <w:rsid w:val="00191634"/>
    <w:rsid w:val="001A79AF"/>
    <w:rsid w:val="001B134B"/>
    <w:rsid w:val="001B6D41"/>
    <w:rsid w:val="001B7CF3"/>
    <w:rsid w:val="001C1147"/>
    <w:rsid w:val="001D310D"/>
    <w:rsid w:val="001E2085"/>
    <w:rsid w:val="001E3542"/>
    <w:rsid w:val="001F4CD5"/>
    <w:rsid w:val="00202011"/>
    <w:rsid w:val="0020553B"/>
    <w:rsid w:val="002063FE"/>
    <w:rsid w:val="002129CF"/>
    <w:rsid w:val="00215C02"/>
    <w:rsid w:val="002176D7"/>
    <w:rsid w:val="00223BB0"/>
    <w:rsid w:val="0022618D"/>
    <w:rsid w:val="002359AF"/>
    <w:rsid w:val="00237CB2"/>
    <w:rsid w:val="00240E5B"/>
    <w:rsid w:val="00240E91"/>
    <w:rsid w:val="00244B19"/>
    <w:rsid w:val="00262C8A"/>
    <w:rsid w:val="00266214"/>
    <w:rsid w:val="00283031"/>
    <w:rsid w:val="00286E87"/>
    <w:rsid w:val="00291D1A"/>
    <w:rsid w:val="00292B75"/>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2F518B"/>
    <w:rsid w:val="002F56DF"/>
    <w:rsid w:val="002F6EB5"/>
    <w:rsid w:val="002F73F0"/>
    <w:rsid w:val="00310428"/>
    <w:rsid w:val="00312A26"/>
    <w:rsid w:val="00321277"/>
    <w:rsid w:val="00323548"/>
    <w:rsid w:val="00327E49"/>
    <w:rsid w:val="003305FA"/>
    <w:rsid w:val="0033383F"/>
    <w:rsid w:val="003345F5"/>
    <w:rsid w:val="00335CC6"/>
    <w:rsid w:val="00343599"/>
    <w:rsid w:val="00343D14"/>
    <w:rsid w:val="0034558C"/>
    <w:rsid w:val="00351908"/>
    <w:rsid w:val="003539C5"/>
    <w:rsid w:val="003556E0"/>
    <w:rsid w:val="003557DA"/>
    <w:rsid w:val="00373D67"/>
    <w:rsid w:val="003802C5"/>
    <w:rsid w:val="00380CE5"/>
    <w:rsid w:val="00384791"/>
    <w:rsid w:val="00384A0F"/>
    <w:rsid w:val="003918EF"/>
    <w:rsid w:val="00391D0F"/>
    <w:rsid w:val="00392D51"/>
    <w:rsid w:val="00393AEF"/>
    <w:rsid w:val="00393D81"/>
    <w:rsid w:val="003962DE"/>
    <w:rsid w:val="00397B89"/>
    <w:rsid w:val="003A3D56"/>
    <w:rsid w:val="003C3B41"/>
    <w:rsid w:val="003C51DC"/>
    <w:rsid w:val="003D23B3"/>
    <w:rsid w:val="003E08F3"/>
    <w:rsid w:val="003E193B"/>
    <w:rsid w:val="003E334D"/>
    <w:rsid w:val="003E39E2"/>
    <w:rsid w:val="003E3F68"/>
    <w:rsid w:val="003F623E"/>
    <w:rsid w:val="003F66F6"/>
    <w:rsid w:val="00402A6A"/>
    <w:rsid w:val="004215B2"/>
    <w:rsid w:val="004240B3"/>
    <w:rsid w:val="00430EDA"/>
    <w:rsid w:val="0043625A"/>
    <w:rsid w:val="00440837"/>
    <w:rsid w:val="00441F4D"/>
    <w:rsid w:val="00455E49"/>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4DB3"/>
    <w:rsid w:val="004A5109"/>
    <w:rsid w:val="004B0605"/>
    <w:rsid w:val="004B0D00"/>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B87"/>
    <w:rsid w:val="0054703A"/>
    <w:rsid w:val="00551654"/>
    <w:rsid w:val="00551F68"/>
    <w:rsid w:val="00555F66"/>
    <w:rsid w:val="00556003"/>
    <w:rsid w:val="00566A66"/>
    <w:rsid w:val="00567336"/>
    <w:rsid w:val="00595D7E"/>
    <w:rsid w:val="00596E4B"/>
    <w:rsid w:val="005A4BF2"/>
    <w:rsid w:val="005A6A5B"/>
    <w:rsid w:val="005B2207"/>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0F44"/>
    <w:rsid w:val="0067489C"/>
    <w:rsid w:val="00680190"/>
    <w:rsid w:val="00686471"/>
    <w:rsid w:val="006867B4"/>
    <w:rsid w:val="006921A4"/>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25DF9"/>
    <w:rsid w:val="00726AE3"/>
    <w:rsid w:val="007312D6"/>
    <w:rsid w:val="00750776"/>
    <w:rsid w:val="00752319"/>
    <w:rsid w:val="00761637"/>
    <w:rsid w:val="00761C31"/>
    <w:rsid w:val="00761C60"/>
    <w:rsid w:val="0077604B"/>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609C"/>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3B88"/>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5C4C"/>
    <w:rsid w:val="0088785E"/>
    <w:rsid w:val="00890D60"/>
    <w:rsid w:val="00892480"/>
    <w:rsid w:val="00897A30"/>
    <w:rsid w:val="008B6B1A"/>
    <w:rsid w:val="008B74C4"/>
    <w:rsid w:val="008C2832"/>
    <w:rsid w:val="008C4109"/>
    <w:rsid w:val="008C42CC"/>
    <w:rsid w:val="008C498A"/>
    <w:rsid w:val="008C63A2"/>
    <w:rsid w:val="008C7273"/>
    <w:rsid w:val="008D114F"/>
    <w:rsid w:val="008D1E6B"/>
    <w:rsid w:val="008D23E0"/>
    <w:rsid w:val="008D41C9"/>
    <w:rsid w:val="008D5CDA"/>
    <w:rsid w:val="008D7A71"/>
    <w:rsid w:val="008E13AA"/>
    <w:rsid w:val="008E2C2A"/>
    <w:rsid w:val="008F0F64"/>
    <w:rsid w:val="008F3C04"/>
    <w:rsid w:val="008F3C44"/>
    <w:rsid w:val="008F668F"/>
    <w:rsid w:val="008F6781"/>
    <w:rsid w:val="00904981"/>
    <w:rsid w:val="009051F4"/>
    <w:rsid w:val="00911B68"/>
    <w:rsid w:val="0092415F"/>
    <w:rsid w:val="009256DD"/>
    <w:rsid w:val="0094122A"/>
    <w:rsid w:val="00946C72"/>
    <w:rsid w:val="0095624F"/>
    <w:rsid w:val="009571C2"/>
    <w:rsid w:val="00960704"/>
    <w:rsid w:val="00960B17"/>
    <w:rsid w:val="00964622"/>
    <w:rsid w:val="009700C5"/>
    <w:rsid w:val="00971602"/>
    <w:rsid w:val="0098506C"/>
    <w:rsid w:val="009854D5"/>
    <w:rsid w:val="00992C48"/>
    <w:rsid w:val="00993E31"/>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215AB"/>
    <w:rsid w:val="00A22178"/>
    <w:rsid w:val="00A241B8"/>
    <w:rsid w:val="00A503B4"/>
    <w:rsid w:val="00A5392D"/>
    <w:rsid w:val="00A558AE"/>
    <w:rsid w:val="00A564E2"/>
    <w:rsid w:val="00A67678"/>
    <w:rsid w:val="00A755F6"/>
    <w:rsid w:val="00A854F0"/>
    <w:rsid w:val="00A86E2D"/>
    <w:rsid w:val="00A87823"/>
    <w:rsid w:val="00A92792"/>
    <w:rsid w:val="00A94DF9"/>
    <w:rsid w:val="00A96323"/>
    <w:rsid w:val="00A976E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37791"/>
    <w:rsid w:val="00B41476"/>
    <w:rsid w:val="00B53DAC"/>
    <w:rsid w:val="00B542F0"/>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592D"/>
    <w:rsid w:val="00BD5A4B"/>
    <w:rsid w:val="00BE434B"/>
    <w:rsid w:val="00BE6B33"/>
    <w:rsid w:val="00BF0A3E"/>
    <w:rsid w:val="00BF1682"/>
    <w:rsid w:val="00BF3D89"/>
    <w:rsid w:val="00C011E1"/>
    <w:rsid w:val="00C01267"/>
    <w:rsid w:val="00C01362"/>
    <w:rsid w:val="00C15B46"/>
    <w:rsid w:val="00C2107A"/>
    <w:rsid w:val="00C22617"/>
    <w:rsid w:val="00C277DC"/>
    <w:rsid w:val="00C310C5"/>
    <w:rsid w:val="00C3396C"/>
    <w:rsid w:val="00C356CF"/>
    <w:rsid w:val="00C42220"/>
    <w:rsid w:val="00C46623"/>
    <w:rsid w:val="00C50843"/>
    <w:rsid w:val="00C5697C"/>
    <w:rsid w:val="00C569D5"/>
    <w:rsid w:val="00C65542"/>
    <w:rsid w:val="00C70052"/>
    <w:rsid w:val="00C829DC"/>
    <w:rsid w:val="00C86383"/>
    <w:rsid w:val="00C9434B"/>
    <w:rsid w:val="00C96F2B"/>
    <w:rsid w:val="00CA0814"/>
    <w:rsid w:val="00CA0EBE"/>
    <w:rsid w:val="00CA57B6"/>
    <w:rsid w:val="00CC6F24"/>
    <w:rsid w:val="00CD31B5"/>
    <w:rsid w:val="00CD3633"/>
    <w:rsid w:val="00CD48BD"/>
    <w:rsid w:val="00CD676B"/>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44DC4"/>
    <w:rsid w:val="00D57B3A"/>
    <w:rsid w:val="00D600F3"/>
    <w:rsid w:val="00D621BE"/>
    <w:rsid w:val="00D62BE5"/>
    <w:rsid w:val="00D66EB0"/>
    <w:rsid w:val="00D704A8"/>
    <w:rsid w:val="00D719E7"/>
    <w:rsid w:val="00D732A0"/>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F0BAA"/>
    <w:rsid w:val="00DF1BC6"/>
    <w:rsid w:val="00DF26A3"/>
    <w:rsid w:val="00DF6555"/>
    <w:rsid w:val="00DF6CD2"/>
    <w:rsid w:val="00E02D8F"/>
    <w:rsid w:val="00E042C2"/>
    <w:rsid w:val="00E06BA5"/>
    <w:rsid w:val="00E12C4C"/>
    <w:rsid w:val="00E24099"/>
    <w:rsid w:val="00E26211"/>
    <w:rsid w:val="00E318C7"/>
    <w:rsid w:val="00E34C07"/>
    <w:rsid w:val="00E36067"/>
    <w:rsid w:val="00E442DC"/>
    <w:rsid w:val="00E51DFA"/>
    <w:rsid w:val="00E51E75"/>
    <w:rsid w:val="00E56FFB"/>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0AC"/>
    <w:rsid w:val="00E926CD"/>
    <w:rsid w:val="00E93BD9"/>
    <w:rsid w:val="00E9426A"/>
    <w:rsid w:val="00EA15E5"/>
    <w:rsid w:val="00EA7B60"/>
    <w:rsid w:val="00EB31F6"/>
    <w:rsid w:val="00EB4EE4"/>
    <w:rsid w:val="00EB62DE"/>
    <w:rsid w:val="00ED4C45"/>
    <w:rsid w:val="00ED5AEE"/>
    <w:rsid w:val="00ED668D"/>
    <w:rsid w:val="00EE4C8B"/>
    <w:rsid w:val="00EE6A25"/>
    <w:rsid w:val="00EF6235"/>
    <w:rsid w:val="00F05169"/>
    <w:rsid w:val="00F0526E"/>
    <w:rsid w:val="00F142C1"/>
    <w:rsid w:val="00F1525A"/>
    <w:rsid w:val="00F261B9"/>
    <w:rsid w:val="00F3246E"/>
    <w:rsid w:val="00F32B61"/>
    <w:rsid w:val="00F37EE0"/>
    <w:rsid w:val="00F37FAF"/>
    <w:rsid w:val="00F4148E"/>
    <w:rsid w:val="00F42E3E"/>
    <w:rsid w:val="00F43580"/>
    <w:rsid w:val="00F454F1"/>
    <w:rsid w:val="00F466D7"/>
    <w:rsid w:val="00F5324C"/>
    <w:rsid w:val="00F5634D"/>
    <w:rsid w:val="00F61572"/>
    <w:rsid w:val="00F659CB"/>
    <w:rsid w:val="00F65C99"/>
    <w:rsid w:val="00F701B3"/>
    <w:rsid w:val="00F779F7"/>
    <w:rsid w:val="00F82F68"/>
    <w:rsid w:val="00F83F05"/>
    <w:rsid w:val="00F86A50"/>
    <w:rsid w:val="00F9275F"/>
    <w:rsid w:val="00F9446E"/>
    <w:rsid w:val="00F94822"/>
    <w:rsid w:val="00F9485F"/>
    <w:rsid w:val="00F960FE"/>
    <w:rsid w:val="00F9796E"/>
    <w:rsid w:val="00F97CB9"/>
    <w:rsid w:val="00FB2B6A"/>
    <w:rsid w:val="00FB340F"/>
    <w:rsid w:val="00FB4761"/>
    <w:rsid w:val="00FB587F"/>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459FEB6C-BFFF-4E47-9203-19D17F38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703A"/>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14866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9DEE169891F46B7828DC106CCE5E4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2222-3</Nr_x002e__x0020_akti>
    <Data_x0020_e_x0020_Krijimit xmlns="0e656187-b300-4fb0-8bf4-3a50f872073c">2023-07-12T12:27:11Z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vlerësimin e veprimtarisë së Prokurorisë së Përgjithshme për vitin 2022</Titulli>
    <Modifikuesi xmlns="0e656187-b300-4fb0-8bf4-3a50f872073c">nevila.samarxhi</Modifikuesi>
    <Nr_x002e__x0020_prot_x0020_QBZ xmlns="0e656187-b300-4fb0-8bf4-3a50f872073c">1054/3</Nr_x002e__x0020_prot_x0020_QBZ>
    <Data_x0020_e_x0020_Modifikimit xmlns="0e656187-b300-4fb0-8bf4-3a50f872073c">2023-07-12T13:08:10Z</Data_x0020_e_x0020_Modifikimit>
    <Dekretuar xmlns="0e656187-b300-4fb0-8bf4-3a50f872073c">false</Dekretuar>
    <Data xmlns="0e656187-b300-4fb0-8bf4-3a50f872073c">2023-07-05T22:00:00Z</Data>
    <Nr_x002e__x0020_protokolli_x0020_i_x0020_aktit xmlns="0e656187-b300-4fb0-8bf4-3a50f872073c">2222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DEE169891F46B7828DC106CCE5E4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07D49-7FA2-4AB9-BA2D-226ED87EE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C59FF4E-AB7C-4F8C-9CD7-77D992094E7E}">
  <ds:schemaRefs>
    <ds:schemaRef ds:uri="http://schemas.microsoft.com/office/2006/documentManagement/types"/>
    <ds:schemaRef ds:uri="http://purl.org/dc/elements/1.1/"/>
    <ds:schemaRef ds:uri="http://purl.org/dc/terms/"/>
    <ds:schemaRef ds:uri="http://schemas.microsoft.com/office/2006/metadata/properties"/>
    <ds:schemaRef ds:uri="http://purl.org/dc/dcmitype/"/>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E1B16ED0-6057-4831-98F9-7C70CBD20B45}">
  <ds:schemaRefs>
    <ds:schemaRef ds:uri="http://schemas.microsoft.com/sharepoint/v3/contenttype/forms"/>
  </ds:schemaRefs>
</ds:datastoreItem>
</file>

<file path=customXml/itemProps4.xml><?xml version="1.0" encoding="utf-8"?>
<ds:datastoreItem xmlns:ds="http://schemas.openxmlformats.org/officeDocument/2006/customXml" ds:itemID="{7B8B4E8D-C52B-4E88-84A2-CBBE2C7DCF68}">
  <ds:schemaRefs>
    <ds:schemaRef ds:uri="http://schemas.microsoft.com/sharepoint/v3/contenttype/forms"/>
  </ds:schemaRefs>
</ds:datastoreItem>
</file>

<file path=customXml/itemProps5.xml><?xml version="1.0" encoding="utf-8"?>
<ds:datastoreItem xmlns:ds="http://schemas.openxmlformats.org/officeDocument/2006/customXml" ds:itemID="{A124F819-D0CC-4945-A594-FE610C558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D98C21-B963-4EE3-8729-C75F1DF6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Për vlerësimin e veprimtarisë së Prokurorisë së Përgjithshme për vitin 2022</vt:lpstr>
    </vt:vector>
  </TitlesOfParts>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Prokurorisë së Përgjithshme për vitin 2022</dc:title>
  <dc:creator>user</dc:creator>
  <cp:lastModifiedBy>Alma Lisaku</cp:lastModifiedBy>
  <cp:revision>8</cp:revision>
  <cp:lastPrinted>2023-07-10T10:12:00Z</cp:lastPrinted>
  <dcterms:created xsi:type="dcterms:W3CDTF">2023-07-12T12:19:00Z</dcterms:created>
  <dcterms:modified xsi:type="dcterms:W3CDTF">2023-07-12T13:39:00Z</dcterms:modified>
</cp:coreProperties>
</file>