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814A89" w:rsidRDefault="00814A89" w:rsidP="00814A8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514FA">
        <w:rPr>
          <w:rFonts w:ascii="Garamond" w:eastAsia="Times New Roman" w:hAnsi="Garamond" w:cs="Times New Roman"/>
          <w:b/>
          <w:sz w:val="24"/>
          <w:szCs w:val="24"/>
        </w:rPr>
        <w:t>REZOLUTË</w:t>
      </w:r>
    </w:p>
    <w:p w14:paraId="505BB66B" w14:textId="77777777" w:rsidR="00814A89" w:rsidRPr="009514FA" w:rsidRDefault="00814A89" w:rsidP="00814A8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F404CBB" w14:textId="77777777" w:rsidR="00814A89" w:rsidRPr="009514FA" w:rsidRDefault="00814A89" w:rsidP="00814A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514FA">
        <w:rPr>
          <w:rFonts w:ascii="Garamond" w:hAnsi="Garamond" w:cs="Times New Roman"/>
          <w:b/>
          <w:sz w:val="24"/>
          <w:szCs w:val="24"/>
        </w:rPr>
        <w:t xml:space="preserve">PËR VLERËSIMIN E VEPRIMTARISË SË KËSHILLIT TË LARTË </w:t>
      </w:r>
    </w:p>
    <w:p w14:paraId="09C0F4CC" w14:textId="5BD6A9C6" w:rsidR="00814A89" w:rsidRPr="009514FA" w:rsidRDefault="00814A89" w:rsidP="00814A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514FA">
        <w:rPr>
          <w:rFonts w:ascii="Garamond" w:hAnsi="Garamond" w:cs="Times New Roman"/>
          <w:b/>
          <w:sz w:val="24"/>
          <w:szCs w:val="24"/>
        </w:rPr>
        <w:t>TË PROKURORISË PËR VITIN 2022</w:t>
      </w:r>
    </w:p>
    <w:p w14:paraId="485C0753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7FF768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b/>
          <w:sz w:val="24"/>
          <w:szCs w:val="24"/>
        </w:rPr>
        <w:t>Kuvendi i Shqipërisë,</w:t>
      </w:r>
      <w:r w:rsidRPr="009514FA">
        <w:rPr>
          <w:rFonts w:ascii="Garamond" w:hAnsi="Garamond" w:cs="Times New Roman"/>
          <w:sz w:val="24"/>
          <w:szCs w:val="24"/>
        </w:rPr>
        <w:t xml:space="preserve"> </w:t>
      </w:r>
    </w:p>
    <w:p w14:paraId="3D5CD3A5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Duke mbajtur parasysh rolin e Këshillit të Lartë të Prokurorisë në garantimin e pavarësisë, llogaridhënies, disiplinës, statusit dhe karrierës së prokurorëve të Republikës së Shqipërisë;</w:t>
      </w:r>
    </w:p>
    <w:p w14:paraId="2C23F529" w14:textId="35E364E6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Duke nënvizuar rëndësinë e funksioneve të Këshillit të Lartë të Prokurorisë në emërimin, vlerësimin, ngritjen në detyrë, transferimin dhe vendosjen e masave disiplinore, si dhe pezullimin e  prokurorëve të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të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gjitha niveleve;</w:t>
      </w:r>
    </w:p>
    <w:p w14:paraId="3FA67A93" w14:textId="309A373B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Duke mbajtur në konsideratë rolin e Këshillit të Lartë të Prokurorisë në mbikëqyrjen e respektimit të standardeve të etikës së prokurorëve dhe të rregullave të sjelljes së prokurorëve;</w:t>
      </w:r>
    </w:p>
    <w:p w14:paraId="0D6B1221" w14:textId="5E1BAD8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Duke nënvizuar rëndësinë e bashkëpunimit të Këshillit të Lartë të Prokurorisë me Shkollën e Magjistraturës për trajnimin vazhdues të prokurorëve dhe emërimin e prokurorëve pas diplomimit në Shkollën e Magjistraturës;</w:t>
      </w:r>
    </w:p>
    <w:p w14:paraId="114CC652" w14:textId="1054BBA2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Duke nënvizuar rëndësinë e bashkëpunimit të Këshillit të Lartë të Prokurorisë me Inspektoratin e Lartë të Drejtësisë në vendosjen e masave disiplinore dhe procedimeve të tjera sipas përcaktimeve ligjore në funksion të rritjes së efikasitetit funksional për të dyja institucionet; </w:t>
      </w:r>
    </w:p>
    <w:p w14:paraId="27E90D76" w14:textId="3D616C83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Duke mbajtur parasysh rëndësinë e rolit të Këshillit të Lartë të Prokurorisë për vlerësimin etik dhe profesional të prokurorit;</w:t>
      </w:r>
    </w:p>
    <w:p w14:paraId="11D33328" w14:textId="30823535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Duke mbajtur parasysh rëndësinë e informimit të publikut dhe Kuvendit për gjendjen e sistemit të prokurorisë; </w:t>
      </w:r>
    </w:p>
    <w:p w14:paraId="3297F28D" w14:textId="79F65F61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Duke mbajtur në konsideratë nevojat për funksionimin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efi</w:t>
      </w:r>
      <w:r w:rsidR="00657E2D">
        <w:rPr>
          <w:rFonts w:ascii="Garamond" w:hAnsi="Garamond" w:cs="Times New Roman"/>
          <w:sz w:val="24"/>
          <w:szCs w:val="24"/>
        </w:rPr>
        <w:t>ci</w:t>
      </w:r>
      <w:r w:rsidRPr="009514FA">
        <w:rPr>
          <w:rFonts w:ascii="Garamond" w:hAnsi="Garamond" w:cs="Times New Roman"/>
          <w:sz w:val="24"/>
          <w:szCs w:val="24"/>
        </w:rPr>
        <w:t>ent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të sistemit të prokurorisë,</w:t>
      </w:r>
    </w:p>
    <w:p w14:paraId="74EB7C24" w14:textId="4C179AC5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514FA">
        <w:rPr>
          <w:rFonts w:ascii="Garamond" w:hAnsi="Garamond" w:cs="Times New Roman"/>
          <w:b/>
          <w:sz w:val="24"/>
          <w:szCs w:val="24"/>
        </w:rPr>
        <w:t xml:space="preserve">Për veprimtarinë e Këshillit të Lartë të Prokurorisë për vitin 2022 konstaton: </w:t>
      </w:r>
    </w:p>
    <w:p w14:paraId="5346962B" w14:textId="195B0AE0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Hartimin dhe miratimin e akteve të rëndësishme nënligjore, përkatësisht: rregullore “Për standardet e etikës dhe rregullat e sjelljes së prokurorit”, “Për vlerësimin etik dhe profesional të prokurorëve”, “Për ngritjen në detyrë në shkallët më të larta në prokuroritë e juridiksionit të përgjithshëm”, “Për komunikimin e Këshillit të Lartë të Prokurorisë me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medien</w:t>
      </w:r>
      <w:proofErr w:type="spellEnd"/>
      <w:r w:rsidRPr="009514FA">
        <w:rPr>
          <w:rFonts w:ascii="Garamond" w:hAnsi="Garamond" w:cs="Times New Roman"/>
          <w:sz w:val="24"/>
          <w:szCs w:val="24"/>
        </w:rPr>
        <w:t>”</w:t>
      </w:r>
      <w:r w:rsidR="00F7499D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“Për vlerësimin etik dhe profesional të prokurorëve të komanduar në Këshillin e Lartë të Prokurorisë”.</w:t>
      </w:r>
    </w:p>
    <w:p w14:paraId="4710F10C" w14:textId="0F0B7F34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Angazhimin në forcimin e marrëdhënieve ndërinstitucionale me Kuvendin, Shkollën e Magjistraturës, Ministrinë e Drejtësisë, Ministrinë për E</w:t>
      </w:r>
      <w:r w:rsidR="00657E2D">
        <w:rPr>
          <w:rFonts w:ascii="Garamond" w:hAnsi="Garamond" w:cs="Times New Roman"/>
          <w:sz w:val="24"/>
          <w:szCs w:val="24"/>
        </w:rPr>
        <w:t>v</w:t>
      </w:r>
      <w:r w:rsidRPr="009514FA">
        <w:rPr>
          <w:rFonts w:ascii="Garamond" w:hAnsi="Garamond" w:cs="Times New Roman"/>
          <w:sz w:val="24"/>
          <w:szCs w:val="24"/>
        </w:rPr>
        <w:t xml:space="preserve">ropën dhe Punët e Jashtme, Komisionin e Pavarur të Kualifikimit dhe Kolegjin e Posaçëm të Apelimit. </w:t>
      </w:r>
    </w:p>
    <w:p w14:paraId="6FFC2B7A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Bashkëpunimin e ngushtë me Shkollën e Magjistraturës në funksion të verifikimit të pasurisë dhe figurës së studentëve, që kërkojnë të pranohen në programin e formimit fillestar të Shkollës së Magjistraturës, si dhe kandidatëve që përfundojnë këtë program dhe presin emërimin prokuror. </w:t>
      </w:r>
    </w:p>
    <w:p w14:paraId="381CEA85" w14:textId="0B821814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Kontributin e dhënë në hartimin dhe raportimin për dokumente strategjike kombëtare dhe atyre në funksion të integrimit e</w:t>
      </w:r>
      <w:r w:rsidR="00657E2D">
        <w:rPr>
          <w:rFonts w:ascii="Garamond" w:hAnsi="Garamond" w:cs="Times New Roman"/>
          <w:sz w:val="24"/>
          <w:szCs w:val="24"/>
        </w:rPr>
        <w:t>v</w:t>
      </w:r>
      <w:r w:rsidRPr="009514FA">
        <w:rPr>
          <w:rFonts w:ascii="Garamond" w:hAnsi="Garamond" w:cs="Times New Roman"/>
          <w:sz w:val="24"/>
          <w:szCs w:val="24"/>
        </w:rPr>
        <w:t>ropian në bashkëpunim me Ministrinë e Drejtësisë dhe me Ministrinë për E</w:t>
      </w:r>
      <w:r w:rsidR="00657E2D">
        <w:rPr>
          <w:rFonts w:ascii="Garamond" w:hAnsi="Garamond" w:cs="Times New Roman"/>
          <w:sz w:val="24"/>
          <w:szCs w:val="24"/>
        </w:rPr>
        <w:t>v</w:t>
      </w:r>
      <w:r w:rsidRPr="009514FA">
        <w:rPr>
          <w:rFonts w:ascii="Garamond" w:hAnsi="Garamond" w:cs="Times New Roman"/>
          <w:sz w:val="24"/>
          <w:szCs w:val="24"/>
        </w:rPr>
        <w:t>ropën dhe Punët e Jashtme.</w:t>
      </w:r>
    </w:p>
    <w:p w14:paraId="485DCC41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Bashkëpunimin me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KPK</w:t>
      </w:r>
      <w:proofErr w:type="spellEnd"/>
      <w:r w:rsidRPr="009514FA">
        <w:rPr>
          <w:rFonts w:ascii="Garamond" w:hAnsi="Garamond" w:cs="Times New Roman"/>
          <w:sz w:val="24"/>
          <w:szCs w:val="24"/>
        </w:rPr>
        <w:t>-në në përgatitjen dhe miratimin e 32 raporteve të vlerësimit të aftësive profesionale për subjektet magjistratë prokurorë në kuadër të procesit të rivlerësimit.</w:t>
      </w:r>
    </w:p>
    <w:p w14:paraId="5171AE95" w14:textId="67E269C6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Garantimin 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aksesit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në informacion për publikun në zbatim të ligjit nr. 119/2014</w:t>
      </w:r>
      <w:r w:rsidR="00B63D46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“Për të drejtën e informimit”, si dhe në përditësimin e programit të transparencës dhe publikimin e Regjistrit të Kërkesave dhe Përgjigjeve.</w:t>
      </w:r>
    </w:p>
    <w:p w14:paraId="11436339" w14:textId="47D275BB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Angazhimin e Komisionit të Buxhetit për përgatitjen dhe hartimin e programit buxhetor afatmesëm të institucionit për periudhën 2023</w:t>
      </w:r>
      <w:r w:rsidR="00B63D46">
        <w:rPr>
          <w:rFonts w:ascii="Garamond" w:hAnsi="Garamond" w:cs="Times New Roman"/>
          <w:sz w:val="24"/>
          <w:szCs w:val="24"/>
        </w:rPr>
        <w:t>–</w:t>
      </w:r>
      <w:r w:rsidRPr="009514FA">
        <w:rPr>
          <w:rFonts w:ascii="Garamond" w:hAnsi="Garamond" w:cs="Times New Roman"/>
          <w:sz w:val="24"/>
          <w:szCs w:val="24"/>
        </w:rPr>
        <w:t>2025, si dhe shqyrtimin e kërkesave për lejimin e veprimtarive jashtë funksionit për prokurorët.</w:t>
      </w:r>
    </w:p>
    <w:p w14:paraId="6142340F" w14:textId="44196371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Angazhimin e Komisioni të Vlerësimit</w:t>
      </w:r>
      <w:r w:rsidR="00756002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në: përgatitjen e raporteve për analizimin e aftësive profesionale të prokurorëve të subjekteve të rivlerësimit kalimtar në mbështetje të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KPK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-së; verifikimin e pasurisë dhe figurës për kandidatët që u pranuan në formimin fillestar të Shkollës së </w:t>
      </w:r>
      <w:r w:rsidRPr="009514FA">
        <w:rPr>
          <w:rFonts w:ascii="Garamond" w:hAnsi="Garamond" w:cs="Times New Roman"/>
          <w:sz w:val="24"/>
          <w:szCs w:val="24"/>
        </w:rPr>
        <w:lastRenderedPageBreak/>
        <w:t>Magjistraturës për vitin akademik 2022</w:t>
      </w:r>
      <w:r w:rsidR="00756002">
        <w:rPr>
          <w:rFonts w:ascii="Garamond" w:hAnsi="Garamond" w:cs="Times New Roman"/>
          <w:sz w:val="24"/>
          <w:szCs w:val="24"/>
        </w:rPr>
        <w:t>–</w:t>
      </w:r>
      <w:r w:rsidRPr="009514FA">
        <w:rPr>
          <w:rFonts w:ascii="Garamond" w:hAnsi="Garamond" w:cs="Times New Roman"/>
          <w:sz w:val="24"/>
          <w:szCs w:val="24"/>
        </w:rPr>
        <w:t>2023; verifikimin e pasurisë dhe figurës për kandidatët për prokurorë të cilët përfundojnë formimin fillestar të Shkollës së Magjistraturës në vitin 2022; verifikimin e pasurisë dhe figurës për kandidatët për pozicion drejtuesi në prokuroritë me juridiksion të përgjithshëm, si dhe në drejtim të fillimit të procesit të vlerësimit etik dhe profesional të prokurorëve.</w:t>
      </w:r>
    </w:p>
    <w:p w14:paraId="43D3FFB0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Angazhimin e Komisionit të Karrierës në emërimin dhe caktimin në detyrë të 22 studentëve të diplomuar në vitin 2022 nga Shkolla e Magjistraturës, si dhe hartimin e  analizës së detajuar mbi propozimin e 40 kandidatëve për t’u pranuar në Programin e Formimit Fillestar të Shkollës së Magjistraturës, që rezulton 15 kandidatë më shumë se 1 vit më parë</w:t>
      </w:r>
    </w:p>
    <w:p w14:paraId="3704CD6B" w14:textId="70355E2B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Angazhimin e Komisionit Disiplinor në zhvillimin e disa procedurave disiplinore ndaj prokurorëve, si dhe në punimin për hartimin e draftit të rregullores së përbashkët për bashkimin e procedimeve disiplinore mes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KLP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-së dhe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KLGJ</w:t>
      </w:r>
      <w:proofErr w:type="spellEnd"/>
      <w:r w:rsidRPr="009514FA">
        <w:rPr>
          <w:rFonts w:ascii="Garamond" w:hAnsi="Garamond" w:cs="Times New Roman"/>
          <w:sz w:val="24"/>
          <w:szCs w:val="24"/>
        </w:rPr>
        <w:t>-së</w:t>
      </w:r>
      <w:r w:rsidR="00983BE1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në përputhje me nenin 140 të ligjit për statusin.</w:t>
      </w:r>
    </w:p>
    <w:p w14:paraId="4E494A7A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Angazhimin e Komisionit për Mbrojtjen e Prokurorëve në marrjen e vendimeve për 8 kërkesa të administruara për mbrojtje nga magjistratë prokurorë.</w:t>
      </w:r>
    </w:p>
    <w:p w14:paraId="6CBB0488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Angazhimin e  Komisionit të Posaçëm për Shqyrtimin e Ankesave Kundër Arkivimit të Hetimit nga ana  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ILD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-së në trajtimin e 58 ankesave. </w:t>
      </w:r>
    </w:p>
    <w:p w14:paraId="5DA9C9EB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Dhënien e opinioneve dhe vlerësimeve për përmirësimin e ligjeve organike dhe të paketës së reformës në drejtësi brenda kompetencave funksionale të tij.</w:t>
      </w:r>
    </w:p>
    <w:p w14:paraId="55B42798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Zgjedhjen e drejtuesit të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SPAK</w:t>
      </w:r>
      <w:proofErr w:type="spellEnd"/>
      <w:r w:rsidRPr="009514FA">
        <w:rPr>
          <w:rFonts w:ascii="Garamond" w:hAnsi="Garamond" w:cs="Times New Roman"/>
          <w:sz w:val="24"/>
          <w:szCs w:val="24"/>
        </w:rPr>
        <w:t>-ut pas përmbylljes së procedurave të ngritjes në detyrë.</w:t>
      </w:r>
    </w:p>
    <w:p w14:paraId="7B5FC948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Plotësimi i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vakancave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në Prokurorinë e Posaçme kundër Korrupsionit dhe Krimit të Organizuar është një proces që duhet përmbyllur me prioritet.</w:t>
      </w:r>
    </w:p>
    <w:p w14:paraId="24B9D1E8" w14:textId="4A6A79C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Takimet e përbashkëta mbi baza periodike me Këshillin e Lartë Gjyqësor</w:t>
      </w:r>
      <w:r w:rsidR="00983BE1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sipas përcaktimeve ligjore duhen shndërruar në mekanizma të qëndrueshëm dhe efikas.</w:t>
      </w:r>
    </w:p>
    <w:p w14:paraId="2291E144" w14:textId="71BB71B9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514FA">
        <w:rPr>
          <w:rFonts w:ascii="Garamond" w:hAnsi="Garamond" w:cs="Times New Roman"/>
          <w:b/>
          <w:sz w:val="24"/>
          <w:szCs w:val="24"/>
        </w:rPr>
        <w:t xml:space="preserve">Kuvendi i Shqipërisë i rekomandon Këshillit të Lartë të Prokurorisë për vitin 2023, në përmbushje të detyrave të ngarkuara me ligj, të angazhohet veçanërisht edhe në këto drejtime: </w:t>
      </w:r>
    </w:p>
    <w:p w14:paraId="0FEBA77D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 1. Të përmbyllë plotësimin 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vakancave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për prokurorë në Prokurorinë e Posaçme kundër Korrupsionit dhe Krimit të Organizuar dhe të informojë Kuvendin brenda muajit dhjetor 2023.</w:t>
      </w:r>
    </w:p>
    <w:p w14:paraId="5E851DEE" w14:textId="27DFA694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2. Të përmbyllë miratimin e akteve nënligjore sipas përcaktimeve në ligjet e reformës së drejtësisë dhe të raportojë në Kuvend për ecurinë brenda muajit dhjetor 2023. </w:t>
      </w:r>
    </w:p>
    <w:p w14:paraId="33DA2427" w14:textId="5EDE4CA0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3. Të forcojë bashkëpunimin me Prokurorin e Përgjithshëm në funksion të realizimit të  udhëzimeve me karakter të përgjithshëm nga prokurorët e të gjitha niveleve.</w:t>
      </w:r>
    </w:p>
    <w:p w14:paraId="52A9CD33" w14:textId="189C5782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4. Të përshpejtojë ritmet e punës në vlerësimin vjetor profesional të prokurorëve dhe të informojë Kuvendin brenda muajit tetor 2023.</w:t>
      </w:r>
    </w:p>
    <w:p w14:paraId="5731FFFB" w14:textId="550A9C1D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5. Në bashkëpunim me Këshillin e Lartë Gjyqësor: i</w:t>
      </w:r>
      <w:r w:rsidR="00657E2D">
        <w:rPr>
          <w:rFonts w:ascii="Garamond" w:hAnsi="Garamond" w:cs="Times New Roman"/>
          <w:sz w:val="24"/>
          <w:szCs w:val="24"/>
        </w:rPr>
        <w:t>.</w:t>
      </w:r>
      <w:r w:rsidRPr="009514FA">
        <w:rPr>
          <w:rFonts w:ascii="Garamond" w:hAnsi="Garamond" w:cs="Times New Roman"/>
          <w:sz w:val="24"/>
          <w:szCs w:val="24"/>
        </w:rPr>
        <w:t xml:space="preserve"> të miratohen rregullat e përbashkëta për bashkimin e procedimeve në rastin kur një gjyqtar dhe një prokuror janë përfshirë në të njëjtën shkelje, si dhe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ii</w:t>
      </w:r>
      <w:proofErr w:type="spellEnd"/>
      <w:r w:rsidR="00657E2D">
        <w:rPr>
          <w:rFonts w:ascii="Garamond" w:hAnsi="Garamond" w:cs="Times New Roman"/>
          <w:sz w:val="24"/>
          <w:szCs w:val="24"/>
        </w:rPr>
        <w:t>.</w:t>
      </w:r>
      <w:r w:rsidRPr="009514FA">
        <w:rPr>
          <w:rFonts w:ascii="Garamond" w:hAnsi="Garamond" w:cs="Times New Roman"/>
          <w:sz w:val="24"/>
          <w:szCs w:val="24"/>
        </w:rPr>
        <w:t xml:space="preserve"> për ngritjen e një sistemi të ri për menaxhimin e integruar të çështjeve.</w:t>
      </w:r>
    </w:p>
    <w:p w14:paraId="343633F3" w14:textId="5D27EE84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6. Të ndjekë dhe të konsiderojë me përparësi angazhimet, detyrimet ligjore dhe funksionale që burojnë nga procesi i zbatimit të hartës gjyqësore.</w:t>
      </w:r>
    </w:p>
    <w:p w14:paraId="1E73BD1B" w14:textId="1EC36A21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>7. Të bashkëpunojë me Inspektorin e Lartë të Drejtësisë për hartimin e planit vjetor të inspektimeve tematike</w:t>
      </w:r>
      <w:r w:rsidR="00983BE1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në përputhje me përcaktimet e ligjit nr. 115/2016</w:t>
      </w:r>
      <w:r w:rsidR="00983BE1">
        <w:rPr>
          <w:rFonts w:ascii="Garamond" w:hAnsi="Garamond" w:cs="Times New Roman"/>
          <w:sz w:val="24"/>
          <w:szCs w:val="24"/>
        </w:rPr>
        <w:t>,</w:t>
      </w:r>
      <w:r w:rsidRPr="009514FA">
        <w:rPr>
          <w:rFonts w:ascii="Garamond" w:hAnsi="Garamond" w:cs="Times New Roman"/>
          <w:sz w:val="24"/>
          <w:szCs w:val="24"/>
        </w:rPr>
        <w:t xml:space="preserve"> “Për organet e qeverisjes së sistemit të drejtësisë”, veçanërisht në drejtim të respektimit të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të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drejtave të njeriut, barazisë para ligjit dhe parimit të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proporcionalitetit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në proceset penale.</w:t>
      </w:r>
    </w:p>
    <w:p w14:paraId="592A87C1" w14:textId="7C5819C4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8. Të adresojë çështjet e konstatuara lidhur me aktivitetin e Këshillit në </w:t>
      </w:r>
      <w:proofErr w:type="spellStart"/>
      <w:r w:rsidRPr="009514FA">
        <w:rPr>
          <w:rFonts w:ascii="Garamond" w:hAnsi="Garamond" w:cs="Times New Roman"/>
          <w:sz w:val="24"/>
          <w:szCs w:val="24"/>
        </w:rPr>
        <w:t>progresraportin</w:t>
      </w:r>
      <w:proofErr w:type="spellEnd"/>
      <w:r w:rsidRPr="009514FA">
        <w:rPr>
          <w:rFonts w:ascii="Garamond" w:hAnsi="Garamond" w:cs="Times New Roman"/>
          <w:sz w:val="24"/>
          <w:szCs w:val="24"/>
        </w:rPr>
        <w:t xml:space="preserve"> e Bashkimit E</w:t>
      </w:r>
      <w:r w:rsidR="00657E2D">
        <w:rPr>
          <w:rFonts w:ascii="Garamond" w:hAnsi="Garamond" w:cs="Times New Roman"/>
          <w:sz w:val="24"/>
          <w:szCs w:val="24"/>
        </w:rPr>
        <w:t>v</w:t>
      </w:r>
      <w:r w:rsidRPr="009514FA">
        <w:rPr>
          <w:rFonts w:ascii="Garamond" w:hAnsi="Garamond" w:cs="Times New Roman"/>
          <w:sz w:val="24"/>
          <w:szCs w:val="24"/>
        </w:rPr>
        <w:t xml:space="preserve">ropian të vitit 2022. </w:t>
      </w:r>
      <w:bookmarkStart w:id="0" w:name="_GoBack"/>
      <w:bookmarkEnd w:id="0"/>
    </w:p>
    <w:p w14:paraId="54E148E8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D64CC6" w14:textId="77777777" w:rsidR="00814A89" w:rsidRPr="009514FA" w:rsidRDefault="00814A89" w:rsidP="00814A8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9514FA">
        <w:rPr>
          <w:rFonts w:ascii="Garamond" w:eastAsia="Times New Roman" w:hAnsi="Garamond" w:cs="Times New Roman"/>
          <w:color w:val="000000" w:themeColor="text1"/>
          <w:sz w:val="24"/>
          <w:szCs w:val="24"/>
        </w:rPr>
        <w:t>KRYETARE</w:t>
      </w:r>
    </w:p>
    <w:p w14:paraId="244C3DDE" w14:textId="77777777" w:rsidR="00814A89" w:rsidRPr="009514FA" w:rsidRDefault="00814A89" w:rsidP="00814A8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9514FA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Lindita </w:t>
      </w:r>
      <w:proofErr w:type="spellStart"/>
      <w:r w:rsidRPr="009514FA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Nikolla</w:t>
      </w:r>
      <w:proofErr w:type="spellEnd"/>
    </w:p>
    <w:p w14:paraId="4096AF3E" w14:textId="77777777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43FB4F36" w:rsidR="00814A89" w:rsidRPr="009514FA" w:rsidRDefault="00814A89" w:rsidP="00814A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4FA">
        <w:rPr>
          <w:rFonts w:ascii="Garamond" w:hAnsi="Garamond" w:cs="Times New Roman"/>
          <w:sz w:val="24"/>
          <w:szCs w:val="24"/>
        </w:rPr>
        <w:t xml:space="preserve">Miratuar </w:t>
      </w:r>
      <w:r w:rsidR="00657E2D">
        <w:rPr>
          <w:rFonts w:ascii="Garamond" w:hAnsi="Garamond" w:cs="Times New Roman"/>
          <w:sz w:val="24"/>
          <w:szCs w:val="24"/>
        </w:rPr>
        <w:t>m</w:t>
      </w:r>
      <w:r w:rsidRPr="009514FA">
        <w:rPr>
          <w:rFonts w:ascii="Garamond" w:hAnsi="Garamond" w:cs="Times New Roman"/>
          <w:sz w:val="24"/>
          <w:szCs w:val="24"/>
        </w:rPr>
        <w:t>ë datë 6.7.2023</w:t>
      </w:r>
      <w:r w:rsidR="00657E2D">
        <w:rPr>
          <w:rFonts w:ascii="Garamond" w:hAnsi="Garamond" w:cs="Times New Roman"/>
          <w:sz w:val="24"/>
          <w:szCs w:val="24"/>
        </w:rPr>
        <w:t>.</w:t>
      </w:r>
    </w:p>
    <w:p w14:paraId="2BBA2B42" w14:textId="74E66577" w:rsidR="007A744F" w:rsidRPr="00814A89" w:rsidRDefault="007A744F" w:rsidP="00814A89"/>
    <w:sectPr w:rsidR="007A744F" w:rsidRPr="00814A89" w:rsidSect="00983BE1">
      <w:footerReference w:type="default" r:id="rId13"/>
      <w:pgSz w:w="11907" w:h="16840" w:code="9"/>
      <w:pgMar w:top="1440" w:right="1440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232F4" w14:textId="77777777" w:rsidR="00657E2D" w:rsidRDefault="00657E2D" w:rsidP="00C86383">
      <w:pPr>
        <w:spacing w:after="0" w:line="240" w:lineRule="auto"/>
      </w:pPr>
      <w:r>
        <w:separator/>
      </w:r>
    </w:p>
  </w:endnote>
  <w:endnote w:type="continuationSeparator" w:id="0">
    <w:p w14:paraId="6EAADE47" w14:textId="77777777" w:rsidR="00657E2D" w:rsidRDefault="00657E2D" w:rsidP="00C86383">
      <w:pPr>
        <w:spacing w:after="0" w:line="240" w:lineRule="auto"/>
      </w:pPr>
      <w:r>
        <w:continuationSeparator/>
      </w:r>
    </w:p>
  </w:endnote>
  <w:endnote w:type="continuationNotice" w:id="1">
    <w:p w14:paraId="212C0BD5" w14:textId="77777777" w:rsidR="00657E2D" w:rsidRDefault="00657E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65380126" w:rsidR="00657E2D" w:rsidRPr="00E7684C" w:rsidRDefault="00657E2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657E2D" w:rsidRDefault="00657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294E2" w14:textId="77777777" w:rsidR="00657E2D" w:rsidRDefault="00657E2D" w:rsidP="00C86383">
      <w:pPr>
        <w:spacing w:after="0" w:line="240" w:lineRule="auto"/>
      </w:pPr>
      <w:r>
        <w:separator/>
      </w:r>
    </w:p>
  </w:footnote>
  <w:footnote w:type="continuationSeparator" w:id="0">
    <w:p w14:paraId="02961254" w14:textId="77777777" w:rsidR="00657E2D" w:rsidRDefault="00657E2D" w:rsidP="00C86383">
      <w:pPr>
        <w:spacing w:after="0" w:line="240" w:lineRule="auto"/>
      </w:pPr>
      <w:r>
        <w:continuationSeparator/>
      </w:r>
    </w:p>
  </w:footnote>
  <w:footnote w:type="continuationNotice" w:id="1">
    <w:p w14:paraId="75F1C1F6" w14:textId="77777777" w:rsidR="00657E2D" w:rsidRDefault="00657E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0F5B"/>
    <w:rsid w:val="00032ACF"/>
    <w:rsid w:val="00044096"/>
    <w:rsid w:val="00044C1F"/>
    <w:rsid w:val="00051513"/>
    <w:rsid w:val="0005725B"/>
    <w:rsid w:val="00062B6C"/>
    <w:rsid w:val="00062F7F"/>
    <w:rsid w:val="0007298B"/>
    <w:rsid w:val="00074E2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87D7F"/>
    <w:rsid w:val="00191634"/>
    <w:rsid w:val="001A79AF"/>
    <w:rsid w:val="001B134B"/>
    <w:rsid w:val="001B6D41"/>
    <w:rsid w:val="001B7CF3"/>
    <w:rsid w:val="001C1147"/>
    <w:rsid w:val="001E013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949AE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14C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E744E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54E5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1D98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06C"/>
    <w:rsid w:val="00546B87"/>
    <w:rsid w:val="0054729A"/>
    <w:rsid w:val="00551654"/>
    <w:rsid w:val="00555F66"/>
    <w:rsid w:val="00556003"/>
    <w:rsid w:val="00566A66"/>
    <w:rsid w:val="00567336"/>
    <w:rsid w:val="00582A60"/>
    <w:rsid w:val="0058667F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44D20"/>
    <w:rsid w:val="00657E2D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E6621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2C3F"/>
    <w:rsid w:val="00734138"/>
    <w:rsid w:val="00750776"/>
    <w:rsid w:val="00752319"/>
    <w:rsid w:val="00756002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0EB"/>
    <w:rsid w:val="007A1453"/>
    <w:rsid w:val="007A24F8"/>
    <w:rsid w:val="007A4144"/>
    <w:rsid w:val="007A6000"/>
    <w:rsid w:val="007A744F"/>
    <w:rsid w:val="007B5768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61D"/>
    <w:rsid w:val="00803B7B"/>
    <w:rsid w:val="00813AD7"/>
    <w:rsid w:val="00814941"/>
    <w:rsid w:val="00814A89"/>
    <w:rsid w:val="00821505"/>
    <w:rsid w:val="0082316D"/>
    <w:rsid w:val="00824042"/>
    <w:rsid w:val="00824A4B"/>
    <w:rsid w:val="008253FA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057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12502"/>
    <w:rsid w:val="0092415F"/>
    <w:rsid w:val="009256DD"/>
    <w:rsid w:val="0094122A"/>
    <w:rsid w:val="00946C72"/>
    <w:rsid w:val="0095624F"/>
    <w:rsid w:val="009571C2"/>
    <w:rsid w:val="00960704"/>
    <w:rsid w:val="00960B17"/>
    <w:rsid w:val="00964622"/>
    <w:rsid w:val="009700C5"/>
    <w:rsid w:val="00971602"/>
    <w:rsid w:val="00976FB6"/>
    <w:rsid w:val="00983BE1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B713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3D46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2D9E"/>
    <w:rsid w:val="00BD592D"/>
    <w:rsid w:val="00BD5A4B"/>
    <w:rsid w:val="00BF0A3E"/>
    <w:rsid w:val="00BF1682"/>
    <w:rsid w:val="00BF28FB"/>
    <w:rsid w:val="00BF3D89"/>
    <w:rsid w:val="00C011E1"/>
    <w:rsid w:val="00C01267"/>
    <w:rsid w:val="00C01362"/>
    <w:rsid w:val="00C12792"/>
    <w:rsid w:val="00C15B46"/>
    <w:rsid w:val="00C2107A"/>
    <w:rsid w:val="00C22617"/>
    <w:rsid w:val="00C277DC"/>
    <w:rsid w:val="00C310C5"/>
    <w:rsid w:val="00C3396C"/>
    <w:rsid w:val="00C34299"/>
    <w:rsid w:val="00C356CF"/>
    <w:rsid w:val="00C42220"/>
    <w:rsid w:val="00C451E4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5E97"/>
    <w:rsid w:val="00D0709B"/>
    <w:rsid w:val="00D17929"/>
    <w:rsid w:val="00D2027A"/>
    <w:rsid w:val="00D22C59"/>
    <w:rsid w:val="00D27092"/>
    <w:rsid w:val="00D31426"/>
    <w:rsid w:val="00D31E4D"/>
    <w:rsid w:val="00D332B5"/>
    <w:rsid w:val="00D44DC4"/>
    <w:rsid w:val="00D5114F"/>
    <w:rsid w:val="00D57B3A"/>
    <w:rsid w:val="00D600F3"/>
    <w:rsid w:val="00D621BE"/>
    <w:rsid w:val="00D62BE5"/>
    <w:rsid w:val="00D66EB0"/>
    <w:rsid w:val="00D704A8"/>
    <w:rsid w:val="00D719E7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3967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5AE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24B8"/>
    <w:rsid w:val="00F142C1"/>
    <w:rsid w:val="00F1525A"/>
    <w:rsid w:val="00F25875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25A4"/>
    <w:rsid w:val="00F65C99"/>
    <w:rsid w:val="00F701B3"/>
    <w:rsid w:val="00F7499D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1EFD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74E61C12-B7AB-4E92-8798-38D54D7C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A8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9204E15FE4382AFFC9DFF4EC3B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2222-4</Nr_x002e__x0020_akti>
    <Data_x0020_e_x0020_Krijimit xmlns="0e656187-b300-4fb0-8bf4-3a50f872073c">2023-07-12T12:27:15Z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vlerësimin e veprimtarisë së Këshillit të Lartë të Prokurorisë për vitin 2022</Titulli>
    <Modifikuesi xmlns="0e656187-b300-4fb0-8bf4-3a50f872073c">nevila.samarxhi</Modifikuesi>
    <Nr_x002e__x0020_prot_x0020_QBZ xmlns="0e656187-b300-4fb0-8bf4-3a50f872073c">1054/4</Nr_x002e__x0020_prot_x0020_QBZ>
    <Data_x0020_e_x0020_Modifikimit xmlns="0e656187-b300-4fb0-8bf4-3a50f872073c">2023-07-12T13:09:27Z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2222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9204E15FE4382AFFC9DFF4EC3B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955CE-7165-4AB4-8F1F-C0BECA556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8BD22E-20AF-44B9-A5D4-D3293657E27C}">
  <ds:schemaRefs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BA36B2-9AFB-4510-83F5-DCC5D79685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92B612-BAC4-41A8-9917-A478A9DFF0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56D4CA-D24C-473E-AE52-105FDB2AC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267123-2D3C-46F3-B903-6B4D39D9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Këshillit të Lartë të Prokurorisë për vitin 2022</vt:lpstr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Këshillit të Lartë të Prokurorisë për vitin 2022</dc:title>
  <dc:creator>user</dc:creator>
  <cp:lastModifiedBy>Alma Lisaku</cp:lastModifiedBy>
  <cp:revision>11</cp:revision>
  <cp:lastPrinted>2023-07-10T06:45:00Z</cp:lastPrinted>
  <dcterms:created xsi:type="dcterms:W3CDTF">2023-07-12T12:18:00Z</dcterms:created>
  <dcterms:modified xsi:type="dcterms:W3CDTF">2023-07-12T13:29:00Z</dcterms:modified>
</cp:coreProperties>
</file>