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1106F0" w:rsidRDefault="001106F0" w:rsidP="001106F0">
      <w:pPr>
        <w:spacing w:after="0" w:line="240" w:lineRule="auto"/>
        <w:ind w:firstLine="284"/>
        <w:jc w:val="center"/>
        <w:rPr>
          <w:rFonts w:ascii="Garamond" w:eastAsia="Times New Roman" w:hAnsi="Garamond" w:cs="Times New Roman"/>
          <w:b/>
          <w:sz w:val="24"/>
          <w:szCs w:val="24"/>
        </w:rPr>
      </w:pPr>
      <w:r w:rsidRPr="00642C26">
        <w:rPr>
          <w:rFonts w:ascii="Garamond" w:eastAsia="Times New Roman" w:hAnsi="Garamond" w:cs="Times New Roman"/>
          <w:b/>
          <w:sz w:val="24"/>
          <w:szCs w:val="24"/>
        </w:rPr>
        <w:t>REZOLUTË</w:t>
      </w:r>
    </w:p>
    <w:p w14:paraId="11A9D0AF" w14:textId="77777777" w:rsidR="001106F0" w:rsidRPr="00642C26" w:rsidRDefault="001106F0" w:rsidP="001106F0">
      <w:pPr>
        <w:spacing w:after="0" w:line="240" w:lineRule="auto"/>
        <w:ind w:firstLine="284"/>
        <w:jc w:val="center"/>
        <w:rPr>
          <w:rFonts w:ascii="Garamond" w:eastAsia="Times New Roman" w:hAnsi="Garamond" w:cs="Times New Roman"/>
          <w:b/>
          <w:sz w:val="24"/>
          <w:szCs w:val="24"/>
        </w:rPr>
      </w:pPr>
    </w:p>
    <w:p w14:paraId="21C455C8" w14:textId="77777777" w:rsidR="001106F0" w:rsidRPr="00642C26" w:rsidRDefault="001106F0" w:rsidP="001106F0">
      <w:pPr>
        <w:spacing w:after="0" w:line="240" w:lineRule="auto"/>
        <w:ind w:firstLine="284"/>
        <w:jc w:val="center"/>
        <w:rPr>
          <w:rFonts w:ascii="Garamond" w:eastAsia="Times New Roman" w:hAnsi="Garamond" w:cs="Times New Roman"/>
          <w:b/>
          <w:sz w:val="24"/>
          <w:szCs w:val="24"/>
        </w:rPr>
      </w:pPr>
      <w:r w:rsidRPr="00642C26">
        <w:rPr>
          <w:rFonts w:ascii="Garamond" w:eastAsia="Times New Roman" w:hAnsi="Garamond" w:cs="Times New Roman"/>
          <w:b/>
          <w:sz w:val="24"/>
          <w:szCs w:val="24"/>
        </w:rPr>
        <w:t xml:space="preserve">PËR VLERËSIMIN E VEPRIMTARISË SË BANKËS SË SHQIPËRISË </w:t>
      </w:r>
    </w:p>
    <w:p w14:paraId="759022DB" w14:textId="7CD5A571" w:rsidR="001106F0" w:rsidRPr="00642C26" w:rsidRDefault="001106F0" w:rsidP="001106F0">
      <w:pPr>
        <w:spacing w:after="0" w:line="240" w:lineRule="auto"/>
        <w:ind w:firstLine="284"/>
        <w:jc w:val="center"/>
        <w:rPr>
          <w:rFonts w:ascii="Garamond" w:eastAsia="Times New Roman" w:hAnsi="Garamond" w:cs="Times New Roman"/>
          <w:b/>
          <w:sz w:val="24"/>
          <w:szCs w:val="24"/>
        </w:rPr>
      </w:pPr>
      <w:r w:rsidRPr="00642C26">
        <w:rPr>
          <w:rFonts w:ascii="Garamond" w:eastAsia="Times New Roman" w:hAnsi="Garamond" w:cs="Times New Roman"/>
          <w:b/>
          <w:sz w:val="24"/>
          <w:szCs w:val="24"/>
        </w:rPr>
        <w:t>PËR VITIN 2022</w:t>
      </w:r>
    </w:p>
    <w:p w14:paraId="3596113D" w14:textId="77777777" w:rsidR="001106F0" w:rsidRPr="00642C26" w:rsidRDefault="001106F0" w:rsidP="001106F0">
      <w:pPr>
        <w:spacing w:after="0" w:line="240" w:lineRule="auto"/>
        <w:ind w:firstLine="284"/>
        <w:jc w:val="both"/>
        <w:rPr>
          <w:rFonts w:ascii="Garamond" w:eastAsia="Times New Roman" w:hAnsi="Garamond" w:cs="Times New Roman"/>
          <w:b/>
          <w:sz w:val="24"/>
          <w:szCs w:val="24"/>
        </w:rPr>
      </w:pPr>
    </w:p>
    <w:p w14:paraId="3F2D528E" w14:textId="76DFAB66"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b/>
          <w:sz w:val="24"/>
          <w:szCs w:val="24"/>
        </w:rPr>
        <w:t>Kuvendi i Shqipërisë,</w:t>
      </w:r>
    </w:p>
    <w:p w14:paraId="6C2F4128"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Duke vlerësuar rolin e Bankës së Shqipërisë në mbikëqyrjen e sistemit financiar të vendit dhe nxitjen e rritjes së qëndrueshme të ekonomisë;</w:t>
      </w:r>
    </w:p>
    <w:p w14:paraId="6BE39F2E"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Duke vlerësuar pavarësinë institucionale të Bankës së Shqipërisë në raport me ligjin, si dhe detyrimin për zbatimin dhe raportimin e rekomandimeve të dhëna nga Kuvendi i Shqipërisë;</w:t>
      </w:r>
    </w:p>
    <w:p w14:paraId="165E8719"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Duke vlerësuar angazhimin e Bankës së Shqipërisë për zbatimin e objektivave dhe detyrimeve të saj ligjore; </w:t>
      </w:r>
    </w:p>
    <w:p w14:paraId="2BC733A2" w14:textId="2F0C6063" w:rsidR="001106F0" w:rsidRPr="00642C26" w:rsidRDefault="001106F0" w:rsidP="001106F0">
      <w:pPr>
        <w:spacing w:after="0" w:line="240" w:lineRule="auto"/>
        <w:ind w:firstLine="284"/>
        <w:jc w:val="both"/>
        <w:rPr>
          <w:rFonts w:ascii="Garamond" w:eastAsia="Times New Roman" w:hAnsi="Garamond" w:cs="Times New Roman"/>
          <w:b/>
          <w:sz w:val="24"/>
          <w:szCs w:val="24"/>
        </w:rPr>
      </w:pPr>
      <w:r w:rsidRPr="00642C26">
        <w:rPr>
          <w:rFonts w:ascii="Garamond" w:eastAsia="Times New Roman" w:hAnsi="Garamond" w:cs="Times New Roman"/>
          <w:b/>
          <w:sz w:val="24"/>
          <w:szCs w:val="24"/>
        </w:rPr>
        <w:t>Vlerëson veprimtarinë e Bankës së Shqipërisë gjatë vitit 2022 për përmbushjen e funksioneve të saj dhe të objektivave strategjikë afatmesëm në këto drejtime:</w:t>
      </w:r>
    </w:p>
    <w:p w14:paraId="753DD95C"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Përmirësimin në hartimin e politikës monetare për zhvillimin e mëtejshëm të kapaciteteve analizuese,  parashikuese dhe kërkimore.</w:t>
      </w:r>
    </w:p>
    <w:p w14:paraId="60C8843F"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Pasurimin dhe zhvillimin e kuadrit metodologjik dhe rregullator në fushën e stabilitetit financiar dhe politikës </w:t>
      </w:r>
      <w:proofErr w:type="spellStart"/>
      <w:r w:rsidRPr="00642C26">
        <w:rPr>
          <w:rFonts w:ascii="Garamond" w:eastAsia="Times New Roman" w:hAnsi="Garamond" w:cs="Times New Roman"/>
          <w:sz w:val="24"/>
          <w:szCs w:val="24"/>
        </w:rPr>
        <w:t>makroprudenciale</w:t>
      </w:r>
      <w:proofErr w:type="spellEnd"/>
      <w:r w:rsidRPr="00642C26">
        <w:rPr>
          <w:rFonts w:ascii="Garamond" w:eastAsia="Times New Roman" w:hAnsi="Garamond" w:cs="Times New Roman"/>
          <w:sz w:val="24"/>
          <w:szCs w:val="24"/>
        </w:rPr>
        <w:t xml:space="preserve">, duke vlerësuar ekspozimet e bankave në prona të paluajtshme me metodologji që vlerësojnë ndërlidhjen dhe rrezikun e përhapjes së krizave në sistemin financiar dhe zbatimin e shtesës </w:t>
      </w:r>
      <w:proofErr w:type="spellStart"/>
      <w:r w:rsidRPr="00642C26">
        <w:rPr>
          <w:rFonts w:ascii="Garamond" w:eastAsia="Times New Roman" w:hAnsi="Garamond" w:cs="Times New Roman"/>
          <w:sz w:val="24"/>
          <w:szCs w:val="24"/>
        </w:rPr>
        <w:t>makroprudenciale</w:t>
      </w:r>
      <w:proofErr w:type="spellEnd"/>
      <w:r w:rsidRPr="00642C26">
        <w:rPr>
          <w:rFonts w:ascii="Garamond" w:eastAsia="Times New Roman" w:hAnsi="Garamond" w:cs="Times New Roman"/>
          <w:sz w:val="24"/>
          <w:szCs w:val="24"/>
        </w:rPr>
        <w:t xml:space="preserve"> për rrezikun </w:t>
      </w:r>
      <w:proofErr w:type="spellStart"/>
      <w:r w:rsidRPr="00642C26">
        <w:rPr>
          <w:rFonts w:ascii="Garamond" w:eastAsia="Times New Roman" w:hAnsi="Garamond" w:cs="Times New Roman"/>
          <w:sz w:val="24"/>
          <w:szCs w:val="24"/>
        </w:rPr>
        <w:t>sistemik</w:t>
      </w:r>
      <w:proofErr w:type="spellEnd"/>
      <w:r w:rsidRPr="00642C26">
        <w:rPr>
          <w:rFonts w:ascii="Garamond" w:eastAsia="Times New Roman" w:hAnsi="Garamond" w:cs="Times New Roman"/>
          <w:sz w:val="24"/>
          <w:szCs w:val="24"/>
        </w:rPr>
        <w:t>.</w:t>
      </w:r>
    </w:p>
    <w:p w14:paraId="07865F66"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Plotësimin e kuadrit nënligjor në zbatim të kërkesave të ligjit “Për shërbimet e pagesave”, që rregullon veprimtarinë, mbikëqyrjen dhe administrimin e rreziqeve të subjekteve të ligjit, përfshirë edhe rregulloren për administrimin e rreziqeve dhe mbikëqyrjen e institucioneve të parasë elektronike, si dhe përafrimin e këtij kuadri me rregulloret e BE-së dhe të Autoritetit Bankar </w:t>
      </w:r>
      <w:proofErr w:type="spellStart"/>
      <w:r w:rsidRPr="00642C26">
        <w:rPr>
          <w:rFonts w:ascii="Garamond" w:eastAsia="Times New Roman" w:hAnsi="Garamond" w:cs="Times New Roman"/>
          <w:sz w:val="24"/>
          <w:szCs w:val="24"/>
        </w:rPr>
        <w:t>Europian</w:t>
      </w:r>
      <w:proofErr w:type="spellEnd"/>
      <w:r w:rsidRPr="00642C26">
        <w:rPr>
          <w:rFonts w:ascii="Garamond" w:eastAsia="Times New Roman" w:hAnsi="Garamond" w:cs="Times New Roman"/>
          <w:sz w:val="24"/>
          <w:szCs w:val="24"/>
        </w:rPr>
        <w:t xml:space="preserve">. Zhvillimet e rëndësishme infrastrukturore dhe përmirësimet </w:t>
      </w:r>
      <w:proofErr w:type="spellStart"/>
      <w:r w:rsidRPr="00642C26">
        <w:rPr>
          <w:rFonts w:ascii="Garamond" w:eastAsia="Times New Roman" w:hAnsi="Garamond" w:cs="Times New Roman"/>
          <w:sz w:val="24"/>
          <w:szCs w:val="24"/>
        </w:rPr>
        <w:t>rregullatore</w:t>
      </w:r>
      <w:proofErr w:type="spellEnd"/>
      <w:r w:rsidRPr="00642C26">
        <w:rPr>
          <w:rFonts w:ascii="Garamond" w:eastAsia="Times New Roman" w:hAnsi="Garamond" w:cs="Times New Roman"/>
          <w:sz w:val="24"/>
          <w:szCs w:val="24"/>
        </w:rPr>
        <w:t xml:space="preserve"> të mësipërme kanë lejuar ofrimin e instrumenteve të reja të pagesave elektronike dhe krijimin e institucioneve të reja që ofrojnë ato, kanë ulur kostot e pagesave </w:t>
      </w:r>
      <w:proofErr w:type="spellStart"/>
      <w:r w:rsidRPr="00642C26">
        <w:rPr>
          <w:rFonts w:ascii="Garamond" w:eastAsia="Times New Roman" w:hAnsi="Garamond" w:cs="Times New Roman"/>
          <w:sz w:val="24"/>
          <w:szCs w:val="24"/>
        </w:rPr>
        <w:t>ndërbankare</w:t>
      </w:r>
      <w:proofErr w:type="spellEnd"/>
      <w:r w:rsidRPr="00642C26">
        <w:rPr>
          <w:rFonts w:ascii="Garamond" w:eastAsia="Times New Roman" w:hAnsi="Garamond" w:cs="Times New Roman"/>
          <w:sz w:val="24"/>
          <w:szCs w:val="24"/>
        </w:rPr>
        <w:t>, si dhe kanë nxitur përfshirjen financiare të popullatës.</w:t>
      </w:r>
    </w:p>
    <w:p w14:paraId="49067EDB" w14:textId="0C66F876"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Forcimin e efektivitetit të procesit mbikëqyrës dhe plotësimit të kuadrit rregullator të nevojshëm për zbatimin e rekomandimeve të lënë nga Komiteti </w:t>
      </w:r>
      <w:proofErr w:type="spellStart"/>
      <w:r w:rsidRPr="00642C26">
        <w:rPr>
          <w:rFonts w:ascii="Garamond" w:eastAsia="Times New Roman" w:hAnsi="Garamond" w:cs="Times New Roman"/>
          <w:sz w:val="24"/>
          <w:szCs w:val="24"/>
        </w:rPr>
        <w:t>Moneyval</w:t>
      </w:r>
      <w:proofErr w:type="spellEnd"/>
      <w:r w:rsidRPr="00642C26">
        <w:rPr>
          <w:rFonts w:ascii="Garamond" w:eastAsia="Times New Roman" w:hAnsi="Garamond" w:cs="Times New Roman"/>
          <w:sz w:val="24"/>
          <w:szCs w:val="24"/>
        </w:rPr>
        <w:t xml:space="preserve"> nëpërmjet miratimit të ndryshimeve në rregulloren përkatëse për licencimin dhe ushtrimin e veprimtarisë së shoqërive të kursim-kreditit dhe unioneve të tyre për sa u takon kërkesave për pastërtinë e figurës së anëtarëve themelues të këtyre subjekteve. Gjithashtu, Banka ka vijuar me inspektimet veçanërisht për çështjet e financimit të terrorizmit duke realizuar për vitin 2022 një numër total prej 82 inspektimesh, të fokusuara në 5 banka, 5 subjekte financiare </w:t>
      </w:r>
      <w:proofErr w:type="spellStart"/>
      <w:r w:rsidRPr="00642C26">
        <w:rPr>
          <w:rFonts w:ascii="Garamond" w:eastAsia="Times New Roman" w:hAnsi="Garamond" w:cs="Times New Roman"/>
          <w:sz w:val="24"/>
          <w:szCs w:val="24"/>
        </w:rPr>
        <w:t>jobanka</w:t>
      </w:r>
      <w:proofErr w:type="spellEnd"/>
      <w:r w:rsidRPr="00642C26">
        <w:rPr>
          <w:rFonts w:ascii="Garamond" w:eastAsia="Times New Roman" w:hAnsi="Garamond" w:cs="Times New Roman"/>
          <w:sz w:val="24"/>
          <w:szCs w:val="24"/>
        </w:rPr>
        <w:t>, 2 shoqëri kursim-krediti dhe 70 zyra të këmbimit valutor.</w:t>
      </w:r>
    </w:p>
    <w:p w14:paraId="193D773F"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Përmirësimin e kuadrit rregullator në fushën e mbikëqyrjes, duke e përafruar më tej tre rregullore me </w:t>
      </w:r>
      <w:proofErr w:type="spellStart"/>
      <w:r w:rsidRPr="00642C26">
        <w:rPr>
          <w:rFonts w:ascii="Garamond" w:eastAsia="Times New Roman" w:hAnsi="Garamond" w:cs="Times New Roman"/>
          <w:i/>
          <w:sz w:val="24"/>
          <w:szCs w:val="24"/>
        </w:rPr>
        <w:t>acquis</w:t>
      </w:r>
      <w:proofErr w:type="spellEnd"/>
      <w:r w:rsidRPr="00642C26">
        <w:rPr>
          <w:rFonts w:ascii="Garamond" w:eastAsia="Times New Roman" w:hAnsi="Garamond" w:cs="Times New Roman"/>
          <w:i/>
          <w:sz w:val="24"/>
          <w:szCs w:val="24"/>
        </w:rPr>
        <w:t>-</w:t>
      </w:r>
      <w:r w:rsidRPr="00642C26">
        <w:rPr>
          <w:rFonts w:ascii="Garamond" w:eastAsia="Times New Roman" w:hAnsi="Garamond" w:cs="Times New Roman"/>
          <w:sz w:val="24"/>
          <w:szCs w:val="24"/>
        </w:rPr>
        <w:t>in</w:t>
      </w:r>
      <w:r w:rsidRPr="00642C26">
        <w:rPr>
          <w:rFonts w:ascii="Garamond" w:eastAsia="Times New Roman" w:hAnsi="Garamond" w:cs="Times New Roman"/>
          <w:i/>
          <w:sz w:val="24"/>
          <w:szCs w:val="24"/>
        </w:rPr>
        <w:t xml:space="preserve"> </w:t>
      </w:r>
      <w:r w:rsidRPr="00642C26">
        <w:rPr>
          <w:rFonts w:ascii="Garamond" w:eastAsia="Times New Roman" w:hAnsi="Garamond" w:cs="Times New Roman"/>
          <w:sz w:val="24"/>
          <w:szCs w:val="24"/>
        </w:rPr>
        <w:t xml:space="preserve">e BE-së, parimet e Komitetit të Bazelit dhe praktikat më të mira të mbikëqyrjes bankare me vëmendje të veçantë monitorimin e ecurisë së portofolit të kredisë dhe të rrezikut </w:t>
      </w:r>
      <w:proofErr w:type="spellStart"/>
      <w:r w:rsidRPr="00642C26">
        <w:rPr>
          <w:rFonts w:ascii="Garamond" w:eastAsia="Times New Roman" w:hAnsi="Garamond" w:cs="Times New Roman"/>
          <w:sz w:val="24"/>
          <w:szCs w:val="24"/>
        </w:rPr>
        <w:t>kibernetik</w:t>
      </w:r>
      <w:proofErr w:type="spellEnd"/>
      <w:r w:rsidRPr="00642C26">
        <w:rPr>
          <w:rFonts w:ascii="Garamond" w:eastAsia="Times New Roman" w:hAnsi="Garamond" w:cs="Times New Roman"/>
          <w:sz w:val="24"/>
          <w:szCs w:val="24"/>
        </w:rPr>
        <w:t>, si dhe përfshirjen e rreziqeve klimaterike në proceset e mbikëqyrjes së institucioneve të licencuara.</w:t>
      </w:r>
    </w:p>
    <w:p w14:paraId="66145DA3" w14:textId="2C043339"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Monitorimin për sa i takon rrezikut të kredisë, rrezikut të likuiditetit atij </w:t>
      </w:r>
      <w:proofErr w:type="spellStart"/>
      <w:r w:rsidRPr="00642C26">
        <w:rPr>
          <w:rFonts w:ascii="Garamond" w:eastAsia="Times New Roman" w:hAnsi="Garamond" w:cs="Times New Roman"/>
          <w:sz w:val="24"/>
          <w:szCs w:val="24"/>
        </w:rPr>
        <w:t>operacional</w:t>
      </w:r>
      <w:proofErr w:type="spellEnd"/>
      <w:r w:rsidRPr="00642C26">
        <w:rPr>
          <w:rFonts w:ascii="Garamond" w:eastAsia="Times New Roman" w:hAnsi="Garamond" w:cs="Times New Roman"/>
          <w:sz w:val="24"/>
          <w:szCs w:val="24"/>
        </w:rPr>
        <w:t xml:space="preserve"> etj., nëpërmjet realizimit të 13 ekzaminimeve në vend, nga të cilat 8 ekzaminime në banka, 2 në subjekte financiare </w:t>
      </w:r>
      <w:proofErr w:type="spellStart"/>
      <w:r w:rsidRPr="00642C26">
        <w:rPr>
          <w:rFonts w:ascii="Garamond" w:eastAsia="Times New Roman" w:hAnsi="Garamond" w:cs="Times New Roman"/>
          <w:sz w:val="24"/>
          <w:szCs w:val="24"/>
        </w:rPr>
        <w:t>jobanka</w:t>
      </w:r>
      <w:proofErr w:type="spellEnd"/>
      <w:r w:rsidRPr="00642C26">
        <w:rPr>
          <w:rFonts w:ascii="Garamond" w:eastAsia="Times New Roman" w:hAnsi="Garamond" w:cs="Times New Roman"/>
          <w:sz w:val="24"/>
          <w:szCs w:val="24"/>
        </w:rPr>
        <w:t xml:space="preserve">, 2 në shoqëritë e kursim-kredit dhe 1 subjekt financiar </w:t>
      </w:r>
      <w:proofErr w:type="spellStart"/>
      <w:r w:rsidRPr="00642C26">
        <w:rPr>
          <w:rFonts w:ascii="Garamond" w:eastAsia="Times New Roman" w:hAnsi="Garamond" w:cs="Times New Roman"/>
          <w:sz w:val="24"/>
          <w:szCs w:val="24"/>
        </w:rPr>
        <w:t>jobankë</w:t>
      </w:r>
      <w:proofErr w:type="spellEnd"/>
      <w:r w:rsidRPr="00642C26">
        <w:rPr>
          <w:rFonts w:ascii="Garamond" w:eastAsia="Times New Roman" w:hAnsi="Garamond" w:cs="Times New Roman"/>
          <w:sz w:val="24"/>
          <w:szCs w:val="24"/>
        </w:rPr>
        <w:t xml:space="preserve">. </w:t>
      </w:r>
    </w:p>
    <w:p w14:paraId="3659276F"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Monitorimin e procesit të administrimit të Fondit të Ndërhyrjes së Jashtëzakonshme dhe rritjes së nivelit të automatizimit të tij për të gjitha bankat që operojnë në tregun vendas, përfshirë edhe bankat </w:t>
      </w:r>
      <w:proofErr w:type="spellStart"/>
      <w:r w:rsidRPr="00642C26">
        <w:rPr>
          <w:rFonts w:ascii="Garamond" w:eastAsia="Times New Roman" w:hAnsi="Garamond" w:cs="Times New Roman"/>
          <w:sz w:val="24"/>
          <w:szCs w:val="24"/>
        </w:rPr>
        <w:t>josistemike</w:t>
      </w:r>
      <w:proofErr w:type="spellEnd"/>
      <w:r w:rsidRPr="00642C26">
        <w:rPr>
          <w:rFonts w:ascii="Garamond" w:eastAsia="Times New Roman" w:hAnsi="Garamond" w:cs="Times New Roman"/>
          <w:sz w:val="24"/>
          <w:szCs w:val="24"/>
        </w:rPr>
        <w:t xml:space="preserve"> për të vlerësuar nëse disponojnë kapacitete të mjaftueshme financiare për të përthithur humbjet në rast të ndërhyrjes së jashtëzakonshme. </w:t>
      </w:r>
    </w:p>
    <w:p w14:paraId="154A9269" w14:textId="0FDE6770"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Sigurimin e funksionimit maksimal të sistemeve të pagesave, duke kryer vlerësimin e të dy sistemeve që operon Banka e Shqipërisë (</w:t>
      </w:r>
      <w:proofErr w:type="spellStart"/>
      <w:r w:rsidRPr="00642C26">
        <w:rPr>
          <w:rFonts w:ascii="Garamond" w:eastAsia="Times New Roman" w:hAnsi="Garamond" w:cs="Times New Roman"/>
          <w:sz w:val="24"/>
          <w:szCs w:val="24"/>
        </w:rPr>
        <w:t>AIPS</w:t>
      </w:r>
      <w:proofErr w:type="spellEnd"/>
      <w:r w:rsidRPr="00642C26">
        <w:rPr>
          <w:rFonts w:ascii="Garamond" w:eastAsia="Times New Roman" w:hAnsi="Garamond" w:cs="Times New Roman"/>
          <w:sz w:val="24"/>
          <w:szCs w:val="24"/>
        </w:rPr>
        <w:t xml:space="preserve"> dhe </w:t>
      </w:r>
      <w:proofErr w:type="spellStart"/>
      <w:r w:rsidRPr="00642C26">
        <w:rPr>
          <w:rFonts w:ascii="Garamond" w:eastAsia="Times New Roman" w:hAnsi="Garamond" w:cs="Times New Roman"/>
          <w:sz w:val="24"/>
          <w:szCs w:val="24"/>
        </w:rPr>
        <w:t>AECH</w:t>
      </w:r>
      <w:proofErr w:type="spellEnd"/>
      <w:r w:rsidRPr="00642C26">
        <w:rPr>
          <w:rFonts w:ascii="Garamond" w:eastAsia="Times New Roman" w:hAnsi="Garamond" w:cs="Times New Roman"/>
          <w:sz w:val="24"/>
          <w:szCs w:val="24"/>
        </w:rPr>
        <w:t>) sipas parimeve mbikëqyrëse të Bankës Qendrore E</w:t>
      </w:r>
      <w:r w:rsidR="0085560C">
        <w:rPr>
          <w:rFonts w:ascii="Garamond" w:eastAsia="Times New Roman" w:hAnsi="Garamond" w:cs="Times New Roman"/>
          <w:sz w:val="24"/>
          <w:szCs w:val="24"/>
        </w:rPr>
        <w:t>v</w:t>
      </w:r>
      <w:bookmarkStart w:id="0" w:name="_GoBack"/>
      <w:bookmarkEnd w:id="0"/>
      <w:r w:rsidRPr="00642C26">
        <w:rPr>
          <w:rFonts w:ascii="Garamond" w:eastAsia="Times New Roman" w:hAnsi="Garamond" w:cs="Times New Roman"/>
          <w:sz w:val="24"/>
          <w:szCs w:val="24"/>
        </w:rPr>
        <w:t xml:space="preserve">ropiane, si dhe zhvillimin e mëtejshëm të tyre nëpërmjet fillimit të </w:t>
      </w:r>
      <w:r w:rsidRPr="00642C26">
        <w:rPr>
          <w:rFonts w:ascii="Garamond" w:eastAsia="Times New Roman" w:hAnsi="Garamond" w:cs="Times New Roman"/>
          <w:sz w:val="24"/>
          <w:szCs w:val="24"/>
        </w:rPr>
        <w:lastRenderedPageBreak/>
        <w:t xml:space="preserve">funksionimit të sistemit </w:t>
      </w:r>
      <w:proofErr w:type="spellStart"/>
      <w:r w:rsidRPr="00642C26">
        <w:rPr>
          <w:rFonts w:ascii="Garamond" w:eastAsia="Times New Roman" w:hAnsi="Garamond" w:cs="Times New Roman"/>
          <w:sz w:val="24"/>
          <w:szCs w:val="24"/>
        </w:rPr>
        <w:t>AIPS</w:t>
      </w:r>
      <w:proofErr w:type="spellEnd"/>
      <w:r w:rsidRPr="00642C26">
        <w:rPr>
          <w:rFonts w:ascii="Garamond" w:eastAsia="Times New Roman" w:hAnsi="Garamond" w:cs="Times New Roman"/>
          <w:sz w:val="24"/>
          <w:szCs w:val="24"/>
        </w:rPr>
        <w:t xml:space="preserve"> </w:t>
      </w:r>
      <w:r w:rsidR="00B6644C">
        <w:rPr>
          <w:rFonts w:ascii="Garamond" w:eastAsia="Times New Roman" w:hAnsi="Garamond" w:cs="Times New Roman"/>
          <w:sz w:val="24"/>
          <w:szCs w:val="24"/>
        </w:rPr>
        <w:t>e</w:t>
      </w:r>
      <w:r w:rsidRPr="00642C26">
        <w:rPr>
          <w:rFonts w:ascii="Garamond" w:eastAsia="Times New Roman" w:hAnsi="Garamond" w:cs="Times New Roman"/>
          <w:sz w:val="24"/>
          <w:szCs w:val="24"/>
        </w:rPr>
        <w:t xml:space="preserve">uro, i cili siguron kryerjen e pagesave ndërkombëtare në euro brenda vendit për klientët e bankave, duke shmangur bankat korrespondente. </w:t>
      </w:r>
    </w:p>
    <w:p w14:paraId="68DF8BC0"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Rritjen e përdorimit të instrumenteve elektronike të pagesave nxitur nga masat e Bankës së Shqipërisë dhe politikat e bankave për promovimin e tyre, ku rezulton një rritje e vazhdueshme e pagesave me karta, pagesave me para elektronike, si dhe pagesave </w:t>
      </w:r>
      <w:proofErr w:type="spellStart"/>
      <w:r w:rsidRPr="00642C26">
        <w:rPr>
          <w:rFonts w:ascii="Garamond" w:eastAsia="Times New Roman" w:hAnsi="Garamond" w:cs="Times New Roman"/>
          <w:i/>
          <w:sz w:val="24"/>
          <w:szCs w:val="24"/>
        </w:rPr>
        <w:t>home</w:t>
      </w:r>
      <w:proofErr w:type="spellEnd"/>
      <w:r w:rsidRPr="00642C26">
        <w:rPr>
          <w:rFonts w:ascii="Garamond" w:eastAsia="Times New Roman" w:hAnsi="Garamond" w:cs="Times New Roman"/>
          <w:i/>
          <w:sz w:val="24"/>
          <w:szCs w:val="24"/>
        </w:rPr>
        <w:t xml:space="preserve"> </w:t>
      </w:r>
      <w:proofErr w:type="spellStart"/>
      <w:r w:rsidRPr="00642C26">
        <w:rPr>
          <w:rFonts w:ascii="Garamond" w:eastAsia="Times New Roman" w:hAnsi="Garamond" w:cs="Times New Roman"/>
          <w:i/>
          <w:sz w:val="24"/>
          <w:szCs w:val="24"/>
        </w:rPr>
        <w:t>banking</w:t>
      </w:r>
      <w:proofErr w:type="spellEnd"/>
      <w:r w:rsidRPr="00642C26">
        <w:rPr>
          <w:rFonts w:ascii="Garamond" w:eastAsia="Times New Roman" w:hAnsi="Garamond" w:cs="Times New Roman"/>
          <w:sz w:val="24"/>
          <w:szCs w:val="24"/>
        </w:rPr>
        <w:t>. Numri i pagesave në total për vitin 2022 u rrit me 18.1%, duke kapur nivelin prej rreth 33.7 milionë pagesash, ndërsa vlera në total e pagesave rezultoi 5,767 miliardë lekë, me një rritje prej 9.0% nga një vit më parë. Gjithashtu, rritje ka pasur dhe për sa i takon numrit të institucioneve të parasë elektronike, ku për vitin 2022 kanë operuar 9 institucione të tilla nga 7 që ishin në vitin 2021, të cilat kanë kryer një volum prej 10.2 milionë pagesash me vlerë 45.4 miliardë lekësh.</w:t>
      </w:r>
    </w:p>
    <w:p w14:paraId="58FB234D"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Akomodimin e kërkesës për </w:t>
      </w:r>
      <w:proofErr w:type="spellStart"/>
      <w:r w:rsidRPr="00BC3F2D">
        <w:rPr>
          <w:rFonts w:ascii="Garamond" w:eastAsia="Times New Roman" w:hAnsi="Garamond" w:cs="Times New Roman"/>
          <w:i/>
          <w:sz w:val="24"/>
          <w:szCs w:val="24"/>
        </w:rPr>
        <w:t>cash</w:t>
      </w:r>
      <w:proofErr w:type="spellEnd"/>
      <w:r w:rsidRPr="00642C26">
        <w:rPr>
          <w:rFonts w:ascii="Garamond" w:eastAsia="Times New Roman" w:hAnsi="Garamond" w:cs="Times New Roman"/>
          <w:sz w:val="24"/>
          <w:szCs w:val="24"/>
        </w:rPr>
        <w:t xml:space="preserve"> në ekonomi, si dhe përfundimin e emetimit të plotë të serisë së re të kartëmonedhave. Në fund të vitit 2022 rezultuan rreth 161 milionë copë kartëmonedha në qarkullim, me vlerë 394.7 miliardë lekë, me një rritje prej 4.9% në krahasim me vitin 2021.  </w:t>
      </w:r>
    </w:p>
    <w:p w14:paraId="35862155" w14:textId="30C66B58"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Harmonizimin e statistikave me </w:t>
      </w:r>
      <w:proofErr w:type="spellStart"/>
      <w:r w:rsidRPr="00642C26">
        <w:rPr>
          <w:rFonts w:ascii="Garamond" w:eastAsia="Times New Roman" w:hAnsi="Garamond" w:cs="Times New Roman"/>
          <w:i/>
          <w:sz w:val="24"/>
          <w:szCs w:val="24"/>
        </w:rPr>
        <w:t>acquis</w:t>
      </w:r>
      <w:proofErr w:type="spellEnd"/>
      <w:r w:rsidRPr="00642C26">
        <w:rPr>
          <w:rFonts w:ascii="Garamond" w:eastAsia="Times New Roman" w:hAnsi="Garamond" w:cs="Times New Roman"/>
          <w:i/>
          <w:sz w:val="24"/>
          <w:szCs w:val="24"/>
        </w:rPr>
        <w:t xml:space="preserve"> </w:t>
      </w:r>
      <w:proofErr w:type="spellStart"/>
      <w:r w:rsidRPr="00642C26">
        <w:rPr>
          <w:rFonts w:ascii="Garamond" w:eastAsia="Times New Roman" w:hAnsi="Garamond" w:cs="Times New Roman"/>
          <w:i/>
          <w:sz w:val="24"/>
          <w:szCs w:val="24"/>
        </w:rPr>
        <w:t>communitare</w:t>
      </w:r>
      <w:proofErr w:type="spellEnd"/>
      <w:r w:rsidRPr="00642C26">
        <w:rPr>
          <w:rFonts w:ascii="Garamond" w:eastAsia="Times New Roman" w:hAnsi="Garamond" w:cs="Times New Roman"/>
          <w:sz w:val="24"/>
          <w:szCs w:val="24"/>
        </w:rPr>
        <w:t xml:space="preserve">, ku veçohen hartimi i statistikave përfshirë bilancet e sektorit të subjekteve të tjera financiare jo banka dhe raportimi i llogarive financiare sipas standardeve pranë </w:t>
      </w:r>
      <w:proofErr w:type="spellStart"/>
      <w:r w:rsidRPr="00642C26">
        <w:rPr>
          <w:rFonts w:ascii="Garamond" w:eastAsia="Times New Roman" w:hAnsi="Garamond" w:cs="Times New Roman"/>
          <w:sz w:val="24"/>
          <w:szCs w:val="24"/>
        </w:rPr>
        <w:t>Eurostat</w:t>
      </w:r>
      <w:proofErr w:type="spellEnd"/>
      <w:r w:rsidRPr="00642C26">
        <w:rPr>
          <w:rFonts w:ascii="Garamond" w:eastAsia="Times New Roman" w:hAnsi="Garamond" w:cs="Times New Roman"/>
          <w:sz w:val="24"/>
          <w:szCs w:val="24"/>
        </w:rPr>
        <w:t xml:space="preserve">.  </w:t>
      </w:r>
    </w:p>
    <w:p w14:paraId="49BFA4C6"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Intensifikimin e punës kërkimore në mbështetje të vendimmarrjes dhe rritjes së transparencës, me fokus analizat e skenarëve të ndryshëm që vlerësojnë aftësinë e ekonomisë shqiptare në kushtet e krizave dhe sfidat që paraqesin ndryshimet klimatike në stabilitetin bankar.</w:t>
      </w:r>
    </w:p>
    <w:p w14:paraId="582129CD"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Edukimin dhe komunikimin e vazhdueshëm me publikun përmes botimeve të rregullta për politikën monetare, stabilitetin financiar dhe mbikëqyrjen bankare, si dhe përmbushjen e detyrimit për të ofruar transparencë në lidhje me veprimtarinë e Bankës.</w:t>
      </w:r>
    </w:p>
    <w:p w14:paraId="4A43139D" w14:textId="5C571A15" w:rsidR="001106F0" w:rsidRPr="00642C26" w:rsidRDefault="001106F0" w:rsidP="001106F0">
      <w:pPr>
        <w:spacing w:after="0" w:line="240" w:lineRule="auto"/>
        <w:ind w:firstLine="284"/>
        <w:jc w:val="both"/>
        <w:rPr>
          <w:rFonts w:ascii="Garamond" w:eastAsia="Times New Roman" w:hAnsi="Garamond" w:cs="Times New Roman"/>
          <w:b/>
          <w:sz w:val="24"/>
          <w:szCs w:val="24"/>
        </w:rPr>
      </w:pPr>
      <w:r w:rsidRPr="00642C26">
        <w:rPr>
          <w:rFonts w:ascii="Garamond" w:eastAsia="Times New Roman" w:hAnsi="Garamond" w:cs="Times New Roman"/>
          <w:b/>
          <w:sz w:val="24"/>
          <w:szCs w:val="24"/>
        </w:rPr>
        <w:t xml:space="preserve">Kuvendi kërkon që Banka e Shqipërisë për vitin 2023 të angazhohet në këto drejtime: </w:t>
      </w:r>
    </w:p>
    <w:p w14:paraId="39AFBE27"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Të monitorojë në vazhdimësi të gjitha zhvillimet e brendshme dhe të jashtme të ekonomisë, si dhe të kujdeset të formulojë një politikë monetare, e cila të mundësojë kthimin e inflacionit në objektiv, me sa më pak kosto mbi rritjen afatgjatë të ekonomisë.</w:t>
      </w:r>
    </w:p>
    <w:p w14:paraId="261EAFD7"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Të analizojë me prioritet zhvillimet në tregun e pasurive të paluajtshme, si dhe të monitorojë me kujdes ekspozimin e sektorit bankar ndaj këtij tregu, duke përmirësuar kuadrin e monitorimit dhe administrimit të rreziqeve në këtë drejtim, si dhe zhvillimin e instrumenteve të nevojshme për të adresuar çdo </w:t>
      </w:r>
      <w:proofErr w:type="spellStart"/>
      <w:r w:rsidRPr="00642C26">
        <w:rPr>
          <w:rFonts w:ascii="Garamond" w:eastAsia="Times New Roman" w:hAnsi="Garamond" w:cs="Times New Roman"/>
          <w:sz w:val="24"/>
          <w:szCs w:val="24"/>
        </w:rPr>
        <w:t>kontigjencë</w:t>
      </w:r>
      <w:proofErr w:type="spellEnd"/>
      <w:r w:rsidRPr="00642C26">
        <w:rPr>
          <w:rFonts w:ascii="Garamond" w:eastAsia="Times New Roman" w:hAnsi="Garamond" w:cs="Times New Roman"/>
          <w:sz w:val="24"/>
          <w:szCs w:val="24"/>
        </w:rPr>
        <w:t xml:space="preserve"> të mundshme.</w:t>
      </w:r>
    </w:p>
    <w:p w14:paraId="024CA480" w14:textId="60AC9BD1"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Të standardizohet dhe përmirësohet, në linjë me praktikat më të mira e</w:t>
      </w:r>
      <w:r w:rsidR="00BC3F2D">
        <w:rPr>
          <w:rFonts w:ascii="Garamond" w:eastAsia="Times New Roman" w:hAnsi="Garamond" w:cs="Times New Roman"/>
          <w:sz w:val="24"/>
          <w:szCs w:val="24"/>
        </w:rPr>
        <w:t>v</w:t>
      </w:r>
      <w:r w:rsidRPr="00642C26">
        <w:rPr>
          <w:rFonts w:ascii="Garamond" w:eastAsia="Times New Roman" w:hAnsi="Garamond" w:cs="Times New Roman"/>
          <w:sz w:val="24"/>
          <w:szCs w:val="24"/>
        </w:rPr>
        <w:t>ropiane, procesi i administrimit të kredive me probleme, i cili, siç theksohet edhe nga institucionet ndërkombëtare, është ekspozuar ndaj zhvillimeve të pafavorshme ekonomike ndërkombëtare.</w:t>
      </w:r>
    </w:p>
    <w:p w14:paraId="514F6A5C"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Të fokusohet në zbatimin e mësimeve të nxjerra nga përballja me pandeminë, analizën e implikimeve të inovacionit të tregjeve dhe produkteve financiare, si dhe monitorimin e rreziqeve klimatike në mjedisin ekonomik e financiar.</w:t>
      </w:r>
    </w:p>
    <w:p w14:paraId="6EB03D8A"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Të përmirësojë proceset e zbatimit të politikës </w:t>
      </w:r>
      <w:proofErr w:type="spellStart"/>
      <w:r w:rsidRPr="00642C26">
        <w:rPr>
          <w:rFonts w:ascii="Garamond" w:eastAsia="Times New Roman" w:hAnsi="Garamond" w:cs="Times New Roman"/>
          <w:sz w:val="24"/>
          <w:szCs w:val="24"/>
        </w:rPr>
        <w:t>makroprudenciale</w:t>
      </w:r>
      <w:proofErr w:type="spellEnd"/>
      <w:r w:rsidRPr="00642C26">
        <w:rPr>
          <w:rFonts w:ascii="Garamond" w:eastAsia="Times New Roman" w:hAnsi="Garamond" w:cs="Times New Roman"/>
          <w:sz w:val="24"/>
          <w:szCs w:val="24"/>
        </w:rPr>
        <w:t xml:space="preserve"> me fokus pasurimin e instrumenteve </w:t>
      </w:r>
      <w:proofErr w:type="spellStart"/>
      <w:r w:rsidRPr="00642C26">
        <w:rPr>
          <w:rFonts w:ascii="Garamond" w:eastAsia="Times New Roman" w:hAnsi="Garamond" w:cs="Times New Roman"/>
          <w:sz w:val="24"/>
          <w:szCs w:val="24"/>
        </w:rPr>
        <w:t>makroprudenciale</w:t>
      </w:r>
      <w:proofErr w:type="spellEnd"/>
      <w:r w:rsidRPr="00642C26">
        <w:rPr>
          <w:rFonts w:ascii="Garamond" w:eastAsia="Times New Roman" w:hAnsi="Garamond" w:cs="Times New Roman"/>
          <w:sz w:val="24"/>
          <w:szCs w:val="24"/>
        </w:rPr>
        <w:t xml:space="preserve">, që synojnë rreziqet </w:t>
      </w:r>
      <w:proofErr w:type="spellStart"/>
      <w:r w:rsidRPr="00642C26">
        <w:rPr>
          <w:rFonts w:ascii="Garamond" w:eastAsia="Times New Roman" w:hAnsi="Garamond" w:cs="Times New Roman"/>
          <w:sz w:val="24"/>
          <w:szCs w:val="24"/>
        </w:rPr>
        <w:t>sistemike</w:t>
      </w:r>
      <w:proofErr w:type="spellEnd"/>
      <w:r w:rsidRPr="00642C26">
        <w:rPr>
          <w:rFonts w:ascii="Garamond" w:eastAsia="Times New Roman" w:hAnsi="Garamond" w:cs="Times New Roman"/>
          <w:sz w:val="24"/>
          <w:szCs w:val="24"/>
        </w:rPr>
        <w:t xml:space="preserve"> strukturore dhe plotësimin e kuadrit rregullator mbi kërkesat që duhet të plotësojë sektori bankar për sigurimin e një mbrojtje të përshtatshme kibernetike.</w:t>
      </w:r>
    </w:p>
    <w:p w14:paraId="7A35BA1C"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Të fokusohet në zbatimin e risive </w:t>
      </w:r>
      <w:proofErr w:type="spellStart"/>
      <w:r w:rsidRPr="00642C26">
        <w:rPr>
          <w:rFonts w:ascii="Garamond" w:eastAsia="Times New Roman" w:hAnsi="Garamond" w:cs="Times New Roman"/>
          <w:sz w:val="24"/>
          <w:szCs w:val="24"/>
        </w:rPr>
        <w:t>rregullative</w:t>
      </w:r>
      <w:proofErr w:type="spellEnd"/>
      <w:r w:rsidRPr="00642C26">
        <w:rPr>
          <w:rFonts w:ascii="Garamond" w:eastAsia="Times New Roman" w:hAnsi="Garamond" w:cs="Times New Roman"/>
          <w:sz w:val="24"/>
          <w:szCs w:val="24"/>
        </w:rPr>
        <w:t xml:space="preserve"> dhe infrastrukturore të ndërmarra të sistemit të pagesave, siç janë nxitja e përdorimit të skemës së debitimit direkt nga publiku i gjerë dhe mbështetja e pjesëmarrjes së aktorëve të rinj.</w:t>
      </w:r>
    </w:p>
    <w:p w14:paraId="7A31C26C"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Të bashkërendojë përpjekjet për nxitjen e përdorimit të instrumenteve sa më efikase dhe me kosto të ulët me qëllimin reduktimin e përdorimit të parasë fizike në ekonominë shqiptare.</w:t>
      </w:r>
    </w:p>
    <w:p w14:paraId="61FCABFC" w14:textId="3638058F"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 xml:space="preserve">Të rrisë bashkëpunimin me bankat, </w:t>
      </w:r>
      <w:proofErr w:type="spellStart"/>
      <w:r w:rsidRPr="00642C26">
        <w:rPr>
          <w:rFonts w:ascii="Garamond" w:eastAsia="Times New Roman" w:hAnsi="Garamond" w:cs="Times New Roman"/>
          <w:sz w:val="24"/>
          <w:szCs w:val="24"/>
        </w:rPr>
        <w:t>ACESK</w:t>
      </w:r>
      <w:proofErr w:type="spellEnd"/>
      <w:r w:rsidRPr="00642C26">
        <w:rPr>
          <w:rFonts w:ascii="Garamond" w:eastAsia="Times New Roman" w:hAnsi="Garamond" w:cs="Times New Roman"/>
          <w:sz w:val="24"/>
          <w:szCs w:val="24"/>
        </w:rPr>
        <w:t xml:space="preserve">-un dhe palët e treta mbështetëse për sistemet e sigurisë dhe informacionit, duke maksimizuar </w:t>
      </w:r>
      <w:proofErr w:type="spellStart"/>
      <w:r w:rsidRPr="00642C26">
        <w:rPr>
          <w:rFonts w:ascii="Garamond" w:eastAsia="Times New Roman" w:hAnsi="Garamond" w:cs="Times New Roman"/>
          <w:sz w:val="24"/>
          <w:szCs w:val="24"/>
        </w:rPr>
        <w:t>sinergjitë</w:t>
      </w:r>
      <w:proofErr w:type="spellEnd"/>
      <w:r w:rsidRPr="00642C26">
        <w:rPr>
          <w:rFonts w:ascii="Garamond" w:eastAsia="Times New Roman" w:hAnsi="Garamond" w:cs="Times New Roman"/>
          <w:sz w:val="24"/>
          <w:szCs w:val="24"/>
        </w:rPr>
        <w:t xml:space="preserve"> mbi rritjen e kontrolleve të sigurisë kibernetike, indikatorëve të komprometimit etj.</w:t>
      </w:r>
    </w:p>
    <w:p w14:paraId="355EBB0A" w14:textId="77777777" w:rsidR="001106F0" w:rsidRPr="00642C26" w:rsidRDefault="001106F0" w:rsidP="001106F0">
      <w:pPr>
        <w:spacing w:after="0" w:line="240" w:lineRule="auto"/>
        <w:ind w:firstLine="284"/>
        <w:jc w:val="both"/>
        <w:rPr>
          <w:rFonts w:ascii="Garamond" w:eastAsia="Times New Roman" w:hAnsi="Garamond" w:cs="Times New Roman"/>
          <w:sz w:val="24"/>
          <w:szCs w:val="24"/>
        </w:rPr>
      </w:pPr>
      <w:r w:rsidRPr="00642C26">
        <w:rPr>
          <w:rFonts w:ascii="Garamond" w:eastAsia="Times New Roman" w:hAnsi="Garamond" w:cs="Times New Roman"/>
          <w:sz w:val="24"/>
          <w:szCs w:val="24"/>
        </w:rPr>
        <w:t>Të intensifikojë bashkëpunimin dhe shkëmbimin e informacionit me autoritetet e tjera mbikëqyrëse të tregut financiar, duke u përqendruar në kryerjen e ekzaminimeve të përbashkëta në subjektet e mbikëqyrura.</w:t>
      </w:r>
    </w:p>
    <w:p w14:paraId="0E3A35F8" w14:textId="77777777" w:rsidR="001106F0" w:rsidRPr="00642C26" w:rsidRDefault="001106F0" w:rsidP="001106F0">
      <w:pPr>
        <w:spacing w:after="0" w:line="240" w:lineRule="auto"/>
        <w:ind w:firstLine="284"/>
        <w:jc w:val="both"/>
        <w:rPr>
          <w:rFonts w:ascii="Garamond" w:eastAsia="Times New Roman" w:hAnsi="Garamond" w:cs="Times New Roman"/>
          <w:b/>
          <w:sz w:val="24"/>
          <w:szCs w:val="24"/>
        </w:rPr>
      </w:pPr>
    </w:p>
    <w:p w14:paraId="6A351B92" w14:textId="77777777" w:rsidR="001106F0" w:rsidRPr="00642C26" w:rsidRDefault="001106F0" w:rsidP="001106F0">
      <w:pPr>
        <w:spacing w:after="0" w:line="240" w:lineRule="auto"/>
        <w:ind w:firstLine="284"/>
        <w:jc w:val="right"/>
        <w:rPr>
          <w:rFonts w:ascii="Garamond" w:eastAsia="Times New Roman" w:hAnsi="Garamond" w:cs="Times New Roman"/>
          <w:color w:val="000000" w:themeColor="text1"/>
          <w:sz w:val="24"/>
        </w:rPr>
      </w:pPr>
      <w:r w:rsidRPr="00642C26">
        <w:rPr>
          <w:rFonts w:ascii="Garamond" w:eastAsia="Times New Roman" w:hAnsi="Garamond" w:cs="Times New Roman"/>
          <w:color w:val="000000" w:themeColor="text1"/>
          <w:sz w:val="24"/>
        </w:rPr>
        <w:t>KRYETARE</w:t>
      </w:r>
    </w:p>
    <w:p w14:paraId="126F9DE3" w14:textId="77777777" w:rsidR="001106F0" w:rsidRPr="00642C26" w:rsidRDefault="001106F0" w:rsidP="001106F0">
      <w:pPr>
        <w:spacing w:after="0" w:line="240" w:lineRule="auto"/>
        <w:ind w:firstLine="284"/>
        <w:jc w:val="right"/>
        <w:rPr>
          <w:rFonts w:ascii="Garamond" w:eastAsia="Times New Roman" w:hAnsi="Garamond" w:cs="Times New Roman"/>
          <w:b/>
          <w:color w:val="000000" w:themeColor="text1"/>
          <w:sz w:val="24"/>
        </w:rPr>
      </w:pPr>
      <w:r w:rsidRPr="00642C26">
        <w:rPr>
          <w:rFonts w:ascii="Garamond" w:eastAsia="Times New Roman" w:hAnsi="Garamond" w:cs="Times New Roman"/>
          <w:b/>
          <w:color w:val="000000" w:themeColor="text1"/>
          <w:sz w:val="24"/>
        </w:rPr>
        <w:t xml:space="preserve">Lindita </w:t>
      </w:r>
      <w:proofErr w:type="spellStart"/>
      <w:r w:rsidRPr="00642C26">
        <w:rPr>
          <w:rFonts w:ascii="Garamond" w:eastAsia="Times New Roman" w:hAnsi="Garamond" w:cs="Times New Roman"/>
          <w:b/>
          <w:color w:val="000000" w:themeColor="text1"/>
          <w:sz w:val="24"/>
        </w:rPr>
        <w:t>Nikolla</w:t>
      </w:r>
      <w:proofErr w:type="spellEnd"/>
    </w:p>
    <w:p w14:paraId="6C2E9B98" w14:textId="77777777" w:rsidR="001106F0" w:rsidRPr="00642C26" w:rsidRDefault="001106F0" w:rsidP="001106F0">
      <w:pPr>
        <w:spacing w:after="0" w:line="240" w:lineRule="auto"/>
        <w:ind w:firstLine="284"/>
        <w:jc w:val="both"/>
        <w:rPr>
          <w:rFonts w:ascii="Garamond" w:eastAsia="Times New Roman" w:hAnsi="Garamond" w:cs="Times New Roman"/>
          <w:b/>
          <w:sz w:val="24"/>
          <w:szCs w:val="24"/>
        </w:rPr>
      </w:pPr>
    </w:p>
    <w:p w14:paraId="221649EC" w14:textId="5061BEEA" w:rsidR="001106F0" w:rsidRPr="00642C26" w:rsidRDefault="001106F0" w:rsidP="001106F0">
      <w:pPr>
        <w:spacing w:after="0" w:line="240" w:lineRule="auto"/>
        <w:ind w:firstLine="284"/>
        <w:jc w:val="both"/>
        <w:rPr>
          <w:rFonts w:ascii="Garamond" w:eastAsia="Times New Roman" w:hAnsi="Garamond" w:cs="Times New Roman"/>
          <w:sz w:val="20"/>
          <w:szCs w:val="20"/>
        </w:rPr>
      </w:pPr>
      <w:r w:rsidRPr="00642C26">
        <w:rPr>
          <w:rFonts w:ascii="Garamond" w:hAnsi="Garamond" w:cs="Times New Roman"/>
          <w:sz w:val="24"/>
          <w:szCs w:val="24"/>
        </w:rPr>
        <w:t xml:space="preserve">Miratuar </w:t>
      </w:r>
      <w:r w:rsidR="005C504E">
        <w:rPr>
          <w:rFonts w:ascii="Garamond" w:hAnsi="Garamond" w:cs="Times New Roman"/>
          <w:sz w:val="24"/>
          <w:szCs w:val="24"/>
        </w:rPr>
        <w:t>m</w:t>
      </w:r>
      <w:r w:rsidRPr="00642C26">
        <w:rPr>
          <w:rFonts w:ascii="Garamond" w:hAnsi="Garamond" w:cs="Times New Roman"/>
          <w:sz w:val="24"/>
          <w:szCs w:val="24"/>
        </w:rPr>
        <w:t>ë datë 6.7.2023</w:t>
      </w:r>
      <w:r w:rsidR="005C504E">
        <w:rPr>
          <w:rFonts w:ascii="Garamond" w:hAnsi="Garamond" w:cs="Times New Roman"/>
          <w:sz w:val="24"/>
          <w:szCs w:val="24"/>
        </w:rPr>
        <w:t>.</w:t>
      </w:r>
    </w:p>
    <w:p w14:paraId="2081D79A" w14:textId="77777777" w:rsidR="001106F0" w:rsidRPr="00642C26" w:rsidRDefault="001106F0" w:rsidP="001106F0">
      <w:pPr>
        <w:spacing w:after="0" w:line="240" w:lineRule="auto"/>
        <w:ind w:firstLine="284"/>
        <w:rPr>
          <w:rFonts w:ascii="Garamond" w:eastAsia="Times New Roman" w:hAnsi="Garamond" w:cs="Times New Roman"/>
          <w:sz w:val="20"/>
          <w:szCs w:val="20"/>
        </w:rPr>
      </w:pPr>
    </w:p>
    <w:p w14:paraId="2BBA2B42" w14:textId="74E66577" w:rsidR="007A744F" w:rsidRPr="001106F0" w:rsidRDefault="007A744F" w:rsidP="001106F0"/>
    <w:sectPr w:rsidR="007A744F" w:rsidRPr="001106F0" w:rsidSect="00E7684C">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277984" w14:textId="77777777" w:rsidR="00BC3F2D" w:rsidRDefault="00BC3F2D" w:rsidP="00C86383">
      <w:pPr>
        <w:spacing w:after="0" w:line="240" w:lineRule="auto"/>
      </w:pPr>
      <w:r>
        <w:separator/>
      </w:r>
    </w:p>
  </w:endnote>
  <w:endnote w:type="continuationSeparator" w:id="0">
    <w:p w14:paraId="503B2D82" w14:textId="77777777" w:rsidR="00BC3F2D" w:rsidRDefault="00BC3F2D" w:rsidP="00C86383">
      <w:pPr>
        <w:spacing w:after="0" w:line="240" w:lineRule="auto"/>
      </w:pPr>
      <w:r>
        <w:continuationSeparator/>
      </w:r>
    </w:p>
  </w:endnote>
  <w:endnote w:type="continuationNotice" w:id="1">
    <w:p w14:paraId="0343FD8D" w14:textId="77777777" w:rsidR="00BC3F2D" w:rsidRDefault="00BC3F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204F4B" w14:textId="77777777" w:rsidR="00BC3F2D" w:rsidRDefault="00BC3F2D" w:rsidP="00C86383">
      <w:pPr>
        <w:spacing w:after="0" w:line="240" w:lineRule="auto"/>
      </w:pPr>
      <w:r>
        <w:separator/>
      </w:r>
    </w:p>
  </w:footnote>
  <w:footnote w:type="continuationSeparator" w:id="0">
    <w:p w14:paraId="4E605573" w14:textId="77777777" w:rsidR="00BC3F2D" w:rsidRDefault="00BC3F2D" w:rsidP="00C86383">
      <w:pPr>
        <w:spacing w:after="0" w:line="240" w:lineRule="auto"/>
      </w:pPr>
      <w:r>
        <w:continuationSeparator/>
      </w:r>
    </w:p>
  </w:footnote>
  <w:footnote w:type="continuationNotice" w:id="1">
    <w:p w14:paraId="02F23647" w14:textId="77777777" w:rsidR="00BC3F2D" w:rsidRDefault="00BC3F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5DB"/>
    <w:rsid w:val="00005C6F"/>
    <w:rsid w:val="00007948"/>
    <w:rsid w:val="0001371B"/>
    <w:rsid w:val="00013FC1"/>
    <w:rsid w:val="0001705C"/>
    <w:rsid w:val="00017F55"/>
    <w:rsid w:val="00020115"/>
    <w:rsid w:val="000224FD"/>
    <w:rsid w:val="000225F5"/>
    <w:rsid w:val="00022B06"/>
    <w:rsid w:val="000278AC"/>
    <w:rsid w:val="00027E1F"/>
    <w:rsid w:val="00032ACF"/>
    <w:rsid w:val="00044096"/>
    <w:rsid w:val="00044C1F"/>
    <w:rsid w:val="00051513"/>
    <w:rsid w:val="0005725B"/>
    <w:rsid w:val="00060BCC"/>
    <w:rsid w:val="00062B6C"/>
    <w:rsid w:val="00062F7F"/>
    <w:rsid w:val="0007298B"/>
    <w:rsid w:val="0007502D"/>
    <w:rsid w:val="00082B98"/>
    <w:rsid w:val="00091EE7"/>
    <w:rsid w:val="000A08B2"/>
    <w:rsid w:val="000A0B41"/>
    <w:rsid w:val="000C0CFC"/>
    <w:rsid w:val="000C1BC4"/>
    <w:rsid w:val="000C7182"/>
    <w:rsid w:val="000D0CF5"/>
    <w:rsid w:val="000D1518"/>
    <w:rsid w:val="000D476A"/>
    <w:rsid w:val="000D6847"/>
    <w:rsid w:val="000E127F"/>
    <w:rsid w:val="000E3E8D"/>
    <w:rsid w:val="000E4797"/>
    <w:rsid w:val="000E5355"/>
    <w:rsid w:val="000F121E"/>
    <w:rsid w:val="000F417A"/>
    <w:rsid w:val="0010178D"/>
    <w:rsid w:val="001049FD"/>
    <w:rsid w:val="001106F0"/>
    <w:rsid w:val="001113F8"/>
    <w:rsid w:val="001156F1"/>
    <w:rsid w:val="00121DB5"/>
    <w:rsid w:val="00125D8E"/>
    <w:rsid w:val="001315C1"/>
    <w:rsid w:val="001325AF"/>
    <w:rsid w:val="00132AD7"/>
    <w:rsid w:val="001336E2"/>
    <w:rsid w:val="001356DB"/>
    <w:rsid w:val="001424BF"/>
    <w:rsid w:val="001432F5"/>
    <w:rsid w:val="00143A0C"/>
    <w:rsid w:val="001501FF"/>
    <w:rsid w:val="0016140E"/>
    <w:rsid w:val="00162EC4"/>
    <w:rsid w:val="00176BBD"/>
    <w:rsid w:val="0018119B"/>
    <w:rsid w:val="00181B37"/>
    <w:rsid w:val="00184409"/>
    <w:rsid w:val="001858C3"/>
    <w:rsid w:val="001912D3"/>
    <w:rsid w:val="00191634"/>
    <w:rsid w:val="001A79AF"/>
    <w:rsid w:val="001B134B"/>
    <w:rsid w:val="001B6D41"/>
    <w:rsid w:val="001B7CF3"/>
    <w:rsid w:val="001C1147"/>
    <w:rsid w:val="001D781D"/>
    <w:rsid w:val="001E2085"/>
    <w:rsid w:val="001E3C36"/>
    <w:rsid w:val="001E63B2"/>
    <w:rsid w:val="001F4CD5"/>
    <w:rsid w:val="00202011"/>
    <w:rsid w:val="0020553B"/>
    <w:rsid w:val="002063FE"/>
    <w:rsid w:val="002129CF"/>
    <w:rsid w:val="00215C02"/>
    <w:rsid w:val="002176D7"/>
    <w:rsid w:val="00223BB0"/>
    <w:rsid w:val="0022618D"/>
    <w:rsid w:val="002359AF"/>
    <w:rsid w:val="00237CB2"/>
    <w:rsid w:val="00240E91"/>
    <w:rsid w:val="00244B19"/>
    <w:rsid w:val="002456F5"/>
    <w:rsid w:val="00254382"/>
    <w:rsid w:val="00262C8A"/>
    <w:rsid w:val="00266214"/>
    <w:rsid w:val="00283031"/>
    <w:rsid w:val="00286E87"/>
    <w:rsid w:val="0029415F"/>
    <w:rsid w:val="002A1841"/>
    <w:rsid w:val="002A4484"/>
    <w:rsid w:val="002B2319"/>
    <w:rsid w:val="002B38EC"/>
    <w:rsid w:val="002B42ED"/>
    <w:rsid w:val="002B6674"/>
    <w:rsid w:val="002C0BF7"/>
    <w:rsid w:val="002D28BD"/>
    <w:rsid w:val="002D47BF"/>
    <w:rsid w:val="002D6F17"/>
    <w:rsid w:val="002E049D"/>
    <w:rsid w:val="002E3E9A"/>
    <w:rsid w:val="002E57A2"/>
    <w:rsid w:val="002F1E84"/>
    <w:rsid w:val="002F495E"/>
    <w:rsid w:val="002F56DF"/>
    <w:rsid w:val="00310428"/>
    <w:rsid w:val="00312A26"/>
    <w:rsid w:val="00321277"/>
    <w:rsid w:val="00323548"/>
    <w:rsid w:val="00327E49"/>
    <w:rsid w:val="003305FA"/>
    <w:rsid w:val="0033383F"/>
    <w:rsid w:val="003345F5"/>
    <w:rsid w:val="00343599"/>
    <w:rsid w:val="00343D14"/>
    <w:rsid w:val="0034558C"/>
    <w:rsid w:val="00351908"/>
    <w:rsid w:val="003556E0"/>
    <w:rsid w:val="003557DA"/>
    <w:rsid w:val="00373D67"/>
    <w:rsid w:val="003802C5"/>
    <w:rsid w:val="00380CE5"/>
    <w:rsid w:val="00384791"/>
    <w:rsid w:val="00384A0F"/>
    <w:rsid w:val="003918EF"/>
    <w:rsid w:val="00391D0F"/>
    <w:rsid w:val="00393AEF"/>
    <w:rsid w:val="00393D81"/>
    <w:rsid w:val="003962DE"/>
    <w:rsid w:val="00397B89"/>
    <w:rsid w:val="003A0534"/>
    <w:rsid w:val="003A07A9"/>
    <w:rsid w:val="003A3D56"/>
    <w:rsid w:val="003C3B41"/>
    <w:rsid w:val="003C51DC"/>
    <w:rsid w:val="003D23B3"/>
    <w:rsid w:val="003D2965"/>
    <w:rsid w:val="003E08F3"/>
    <w:rsid w:val="003E193B"/>
    <w:rsid w:val="003E334D"/>
    <w:rsid w:val="003E39E2"/>
    <w:rsid w:val="003E3F68"/>
    <w:rsid w:val="003F623E"/>
    <w:rsid w:val="003F66F6"/>
    <w:rsid w:val="00402A6A"/>
    <w:rsid w:val="004215B2"/>
    <w:rsid w:val="00430EDA"/>
    <w:rsid w:val="0043625A"/>
    <w:rsid w:val="00440837"/>
    <w:rsid w:val="00441F4D"/>
    <w:rsid w:val="0045672F"/>
    <w:rsid w:val="00457EDB"/>
    <w:rsid w:val="004615DB"/>
    <w:rsid w:val="00462270"/>
    <w:rsid w:val="00463738"/>
    <w:rsid w:val="0046513F"/>
    <w:rsid w:val="00477C33"/>
    <w:rsid w:val="00480E67"/>
    <w:rsid w:val="00480EEA"/>
    <w:rsid w:val="004819A5"/>
    <w:rsid w:val="004847B6"/>
    <w:rsid w:val="00485242"/>
    <w:rsid w:val="0049616C"/>
    <w:rsid w:val="004A3A52"/>
    <w:rsid w:val="004A43C3"/>
    <w:rsid w:val="004A5109"/>
    <w:rsid w:val="004B0605"/>
    <w:rsid w:val="004B13B2"/>
    <w:rsid w:val="004B1F04"/>
    <w:rsid w:val="004B79D3"/>
    <w:rsid w:val="004C34EE"/>
    <w:rsid w:val="004C36BB"/>
    <w:rsid w:val="004C430E"/>
    <w:rsid w:val="004C4CF2"/>
    <w:rsid w:val="004D1840"/>
    <w:rsid w:val="004D18E6"/>
    <w:rsid w:val="004D508B"/>
    <w:rsid w:val="004D62AE"/>
    <w:rsid w:val="004E0456"/>
    <w:rsid w:val="004E639B"/>
    <w:rsid w:val="004E7623"/>
    <w:rsid w:val="004F08BE"/>
    <w:rsid w:val="00501097"/>
    <w:rsid w:val="00502636"/>
    <w:rsid w:val="00505558"/>
    <w:rsid w:val="00505674"/>
    <w:rsid w:val="00513A51"/>
    <w:rsid w:val="00514B00"/>
    <w:rsid w:val="00515D5E"/>
    <w:rsid w:val="00520F52"/>
    <w:rsid w:val="005228E2"/>
    <w:rsid w:val="00524B85"/>
    <w:rsid w:val="00526332"/>
    <w:rsid w:val="00533A29"/>
    <w:rsid w:val="00540968"/>
    <w:rsid w:val="00541D13"/>
    <w:rsid w:val="00544ED5"/>
    <w:rsid w:val="00545007"/>
    <w:rsid w:val="00546B87"/>
    <w:rsid w:val="00551654"/>
    <w:rsid w:val="00555F66"/>
    <w:rsid w:val="00556003"/>
    <w:rsid w:val="00566A66"/>
    <w:rsid w:val="00567336"/>
    <w:rsid w:val="00574ECD"/>
    <w:rsid w:val="0057660F"/>
    <w:rsid w:val="005949B2"/>
    <w:rsid w:val="00595D7E"/>
    <w:rsid w:val="005A4BF2"/>
    <w:rsid w:val="005A6A5B"/>
    <w:rsid w:val="005B4F54"/>
    <w:rsid w:val="005C0232"/>
    <w:rsid w:val="005C2566"/>
    <w:rsid w:val="005C275E"/>
    <w:rsid w:val="005C504E"/>
    <w:rsid w:val="005C7FD6"/>
    <w:rsid w:val="005D008B"/>
    <w:rsid w:val="005D2C27"/>
    <w:rsid w:val="005D79C0"/>
    <w:rsid w:val="005E0B16"/>
    <w:rsid w:val="005E3C64"/>
    <w:rsid w:val="005E4979"/>
    <w:rsid w:val="005F08C5"/>
    <w:rsid w:val="005F7BAE"/>
    <w:rsid w:val="00600647"/>
    <w:rsid w:val="00606A64"/>
    <w:rsid w:val="00611AFD"/>
    <w:rsid w:val="00612758"/>
    <w:rsid w:val="00630061"/>
    <w:rsid w:val="00630EA6"/>
    <w:rsid w:val="006344E9"/>
    <w:rsid w:val="00635067"/>
    <w:rsid w:val="0066462F"/>
    <w:rsid w:val="00664CC2"/>
    <w:rsid w:val="00666637"/>
    <w:rsid w:val="006672E6"/>
    <w:rsid w:val="0067489C"/>
    <w:rsid w:val="00680190"/>
    <w:rsid w:val="00686471"/>
    <w:rsid w:val="00694CD4"/>
    <w:rsid w:val="00695534"/>
    <w:rsid w:val="006A1126"/>
    <w:rsid w:val="006B27CE"/>
    <w:rsid w:val="006B790D"/>
    <w:rsid w:val="006C2AEE"/>
    <w:rsid w:val="006D3004"/>
    <w:rsid w:val="006D6CF7"/>
    <w:rsid w:val="006E5794"/>
    <w:rsid w:val="006F2FA3"/>
    <w:rsid w:val="006F5A69"/>
    <w:rsid w:val="006F72BF"/>
    <w:rsid w:val="00700DFF"/>
    <w:rsid w:val="00702A04"/>
    <w:rsid w:val="00704D02"/>
    <w:rsid w:val="007064AB"/>
    <w:rsid w:val="00706557"/>
    <w:rsid w:val="00707C51"/>
    <w:rsid w:val="007134F3"/>
    <w:rsid w:val="0071531C"/>
    <w:rsid w:val="00717DD1"/>
    <w:rsid w:val="00722A76"/>
    <w:rsid w:val="007259CC"/>
    <w:rsid w:val="007312D6"/>
    <w:rsid w:val="00750776"/>
    <w:rsid w:val="00752319"/>
    <w:rsid w:val="00761637"/>
    <w:rsid w:val="00761C31"/>
    <w:rsid w:val="00761C60"/>
    <w:rsid w:val="007832F6"/>
    <w:rsid w:val="00783CAA"/>
    <w:rsid w:val="007841E1"/>
    <w:rsid w:val="00784660"/>
    <w:rsid w:val="007850C4"/>
    <w:rsid w:val="0078612B"/>
    <w:rsid w:val="00786E43"/>
    <w:rsid w:val="0078764B"/>
    <w:rsid w:val="0078778A"/>
    <w:rsid w:val="0079170F"/>
    <w:rsid w:val="00794562"/>
    <w:rsid w:val="007A02B8"/>
    <w:rsid w:val="007A1453"/>
    <w:rsid w:val="007A24F8"/>
    <w:rsid w:val="007A4144"/>
    <w:rsid w:val="007A6000"/>
    <w:rsid w:val="007A744F"/>
    <w:rsid w:val="007B59F0"/>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560C"/>
    <w:rsid w:val="00856F1E"/>
    <w:rsid w:val="00857954"/>
    <w:rsid w:val="00857968"/>
    <w:rsid w:val="00863D55"/>
    <w:rsid w:val="008650FD"/>
    <w:rsid w:val="0086706E"/>
    <w:rsid w:val="00867DF3"/>
    <w:rsid w:val="008713F3"/>
    <w:rsid w:val="00872A03"/>
    <w:rsid w:val="00881347"/>
    <w:rsid w:val="00883800"/>
    <w:rsid w:val="0088785E"/>
    <w:rsid w:val="00890D60"/>
    <w:rsid w:val="00892480"/>
    <w:rsid w:val="00897A30"/>
    <w:rsid w:val="008B6B1A"/>
    <w:rsid w:val="008B74C4"/>
    <w:rsid w:val="008C2832"/>
    <w:rsid w:val="008C4109"/>
    <w:rsid w:val="008C42CC"/>
    <w:rsid w:val="008C498A"/>
    <w:rsid w:val="008C63A2"/>
    <w:rsid w:val="008C7273"/>
    <w:rsid w:val="008D114F"/>
    <w:rsid w:val="008D41C9"/>
    <w:rsid w:val="008D5CDA"/>
    <w:rsid w:val="008D7A71"/>
    <w:rsid w:val="008E13AA"/>
    <w:rsid w:val="008E2C2A"/>
    <w:rsid w:val="008F0F64"/>
    <w:rsid w:val="008F3C04"/>
    <w:rsid w:val="008F3C44"/>
    <w:rsid w:val="008F668F"/>
    <w:rsid w:val="008F6781"/>
    <w:rsid w:val="009051F4"/>
    <w:rsid w:val="0092415F"/>
    <w:rsid w:val="009256DD"/>
    <w:rsid w:val="00936A8E"/>
    <w:rsid w:val="00943C39"/>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4C07"/>
    <w:rsid w:val="009E6CA9"/>
    <w:rsid w:val="009E7F8D"/>
    <w:rsid w:val="009F1F17"/>
    <w:rsid w:val="009F5E40"/>
    <w:rsid w:val="00A07E25"/>
    <w:rsid w:val="00A14187"/>
    <w:rsid w:val="00A14640"/>
    <w:rsid w:val="00A14720"/>
    <w:rsid w:val="00A16B59"/>
    <w:rsid w:val="00A215AB"/>
    <w:rsid w:val="00A22178"/>
    <w:rsid w:val="00A241B8"/>
    <w:rsid w:val="00A27662"/>
    <w:rsid w:val="00A30C53"/>
    <w:rsid w:val="00A503B4"/>
    <w:rsid w:val="00A5392D"/>
    <w:rsid w:val="00A558AE"/>
    <w:rsid w:val="00A564E2"/>
    <w:rsid w:val="00A647FC"/>
    <w:rsid w:val="00A67678"/>
    <w:rsid w:val="00A755F6"/>
    <w:rsid w:val="00A82D03"/>
    <w:rsid w:val="00A854F0"/>
    <w:rsid w:val="00A86E2D"/>
    <w:rsid w:val="00A87823"/>
    <w:rsid w:val="00A92792"/>
    <w:rsid w:val="00A94DF9"/>
    <w:rsid w:val="00A95463"/>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413A"/>
    <w:rsid w:val="00AE5AB4"/>
    <w:rsid w:val="00AF1CA2"/>
    <w:rsid w:val="00AF5A5B"/>
    <w:rsid w:val="00AF78C9"/>
    <w:rsid w:val="00B03133"/>
    <w:rsid w:val="00B057AC"/>
    <w:rsid w:val="00B074F2"/>
    <w:rsid w:val="00B07B19"/>
    <w:rsid w:val="00B1268D"/>
    <w:rsid w:val="00B1678C"/>
    <w:rsid w:val="00B22C15"/>
    <w:rsid w:val="00B242A8"/>
    <w:rsid w:val="00B35261"/>
    <w:rsid w:val="00B41476"/>
    <w:rsid w:val="00B53DAC"/>
    <w:rsid w:val="00B542F0"/>
    <w:rsid w:val="00B65D03"/>
    <w:rsid w:val="00B6644C"/>
    <w:rsid w:val="00B703A2"/>
    <w:rsid w:val="00B71AED"/>
    <w:rsid w:val="00B750FF"/>
    <w:rsid w:val="00B7731C"/>
    <w:rsid w:val="00B77321"/>
    <w:rsid w:val="00B7748B"/>
    <w:rsid w:val="00B85B4C"/>
    <w:rsid w:val="00B91916"/>
    <w:rsid w:val="00BA2D77"/>
    <w:rsid w:val="00BA7E66"/>
    <w:rsid w:val="00BB1D27"/>
    <w:rsid w:val="00BB4C3C"/>
    <w:rsid w:val="00BB5EC4"/>
    <w:rsid w:val="00BC23E5"/>
    <w:rsid w:val="00BC2A76"/>
    <w:rsid w:val="00BC3F2D"/>
    <w:rsid w:val="00BD592D"/>
    <w:rsid w:val="00BD5A4B"/>
    <w:rsid w:val="00BF0A3E"/>
    <w:rsid w:val="00BF1682"/>
    <w:rsid w:val="00BF3D89"/>
    <w:rsid w:val="00C011E1"/>
    <w:rsid w:val="00C01267"/>
    <w:rsid w:val="00C01362"/>
    <w:rsid w:val="00C02BC1"/>
    <w:rsid w:val="00C15B46"/>
    <w:rsid w:val="00C2107A"/>
    <w:rsid w:val="00C22617"/>
    <w:rsid w:val="00C2571D"/>
    <w:rsid w:val="00C277DC"/>
    <w:rsid w:val="00C3396C"/>
    <w:rsid w:val="00C356CF"/>
    <w:rsid w:val="00C42220"/>
    <w:rsid w:val="00C46623"/>
    <w:rsid w:val="00C50843"/>
    <w:rsid w:val="00C569D5"/>
    <w:rsid w:val="00C65542"/>
    <w:rsid w:val="00C77483"/>
    <w:rsid w:val="00C829DC"/>
    <w:rsid w:val="00C86383"/>
    <w:rsid w:val="00C90A14"/>
    <w:rsid w:val="00C9434B"/>
    <w:rsid w:val="00C96F2B"/>
    <w:rsid w:val="00CA0814"/>
    <w:rsid w:val="00CA0EBE"/>
    <w:rsid w:val="00CA57B6"/>
    <w:rsid w:val="00CA6344"/>
    <w:rsid w:val="00CB56F9"/>
    <w:rsid w:val="00CC6F24"/>
    <w:rsid w:val="00CD34B9"/>
    <w:rsid w:val="00CD3633"/>
    <w:rsid w:val="00CD48BD"/>
    <w:rsid w:val="00CE032B"/>
    <w:rsid w:val="00CE0964"/>
    <w:rsid w:val="00CE0B9A"/>
    <w:rsid w:val="00CE5869"/>
    <w:rsid w:val="00CE6F13"/>
    <w:rsid w:val="00D04BC3"/>
    <w:rsid w:val="00D05C90"/>
    <w:rsid w:val="00D0709B"/>
    <w:rsid w:val="00D17929"/>
    <w:rsid w:val="00D2027A"/>
    <w:rsid w:val="00D21E9B"/>
    <w:rsid w:val="00D27092"/>
    <w:rsid w:val="00D31426"/>
    <w:rsid w:val="00D31E4D"/>
    <w:rsid w:val="00D332B5"/>
    <w:rsid w:val="00D44DC4"/>
    <w:rsid w:val="00D57B3A"/>
    <w:rsid w:val="00D600F3"/>
    <w:rsid w:val="00D621BE"/>
    <w:rsid w:val="00D62BE5"/>
    <w:rsid w:val="00D66EB0"/>
    <w:rsid w:val="00D704A8"/>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F0BAA"/>
    <w:rsid w:val="00DF1BC6"/>
    <w:rsid w:val="00DF6555"/>
    <w:rsid w:val="00DF6CD2"/>
    <w:rsid w:val="00E02D8F"/>
    <w:rsid w:val="00E042C2"/>
    <w:rsid w:val="00E06BA5"/>
    <w:rsid w:val="00E11C65"/>
    <w:rsid w:val="00E12C4C"/>
    <w:rsid w:val="00E24099"/>
    <w:rsid w:val="00E26211"/>
    <w:rsid w:val="00E318C7"/>
    <w:rsid w:val="00E34C07"/>
    <w:rsid w:val="00E36067"/>
    <w:rsid w:val="00E442DC"/>
    <w:rsid w:val="00E51DFA"/>
    <w:rsid w:val="00E51E75"/>
    <w:rsid w:val="00E60BFC"/>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A15E5"/>
    <w:rsid w:val="00EA7B60"/>
    <w:rsid w:val="00EB31F6"/>
    <w:rsid w:val="00EB4EE4"/>
    <w:rsid w:val="00EB542F"/>
    <w:rsid w:val="00EB62DE"/>
    <w:rsid w:val="00ED4C45"/>
    <w:rsid w:val="00ED5AEE"/>
    <w:rsid w:val="00ED668D"/>
    <w:rsid w:val="00EE4C8B"/>
    <w:rsid w:val="00EE5E0B"/>
    <w:rsid w:val="00EE6A25"/>
    <w:rsid w:val="00EF6235"/>
    <w:rsid w:val="00F05169"/>
    <w:rsid w:val="00F0526E"/>
    <w:rsid w:val="00F12B31"/>
    <w:rsid w:val="00F142C1"/>
    <w:rsid w:val="00F1525A"/>
    <w:rsid w:val="00F261B9"/>
    <w:rsid w:val="00F3246E"/>
    <w:rsid w:val="00F32B61"/>
    <w:rsid w:val="00F37FAF"/>
    <w:rsid w:val="00F405E0"/>
    <w:rsid w:val="00F4148E"/>
    <w:rsid w:val="00F42E3E"/>
    <w:rsid w:val="00F43580"/>
    <w:rsid w:val="00F454F1"/>
    <w:rsid w:val="00F466D7"/>
    <w:rsid w:val="00F5324C"/>
    <w:rsid w:val="00F5634D"/>
    <w:rsid w:val="00F65C99"/>
    <w:rsid w:val="00F701B3"/>
    <w:rsid w:val="00F75932"/>
    <w:rsid w:val="00F779F7"/>
    <w:rsid w:val="00F82F68"/>
    <w:rsid w:val="00F83F05"/>
    <w:rsid w:val="00F86A50"/>
    <w:rsid w:val="00F93E7E"/>
    <w:rsid w:val="00F9446E"/>
    <w:rsid w:val="00F94822"/>
    <w:rsid w:val="00F9485F"/>
    <w:rsid w:val="00F960FE"/>
    <w:rsid w:val="00F9796E"/>
    <w:rsid w:val="00F97CB9"/>
    <w:rsid w:val="00FB2B6A"/>
    <w:rsid w:val="00FB340F"/>
    <w:rsid w:val="00FB4761"/>
    <w:rsid w:val="00FB4ADA"/>
    <w:rsid w:val="00FC6348"/>
    <w:rsid w:val="00FC7FD0"/>
    <w:rsid w:val="00FD2B25"/>
    <w:rsid w:val="00FD2BF4"/>
    <w:rsid w:val="00FD2D67"/>
    <w:rsid w:val="00FE4CA2"/>
    <w:rsid w:val="00FF6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D1566B1A-6533-40F4-972E-C8B834BC1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6F0"/>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1162BE7D6954E04ACEBC7CB71061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2222-6</Nr_x002e__x0020_akti>
    <Data_x0020_e_x0020_Krijimit xmlns="0e656187-b300-4fb0-8bf4-3a50f872073c">2023-07-12T12:27:17Z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2023-07-11T22:00:00Z</Date_x0020_protokolli>
    <Titulli xmlns="0e656187-b300-4fb0-8bf4-3a50f872073c">Për vlerësimin e veprimtarisë së Bankës së Shqipërisë për vitin 2022</Titulli>
    <Modifikuesi xmlns="0e656187-b300-4fb0-8bf4-3a50f872073c">nevila.samarxhi</Modifikuesi>
    <Nr_x002e__x0020_prot_x0020_QBZ xmlns="0e656187-b300-4fb0-8bf4-3a50f872073c">1054-6</Nr_x002e__x0020_prot_x0020_QBZ>
    <Data_x0020_e_x0020_Modifikimit xmlns="0e656187-b300-4fb0-8bf4-3a50f872073c">2023-07-12T13:10:36Z</Data_x0020_e_x0020_Modifikimit>
    <Dekretuar xmlns="0e656187-b300-4fb0-8bf4-3a50f872073c">false</Dekretuar>
    <Data xmlns="0e656187-b300-4fb0-8bf4-3a50f872073c">2023-07-05T22:00:00Z</Data>
    <Nr_x002e__x0020_protokolli_x0020_i_x0020_aktit xmlns="0e656187-b300-4fb0-8bf4-3a50f872073c">2222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1162BE7D6954E04ACEBC7CB710616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84DAC-0C7A-43C7-8337-297B4063C8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F5AAE73-018E-4905-9179-4F75EEB3C404}">
  <ds:schemaRefs>
    <ds:schemaRef ds:uri="http://schemas.microsoft.com/office/2006/documentManagement/types"/>
    <ds:schemaRef ds:uri="0e656187-b300-4fb0-8bf4-3a50f872073c"/>
    <ds:schemaRef ds:uri="http://schemas.microsoft.com/office/2006/metadata/properties"/>
    <ds:schemaRef ds:uri="http://schemas.openxmlformats.org/package/2006/metadata/core-properties"/>
    <ds:schemaRef ds:uri="http://purl.org/dc/dcmitype/"/>
    <ds:schemaRef ds:uri="http://purl.org/dc/elements/1.1/"/>
    <ds:schemaRef ds:uri="http://www.w3.org/XML/1998/namespace"/>
    <ds:schemaRef ds:uri="http://purl.org/dc/terms/"/>
  </ds:schemaRefs>
</ds:datastoreItem>
</file>

<file path=customXml/itemProps3.xml><?xml version="1.0" encoding="utf-8"?>
<ds:datastoreItem xmlns:ds="http://schemas.openxmlformats.org/officeDocument/2006/customXml" ds:itemID="{E8818825-4B02-4744-97FC-510DCF8FF9A3}">
  <ds:schemaRefs>
    <ds:schemaRef ds:uri="http://schemas.microsoft.com/sharepoint/v3/contenttype/forms"/>
  </ds:schemaRefs>
</ds:datastoreItem>
</file>

<file path=customXml/itemProps4.xml><?xml version="1.0" encoding="utf-8"?>
<ds:datastoreItem xmlns:ds="http://schemas.openxmlformats.org/officeDocument/2006/customXml" ds:itemID="{F13932E1-F34A-4D9F-9C35-79AD287DD40F}">
  <ds:schemaRefs>
    <ds:schemaRef ds:uri="http://schemas.microsoft.com/sharepoint/v3/contenttype/forms"/>
  </ds:schemaRefs>
</ds:datastoreItem>
</file>

<file path=customXml/itemProps5.xml><?xml version="1.0" encoding="utf-8"?>
<ds:datastoreItem xmlns:ds="http://schemas.openxmlformats.org/officeDocument/2006/customXml" ds:itemID="{1A7632DC-AD4A-4084-B20E-1C315B1CC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A389A49-BE6C-43A8-A578-FB1B58F48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vlerësimin e veprimtarisë së Bankës së Shqipërisë për vitin 2022</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Bankës së Shqipërisë për vitin 2022</dc:title>
  <dc:creator>user</dc:creator>
  <cp:lastModifiedBy>Jorina Kryeziu</cp:lastModifiedBy>
  <cp:revision>17</cp:revision>
  <cp:lastPrinted>2023-07-10T07:06:00Z</cp:lastPrinted>
  <dcterms:created xsi:type="dcterms:W3CDTF">2023-07-12T12:17:00Z</dcterms:created>
  <dcterms:modified xsi:type="dcterms:W3CDTF">2023-07-12T13:28:00Z</dcterms:modified>
</cp:coreProperties>
</file>