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DF9D0" w14:textId="26020B49" w:rsidR="004615DB" w:rsidRPr="001203D7" w:rsidRDefault="000A0B41" w:rsidP="002879AF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1203D7">
        <w:rPr>
          <w:rFonts w:ascii="Garamond" w:eastAsia="Times New Roman" w:hAnsi="Garamond" w:cs="Times New Roman"/>
          <w:b/>
          <w:sz w:val="24"/>
          <w:szCs w:val="24"/>
        </w:rPr>
        <w:t>REZOLUT</w:t>
      </w:r>
      <w:r w:rsidR="004615DB" w:rsidRPr="001203D7">
        <w:rPr>
          <w:rFonts w:ascii="Garamond" w:eastAsia="Times New Roman" w:hAnsi="Garamond" w:cs="Times New Roman"/>
          <w:b/>
          <w:sz w:val="24"/>
          <w:szCs w:val="24"/>
        </w:rPr>
        <w:t>Ë</w:t>
      </w:r>
    </w:p>
    <w:p w14:paraId="505BB66B" w14:textId="77777777" w:rsidR="0094122A" w:rsidRPr="001203D7" w:rsidRDefault="0094122A" w:rsidP="002879AF">
      <w:pPr>
        <w:spacing w:after="0" w:line="240" w:lineRule="auto"/>
        <w:ind w:firstLine="284"/>
        <w:rPr>
          <w:rFonts w:ascii="Garamond" w:eastAsia="Times New Roman" w:hAnsi="Garamond" w:cs="Times New Roman"/>
          <w:b/>
          <w:sz w:val="24"/>
          <w:szCs w:val="24"/>
        </w:rPr>
      </w:pPr>
    </w:p>
    <w:p w14:paraId="41C39F41" w14:textId="77777777" w:rsidR="00E47A7A" w:rsidRPr="001203D7" w:rsidRDefault="00E47A7A" w:rsidP="002879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03D7">
        <w:rPr>
          <w:rFonts w:ascii="Garamond" w:hAnsi="Garamond" w:cs="Times New Roman"/>
          <w:b/>
          <w:sz w:val="24"/>
          <w:szCs w:val="24"/>
        </w:rPr>
        <w:t xml:space="preserve">PËR VLERËSIMIN E VEPRIMTARISË SË BANKËS SË SHQIPËRISË </w:t>
      </w:r>
    </w:p>
    <w:p w14:paraId="25474608" w14:textId="1D8CE897" w:rsidR="00E47A7A" w:rsidRPr="001203D7" w:rsidRDefault="00E47A7A" w:rsidP="002879A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203D7">
        <w:rPr>
          <w:rFonts w:ascii="Garamond" w:hAnsi="Garamond" w:cs="Times New Roman"/>
          <w:b/>
          <w:sz w:val="24"/>
          <w:szCs w:val="24"/>
        </w:rPr>
        <w:t>PËR VITIN 2023</w:t>
      </w:r>
    </w:p>
    <w:p w14:paraId="1E93B265" w14:textId="77777777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32F8BDC" w14:textId="6ED805F1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203D7">
        <w:rPr>
          <w:rFonts w:ascii="Garamond" w:hAnsi="Garamond" w:cs="Times New Roman"/>
          <w:b/>
          <w:sz w:val="24"/>
          <w:szCs w:val="24"/>
        </w:rPr>
        <w:t>Kuvendi i Shqipërisë,</w:t>
      </w:r>
    </w:p>
    <w:p w14:paraId="31BD7495" w14:textId="7068F113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Duke vlerësuar angazhimin e Bankës së Shqipërisë për zbatimin e misionit kryesor të saj, arritjen dhe ruajtjen e stabilitetit të çmimeve, si dhe të objektivave dhe detyrimeve të tjera ligjore të saj;</w:t>
      </w:r>
    </w:p>
    <w:p w14:paraId="4C2E3425" w14:textId="04F54FEE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Duke vlerësuar rolin e Bankës së Shqipërisë në promovimin e stabilitetit financiar të vendit, në zhvillimin e tregjeve financiare dhe të infrastrukturës së pagesave, si dhe në krijimin e parakushteve për rritjen e qëndrueshme të ekonomisë;</w:t>
      </w:r>
    </w:p>
    <w:p w14:paraId="23935C3D" w14:textId="520811D6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Duke vlerësuar pavarësinë institucionale të Bankës së Shqipërisë, si dhe detyrimin për zbatimin dhe raportimin e rekomandimeve të dhëna nga Kuvendi i Shqipërisë; </w:t>
      </w:r>
    </w:p>
    <w:p w14:paraId="11E1E4BF" w14:textId="1AA1174F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203D7">
        <w:rPr>
          <w:rFonts w:ascii="Garamond" w:hAnsi="Garamond" w:cs="Times New Roman"/>
          <w:b/>
          <w:sz w:val="24"/>
          <w:szCs w:val="24"/>
        </w:rPr>
        <w:t>Vlerëson veprimtarinë e Bankës së Shqipërisë gjatë vitit 2023, për përmbushjen e funksioneve të saj dhe të objektivave strategjik</w:t>
      </w:r>
      <w:r w:rsidR="006A0A2B" w:rsidRPr="001203D7">
        <w:rPr>
          <w:rFonts w:ascii="Garamond" w:hAnsi="Garamond" w:cs="Times New Roman"/>
          <w:b/>
          <w:sz w:val="24"/>
          <w:szCs w:val="24"/>
        </w:rPr>
        <w:t>ë</w:t>
      </w:r>
      <w:r w:rsidRPr="001203D7">
        <w:rPr>
          <w:rFonts w:ascii="Garamond" w:hAnsi="Garamond" w:cs="Times New Roman"/>
          <w:b/>
          <w:sz w:val="24"/>
          <w:szCs w:val="24"/>
        </w:rPr>
        <w:t xml:space="preserve"> afatmesëm, në këto drejtime:</w:t>
      </w:r>
    </w:p>
    <w:p w14:paraId="22112D4F" w14:textId="31080000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Zhvillimit të mëtejshëm të kapaciteteve analizuese, parashikuese dhe kërkimore, duke ndihmuar në përmirësimin e hartimit të politikës monetare. </w:t>
      </w:r>
    </w:p>
    <w:p w14:paraId="0803F2D7" w14:textId="53763B57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Hartimit dhe miratimit të Strategjisë së Gjelbër Afatmesme 2023</w:t>
      </w:r>
      <w:r w:rsidR="000C2E7C">
        <w:rPr>
          <w:rFonts w:ascii="Garamond" w:hAnsi="Garamond" w:cs="Times New Roman"/>
          <w:sz w:val="24"/>
          <w:szCs w:val="24"/>
        </w:rPr>
        <w:t>–</w:t>
      </w:r>
      <w:r w:rsidRPr="001203D7">
        <w:rPr>
          <w:rFonts w:ascii="Garamond" w:hAnsi="Garamond" w:cs="Times New Roman"/>
          <w:sz w:val="24"/>
          <w:szCs w:val="24"/>
        </w:rPr>
        <w:t>2025 “</w:t>
      </w:r>
      <w:r w:rsidR="002829FE" w:rsidRPr="001203D7">
        <w:rPr>
          <w:rFonts w:ascii="Garamond" w:hAnsi="Garamond" w:cs="Times New Roman"/>
          <w:sz w:val="24"/>
          <w:szCs w:val="24"/>
        </w:rPr>
        <w:t>Për a</w:t>
      </w:r>
      <w:r w:rsidRPr="001203D7">
        <w:rPr>
          <w:rFonts w:ascii="Garamond" w:hAnsi="Garamond" w:cs="Times New Roman"/>
          <w:sz w:val="24"/>
          <w:szCs w:val="24"/>
        </w:rPr>
        <w:t xml:space="preserve">dministrimin dhe </w:t>
      </w:r>
      <w:r w:rsidR="002829FE" w:rsidRPr="001203D7">
        <w:rPr>
          <w:rFonts w:ascii="Garamond" w:hAnsi="Garamond" w:cs="Times New Roman"/>
          <w:sz w:val="24"/>
          <w:szCs w:val="24"/>
        </w:rPr>
        <w:t>m</w:t>
      </w:r>
      <w:r w:rsidRPr="001203D7">
        <w:rPr>
          <w:rFonts w:ascii="Garamond" w:hAnsi="Garamond" w:cs="Times New Roman"/>
          <w:sz w:val="24"/>
          <w:szCs w:val="24"/>
        </w:rPr>
        <w:t xml:space="preserve">bikëqyrjen e </w:t>
      </w:r>
      <w:r w:rsidR="002829FE" w:rsidRPr="001203D7">
        <w:rPr>
          <w:rFonts w:ascii="Garamond" w:hAnsi="Garamond" w:cs="Times New Roman"/>
          <w:sz w:val="24"/>
          <w:szCs w:val="24"/>
        </w:rPr>
        <w:t>r</w:t>
      </w:r>
      <w:r w:rsidRPr="001203D7">
        <w:rPr>
          <w:rFonts w:ascii="Garamond" w:hAnsi="Garamond" w:cs="Times New Roman"/>
          <w:sz w:val="24"/>
          <w:szCs w:val="24"/>
        </w:rPr>
        <w:t xml:space="preserve">reziqeve </w:t>
      </w:r>
      <w:r w:rsidR="002829FE" w:rsidRPr="001203D7">
        <w:rPr>
          <w:rFonts w:ascii="Garamond" w:hAnsi="Garamond" w:cs="Times New Roman"/>
          <w:sz w:val="24"/>
          <w:szCs w:val="24"/>
        </w:rPr>
        <w:t>f</w:t>
      </w:r>
      <w:r w:rsidRPr="001203D7">
        <w:rPr>
          <w:rFonts w:ascii="Garamond" w:hAnsi="Garamond" w:cs="Times New Roman"/>
          <w:sz w:val="24"/>
          <w:szCs w:val="24"/>
        </w:rPr>
        <w:t xml:space="preserve">inanciare të </w:t>
      </w:r>
      <w:r w:rsidR="002829FE" w:rsidRPr="001203D7">
        <w:rPr>
          <w:rFonts w:ascii="Garamond" w:hAnsi="Garamond" w:cs="Times New Roman"/>
          <w:sz w:val="24"/>
          <w:szCs w:val="24"/>
        </w:rPr>
        <w:t>l</w:t>
      </w:r>
      <w:r w:rsidRPr="001203D7">
        <w:rPr>
          <w:rFonts w:ascii="Garamond" w:hAnsi="Garamond" w:cs="Times New Roman"/>
          <w:sz w:val="24"/>
          <w:szCs w:val="24"/>
        </w:rPr>
        <w:t xml:space="preserve">idhura me </w:t>
      </w:r>
      <w:r w:rsidR="002829FE" w:rsidRPr="001203D7">
        <w:rPr>
          <w:rFonts w:ascii="Garamond" w:hAnsi="Garamond" w:cs="Times New Roman"/>
          <w:sz w:val="24"/>
          <w:szCs w:val="24"/>
        </w:rPr>
        <w:t>k</w:t>
      </w:r>
      <w:r w:rsidRPr="001203D7">
        <w:rPr>
          <w:rFonts w:ascii="Garamond" w:hAnsi="Garamond" w:cs="Times New Roman"/>
          <w:sz w:val="24"/>
          <w:szCs w:val="24"/>
        </w:rPr>
        <w:t xml:space="preserve">limën në </w:t>
      </w:r>
      <w:r w:rsidR="002829FE" w:rsidRPr="001203D7">
        <w:rPr>
          <w:rFonts w:ascii="Garamond" w:hAnsi="Garamond" w:cs="Times New Roman"/>
          <w:sz w:val="24"/>
          <w:szCs w:val="24"/>
        </w:rPr>
        <w:t>s</w:t>
      </w:r>
      <w:r w:rsidRPr="001203D7">
        <w:rPr>
          <w:rFonts w:ascii="Garamond" w:hAnsi="Garamond" w:cs="Times New Roman"/>
          <w:sz w:val="24"/>
          <w:szCs w:val="24"/>
        </w:rPr>
        <w:t xml:space="preserve">ektorin </w:t>
      </w:r>
      <w:r w:rsidR="002829FE" w:rsidRPr="001203D7">
        <w:rPr>
          <w:rFonts w:ascii="Garamond" w:hAnsi="Garamond" w:cs="Times New Roman"/>
          <w:sz w:val="24"/>
          <w:szCs w:val="24"/>
        </w:rPr>
        <w:t>f</w:t>
      </w:r>
      <w:r w:rsidRPr="001203D7">
        <w:rPr>
          <w:rFonts w:ascii="Garamond" w:hAnsi="Garamond" w:cs="Times New Roman"/>
          <w:sz w:val="24"/>
          <w:szCs w:val="24"/>
        </w:rPr>
        <w:t xml:space="preserve">inanciar”, e cila synon të integrojë në mënyrë sistematike dhe të qartë rreziqet klimatike në dimensionet e mbikëqyrjes që Banka e Shqipërisë kryen </w:t>
      </w:r>
      <w:r w:rsidR="006A0A2B" w:rsidRPr="001203D7">
        <w:rPr>
          <w:rFonts w:ascii="Garamond" w:hAnsi="Garamond" w:cs="Times New Roman"/>
          <w:sz w:val="24"/>
          <w:szCs w:val="24"/>
        </w:rPr>
        <w:t xml:space="preserve">për </w:t>
      </w:r>
      <w:r w:rsidRPr="001203D7">
        <w:rPr>
          <w:rFonts w:ascii="Garamond" w:hAnsi="Garamond" w:cs="Times New Roman"/>
          <w:sz w:val="24"/>
          <w:szCs w:val="24"/>
        </w:rPr>
        <w:t xml:space="preserve">zhvillimet makroekonomike dhe financiare të vendit, bazuar </w:t>
      </w:r>
      <w:r w:rsidR="006A0A2B" w:rsidRPr="001203D7">
        <w:rPr>
          <w:rFonts w:ascii="Garamond" w:hAnsi="Garamond" w:cs="Times New Roman"/>
          <w:sz w:val="24"/>
          <w:szCs w:val="24"/>
        </w:rPr>
        <w:t>në</w:t>
      </w:r>
      <w:r w:rsidRPr="001203D7">
        <w:rPr>
          <w:rFonts w:ascii="Garamond" w:hAnsi="Garamond" w:cs="Times New Roman"/>
          <w:sz w:val="24"/>
          <w:szCs w:val="24"/>
        </w:rPr>
        <w:t xml:space="preserve"> praktikat më të mira dhe në përputhje me Planin e Veprimit të Komisionit të BE-së.</w:t>
      </w:r>
    </w:p>
    <w:p w14:paraId="1A87CBFE" w14:textId="3D44CB10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Përditësimit të kuadrit rregullator në funksio</w:t>
      </w:r>
      <w:r w:rsidR="002A4B7E" w:rsidRPr="001203D7">
        <w:rPr>
          <w:rFonts w:ascii="Garamond" w:hAnsi="Garamond" w:cs="Times New Roman"/>
          <w:sz w:val="24"/>
          <w:szCs w:val="24"/>
        </w:rPr>
        <w:t>n të mbrojtjes së konsumatorëve</w:t>
      </w:r>
      <w:r w:rsidRPr="001203D7">
        <w:rPr>
          <w:rFonts w:ascii="Garamond" w:hAnsi="Garamond" w:cs="Times New Roman"/>
          <w:sz w:val="24"/>
          <w:szCs w:val="24"/>
        </w:rPr>
        <w:t xml:space="preserve"> përmes miratimit të ligjit për llogarinë e pagesave në shërbimet bazike, nëpërmjet të cilit do t</w:t>
      </w:r>
      <w:r w:rsidR="002A4B7E" w:rsidRPr="001203D7">
        <w:rPr>
          <w:rFonts w:ascii="Garamond" w:hAnsi="Garamond" w:cs="Times New Roman"/>
          <w:sz w:val="24"/>
          <w:szCs w:val="24"/>
        </w:rPr>
        <w:t>’</w:t>
      </w:r>
      <w:r w:rsidRPr="001203D7">
        <w:rPr>
          <w:rFonts w:ascii="Garamond" w:hAnsi="Garamond" w:cs="Times New Roman"/>
          <w:sz w:val="24"/>
          <w:szCs w:val="24"/>
        </w:rPr>
        <w:t xml:space="preserve">i sigurohet e drejta çdo konsumatori për të pasur akses në shërbimet bazë të llogarisë së pagesës, pa kosto ose me kosto të përballueshme. </w:t>
      </w:r>
    </w:p>
    <w:p w14:paraId="66A9975A" w14:textId="132F0613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Miratimit të ndryshimeve rregullatore që lidhen me kredinë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konsumatore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dhe </w:t>
      </w:r>
      <w:r w:rsidR="006A0A2B" w:rsidRPr="001203D7">
        <w:rPr>
          <w:rFonts w:ascii="Garamond" w:hAnsi="Garamond" w:cs="Times New Roman"/>
          <w:sz w:val="24"/>
          <w:szCs w:val="24"/>
        </w:rPr>
        <w:t>hipotekare</w:t>
      </w:r>
      <w:r w:rsidRPr="001203D7">
        <w:rPr>
          <w:rFonts w:ascii="Garamond" w:hAnsi="Garamond" w:cs="Times New Roman"/>
          <w:sz w:val="24"/>
          <w:szCs w:val="24"/>
        </w:rPr>
        <w:t>,</w:t>
      </w:r>
      <w:r w:rsidR="006A0A2B" w:rsidRPr="001203D7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 xml:space="preserve"> llogaritjen e normave fikse të interesit në tregun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ndërbankar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të parasë, licencimin dhe ushtrimin e veprimtarisë së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SHKK</w:t>
      </w:r>
      <w:proofErr w:type="spellEnd"/>
      <w:r w:rsidR="002A4B7E" w:rsidRPr="001203D7">
        <w:rPr>
          <w:rFonts w:ascii="Garamond" w:hAnsi="Garamond" w:cs="Times New Roman"/>
          <w:sz w:val="24"/>
          <w:szCs w:val="24"/>
        </w:rPr>
        <w:t>-së</w:t>
      </w:r>
      <w:r w:rsidRPr="001203D7">
        <w:rPr>
          <w:rFonts w:ascii="Garamond" w:hAnsi="Garamond" w:cs="Times New Roman"/>
          <w:sz w:val="24"/>
          <w:szCs w:val="24"/>
        </w:rPr>
        <w:t xml:space="preserve"> dhe unioneve të tyre.</w:t>
      </w:r>
    </w:p>
    <w:p w14:paraId="13204DDC" w14:textId="0E08B18A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Administrimit në mënyrë të kujdesshme të kërcënimeve kibernetike të vazhdueshme dhe intensifikimit të ndërveprimit veçanërisht me sektorin bankar dhe autoritetet rregulluese në procesin e inspektimeve.</w:t>
      </w:r>
    </w:p>
    <w:p w14:paraId="5957B58E" w14:textId="7E8FBC2B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Angazhimit në procesin e anëtarësimit të vendit në BE, në cilësinë e drejtuesit të kapitujve 4 dhe 17 të </w:t>
      </w:r>
      <w:proofErr w:type="spellStart"/>
      <w:r w:rsidR="002A4B7E" w:rsidRPr="001203D7">
        <w:rPr>
          <w:rFonts w:ascii="Garamond" w:hAnsi="Garamond" w:cs="Times New Roman"/>
          <w:sz w:val="24"/>
          <w:szCs w:val="24"/>
        </w:rPr>
        <w:t>p</w:t>
      </w:r>
      <w:r w:rsidRPr="001203D7">
        <w:rPr>
          <w:rFonts w:ascii="Garamond" w:hAnsi="Garamond" w:cs="Times New Roman"/>
          <w:sz w:val="24"/>
          <w:szCs w:val="24"/>
        </w:rPr>
        <w:t>rogresraportit</w:t>
      </w:r>
      <w:proofErr w:type="spellEnd"/>
      <w:r w:rsidR="002A4B7E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përmbushjes së të gjitha detyrimeve financiare dhe raportuese me Bankën Botërore dhe FMN-në.</w:t>
      </w:r>
    </w:p>
    <w:p w14:paraId="14DCF11D" w14:textId="6B32B0EF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Monitorimit sa i takon rrezikut të kredisë, rrezikut të likuiditetit</w:t>
      </w:r>
      <w:r w:rsidR="00FB34CB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atij operacional, etj</w:t>
      </w:r>
      <w:r w:rsidR="002A4B7E" w:rsidRPr="001203D7">
        <w:rPr>
          <w:rFonts w:ascii="Garamond" w:hAnsi="Garamond" w:cs="Times New Roman"/>
          <w:sz w:val="24"/>
          <w:szCs w:val="24"/>
        </w:rPr>
        <w:t>.,</w:t>
      </w:r>
      <w:r w:rsidRPr="001203D7">
        <w:rPr>
          <w:rFonts w:ascii="Garamond" w:hAnsi="Garamond" w:cs="Times New Roman"/>
          <w:sz w:val="24"/>
          <w:szCs w:val="24"/>
        </w:rPr>
        <w:t xml:space="preserve"> nëpërmjet realizimit të 8 ekzaminimeve në vend, nga të cilat 4 ekzaminime të plota në banka (2 banka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sistemike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dhe 2 banka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josistemik</w:t>
      </w:r>
      <w:r w:rsidR="002A4B7E" w:rsidRPr="001203D7">
        <w:rPr>
          <w:rFonts w:ascii="Garamond" w:hAnsi="Garamond" w:cs="Times New Roman"/>
          <w:sz w:val="24"/>
          <w:szCs w:val="24"/>
        </w:rPr>
        <w:t>e</w:t>
      </w:r>
      <w:proofErr w:type="spellEnd"/>
      <w:r w:rsidR="002A4B7E" w:rsidRPr="001203D7">
        <w:rPr>
          <w:rFonts w:ascii="Garamond" w:hAnsi="Garamond" w:cs="Times New Roman"/>
          <w:sz w:val="24"/>
          <w:szCs w:val="24"/>
        </w:rPr>
        <w:t xml:space="preserve">), 3 në subjekte financiare </w:t>
      </w:r>
      <w:proofErr w:type="spellStart"/>
      <w:r w:rsidR="002A4B7E" w:rsidRPr="001203D7">
        <w:rPr>
          <w:rFonts w:ascii="Garamond" w:hAnsi="Garamond" w:cs="Times New Roman"/>
          <w:sz w:val="24"/>
          <w:szCs w:val="24"/>
        </w:rPr>
        <w:t>jo</w:t>
      </w:r>
      <w:r w:rsidRPr="001203D7">
        <w:rPr>
          <w:rFonts w:ascii="Garamond" w:hAnsi="Garamond" w:cs="Times New Roman"/>
          <w:sz w:val="24"/>
          <w:szCs w:val="24"/>
        </w:rPr>
        <w:t>banka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dhe 1 në shoqëritë e kursim kredit</w:t>
      </w:r>
      <w:r w:rsidR="006A0A2B" w:rsidRPr="001203D7">
        <w:rPr>
          <w:rFonts w:ascii="Garamond" w:hAnsi="Garamond" w:cs="Times New Roman"/>
          <w:sz w:val="24"/>
          <w:szCs w:val="24"/>
        </w:rPr>
        <w:t>it</w:t>
      </w:r>
      <w:r w:rsidRPr="001203D7">
        <w:rPr>
          <w:rFonts w:ascii="Garamond" w:hAnsi="Garamond" w:cs="Times New Roman"/>
          <w:sz w:val="24"/>
          <w:szCs w:val="24"/>
        </w:rPr>
        <w:t xml:space="preserve">. </w:t>
      </w:r>
    </w:p>
    <w:p w14:paraId="7B1AA7EB" w14:textId="12BAAFA5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Vijimit të inspektimeve veçanërisht për çështjet e parandalimit të pastrimit të parave dhe financimit të terrorizmit duke realizuar një numër total prej 61 inspektimesh, n</w:t>
      </w:r>
      <w:r w:rsidR="002A4B7E" w:rsidRPr="001203D7">
        <w:rPr>
          <w:rFonts w:ascii="Garamond" w:hAnsi="Garamond" w:cs="Times New Roman"/>
          <w:sz w:val="24"/>
          <w:szCs w:val="24"/>
        </w:rPr>
        <w:t>ga të cilat 50 inspektime</w:t>
      </w:r>
      <w:r w:rsidRPr="001203D7">
        <w:rPr>
          <w:rFonts w:ascii="Garamond" w:hAnsi="Garamond" w:cs="Times New Roman"/>
          <w:sz w:val="24"/>
          <w:szCs w:val="24"/>
        </w:rPr>
        <w:t xml:space="preserve"> në zyrat e këmbimit valutor dhe 11 inspektime të tjera në banka dhe subjekte financiare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jobanka</w:t>
      </w:r>
      <w:proofErr w:type="spellEnd"/>
      <w:r w:rsidRPr="001203D7">
        <w:rPr>
          <w:rFonts w:ascii="Garamond" w:hAnsi="Garamond" w:cs="Times New Roman"/>
          <w:sz w:val="24"/>
          <w:szCs w:val="24"/>
        </w:rPr>
        <w:t>.</w:t>
      </w:r>
    </w:p>
    <w:p w14:paraId="48A8E007" w14:textId="1EF1194C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Monitorimi</w:t>
      </w:r>
      <w:r w:rsidR="006A0A2B" w:rsidRPr="001203D7">
        <w:rPr>
          <w:rFonts w:ascii="Garamond" w:hAnsi="Garamond" w:cs="Times New Roman"/>
          <w:sz w:val="24"/>
          <w:szCs w:val="24"/>
        </w:rPr>
        <w:t>t</w:t>
      </w:r>
      <w:r w:rsidRPr="001203D7">
        <w:rPr>
          <w:rFonts w:ascii="Garamond" w:hAnsi="Garamond" w:cs="Times New Roman"/>
          <w:sz w:val="24"/>
          <w:szCs w:val="24"/>
        </w:rPr>
        <w:t xml:space="preserve"> </w:t>
      </w:r>
      <w:r w:rsidR="006A0A2B" w:rsidRPr="001203D7">
        <w:rPr>
          <w:rFonts w:ascii="Garamond" w:hAnsi="Garamond" w:cs="Times New Roman"/>
          <w:sz w:val="24"/>
          <w:szCs w:val="24"/>
        </w:rPr>
        <w:t>të</w:t>
      </w:r>
      <w:r w:rsidRPr="001203D7">
        <w:rPr>
          <w:rFonts w:ascii="Garamond" w:hAnsi="Garamond" w:cs="Times New Roman"/>
          <w:sz w:val="24"/>
          <w:szCs w:val="24"/>
        </w:rPr>
        <w:t xml:space="preserve"> procesit të administrimit të Fondit të Ndërhyrjes së Jashtëzakonshme, i cili në fund të vitit arriti në rreth 4.5 miliardë lekë, duke përbërë rreth 56% të nivelit të synuar për vitin 2027 dhe rritjes së nivelit të automatizimit të tij për të gjitha bankat që operojnë në tregun vendas. </w:t>
      </w:r>
    </w:p>
    <w:p w14:paraId="11A7378D" w14:textId="22642F9C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Sigurimin e funksionimit të 3 infrastrukturave kryesore për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procesimin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e pagesave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ndërbankare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dhe një për shlyerjen e titujv</w:t>
      </w:r>
      <w:r w:rsidR="006A0A2B" w:rsidRPr="001203D7">
        <w:rPr>
          <w:rFonts w:ascii="Garamond" w:hAnsi="Garamond" w:cs="Times New Roman"/>
          <w:sz w:val="24"/>
          <w:szCs w:val="24"/>
        </w:rPr>
        <w:t xml:space="preserve">e, ku në sistemin </w:t>
      </w:r>
      <w:proofErr w:type="spellStart"/>
      <w:r w:rsidR="006A0A2B" w:rsidRPr="001203D7">
        <w:rPr>
          <w:rFonts w:ascii="Garamond" w:hAnsi="Garamond" w:cs="Times New Roman"/>
          <w:sz w:val="24"/>
          <w:szCs w:val="24"/>
        </w:rPr>
        <w:t>AIPS</w:t>
      </w:r>
      <w:proofErr w:type="spellEnd"/>
      <w:r w:rsidR="006A0A2B" w:rsidRPr="001203D7">
        <w:rPr>
          <w:rFonts w:ascii="Garamond" w:hAnsi="Garamond" w:cs="Times New Roman"/>
          <w:sz w:val="24"/>
          <w:szCs w:val="24"/>
        </w:rPr>
        <w:t xml:space="preserve">  u shlye</w:t>
      </w:r>
      <w:r w:rsidRPr="001203D7">
        <w:rPr>
          <w:rFonts w:ascii="Garamond" w:hAnsi="Garamond" w:cs="Times New Roman"/>
          <w:sz w:val="24"/>
          <w:szCs w:val="24"/>
        </w:rPr>
        <w:t xml:space="preserve"> një volum prej 152.6 mijë transaksione</w:t>
      </w:r>
      <w:r w:rsidR="002A4B7E" w:rsidRPr="001203D7">
        <w:rPr>
          <w:rFonts w:ascii="Garamond" w:hAnsi="Garamond" w:cs="Times New Roman"/>
          <w:sz w:val="24"/>
          <w:szCs w:val="24"/>
        </w:rPr>
        <w:t>sh</w:t>
      </w:r>
      <w:r w:rsidRPr="001203D7">
        <w:rPr>
          <w:rFonts w:ascii="Garamond" w:hAnsi="Garamond" w:cs="Times New Roman"/>
          <w:sz w:val="24"/>
          <w:szCs w:val="24"/>
        </w:rPr>
        <w:t xml:space="preserve">, në sistemin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AIPS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EURO 249 mijë transaksione, me një rritje nga viti 2022 në vlerë me 24% dhe në numër transaksionesh me 60%, në sistemin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AECH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1.38 milion</w:t>
      </w:r>
      <w:r w:rsidR="002A4B7E" w:rsidRPr="001203D7">
        <w:rPr>
          <w:rFonts w:ascii="Garamond" w:hAnsi="Garamond" w:cs="Times New Roman"/>
          <w:sz w:val="24"/>
          <w:szCs w:val="24"/>
        </w:rPr>
        <w:t>ë</w:t>
      </w:r>
      <w:r w:rsidRPr="001203D7">
        <w:rPr>
          <w:rFonts w:ascii="Garamond" w:hAnsi="Garamond" w:cs="Times New Roman"/>
          <w:sz w:val="24"/>
          <w:szCs w:val="24"/>
        </w:rPr>
        <w:t xml:space="preserve"> transaksione, duke shënuar rritje me 12.4%, në krahasim me vitin 2022. </w:t>
      </w:r>
    </w:p>
    <w:p w14:paraId="570AC8E1" w14:textId="78833395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Arritjen e të gjith</w:t>
      </w:r>
      <w:r w:rsidR="006A0A2B" w:rsidRPr="001203D7">
        <w:rPr>
          <w:rFonts w:ascii="Garamond" w:hAnsi="Garamond" w:cs="Times New Roman"/>
          <w:sz w:val="24"/>
          <w:szCs w:val="24"/>
        </w:rPr>
        <w:t>ë</w:t>
      </w:r>
      <w:r w:rsidRPr="001203D7">
        <w:rPr>
          <w:rFonts w:ascii="Garamond" w:hAnsi="Garamond" w:cs="Times New Roman"/>
          <w:sz w:val="24"/>
          <w:szCs w:val="24"/>
        </w:rPr>
        <w:t xml:space="preserve"> objektivave të përcaktuar në Strategjinë e Pagesave me Vlerë të Vogël 2018-2023</w:t>
      </w:r>
      <w:r w:rsidR="002A4B7E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zgjerimi</w:t>
      </w:r>
      <w:r w:rsidR="002A4B7E" w:rsidRPr="001203D7">
        <w:rPr>
          <w:rFonts w:ascii="Garamond" w:hAnsi="Garamond" w:cs="Times New Roman"/>
          <w:sz w:val="24"/>
          <w:szCs w:val="24"/>
        </w:rPr>
        <w:t>n e</w:t>
      </w:r>
      <w:r w:rsidRPr="001203D7">
        <w:rPr>
          <w:rFonts w:ascii="Garamond" w:hAnsi="Garamond" w:cs="Times New Roman"/>
          <w:sz w:val="24"/>
          <w:szCs w:val="24"/>
        </w:rPr>
        <w:t xml:space="preserve"> përdorimit të instrumenteve elektronik</w:t>
      </w:r>
      <w:r w:rsidR="002A4B7E" w:rsidRPr="001203D7">
        <w:rPr>
          <w:rFonts w:ascii="Garamond" w:hAnsi="Garamond" w:cs="Times New Roman"/>
          <w:sz w:val="24"/>
          <w:szCs w:val="24"/>
        </w:rPr>
        <w:t>e</w:t>
      </w:r>
      <w:r w:rsidRPr="001203D7">
        <w:rPr>
          <w:rFonts w:ascii="Garamond" w:hAnsi="Garamond" w:cs="Times New Roman"/>
          <w:sz w:val="24"/>
          <w:szCs w:val="24"/>
        </w:rPr>
        <w:t xml:space="preserve"> të pagesave. Gjithashtu</w:t>
      </w:r>
      <w:r w:rsidR="002A4B7E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për vitin </w:t>
      </w:r>
      <w:r w:rsidRPr="001203D7">
        <w:rPr>
          <w:rFonts w:ascii="Garamond" w:hAnsi="Garamond" w:cs="Times New Roman"/>
          <w:sz w:val="24"/>
          <w:szCs w:val="24"/>
        </w:rPr>
        <w:lastRenderedPageBreak/>
        <w:t>2023 numri i pagesave në total u rrit me 25.5%, ndërsa vlera e pagesave u rrit me 27</w:t>
      </w:r>
      <w:r w:rsidR="002A4B7E" w:rsidRPr="001203D7">
        <w:rPr>
          <w:rFonts w:ascii="Garamond" w:hAnsi="Garamond" w:cs="Times New Roman"/>
          <w:sz w:val="24"/>
          <w:szCs w:val="24"/>
        </w:rPr>
        <w:t xml:space="preserve">.1%, vetëm pagesat </w:t>
      </w:r>
      <w:proofErr w:type="spellStart"/>
      <w:r w:rsidR="002A4B7E" w:rsidRPr="001203D7">
        <w:rPr>
          <w:rFonts w:ascii="Garamond" w:hAnsi="Garamond" w:cs="Times New Roman"/>
          <w:i/>
          <w:sz w:val="24"/>
          <w:szCs w:val="24"/>
        </w:rPr>
        <w:t>home</w:t>
      </w:r>
      <w:proofErr w:type="spellEnd"/>
      <w:r w:rsidR="002A4B7E" w:rsidRPr="001203D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2A4B7E" w:rsidRPr="001203D7">
        <w:rPr>
          <w:rFonts w:ascii="Garamond" w:hAnsi="Garamond" w:cs="Times New Roman"/>
          <w:i/>
          <w:sz w:val="24"/>
          <w:szCs w:val="24"/>
        </w:rPr>
        <w:t>banking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janë rritur me 22% në numër transaksionesh dhe me 28% në vlerë transaksionesh. </w:t>
      </w:r>
    </w:p>
    <w:p w14:paraId="53C94378" w14:textId="5C5ED902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Akomodimin e kërkesës për para fizike në ekonomi</w:t>
      </w:r>
      <w:r w:rsidR="002A4B7E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përfundimin e emetimit të plotë të serisë së re të kartëmonedhave. Në fund të vitit rezultuan rreth 156 milion</w:t>
      </w:r>
      <w:r w:rsidR="002A4B7E" w:rsidRPr="001203D7">
        <w:rPr>
          <w:rFonts w:ascii="Garamond" w:hAnsi="Garamond" w:cs="Times New Roman"/>
          <w:sz w:val="24"/>
          <w:szCs w:val="24"/>
        </w:rPr>
        <w:t>ë</w:t>
      </w:r>
      <w:r w:rsidRPr="001203D7">
        <w:rPr>
          <w:rFonts w:ascii="Garamond" w:hAnsi="Garamond" w:cs="Times New Roman"/>
          <w:sz w:val="24"/>
          <w:szCs w:val="24"/>
        </w:rPr>
        <w:t xml:space="preserve"> copë kartëmonedha në qarkullim, me vlerë 401 miliard</w:t>
      </w:r>
      <w:r w:rsidR="002A4B7E" w:rsidRPr="001203D7">
        <w:rPr>
          <w:rFonts w:ascii="Garamond" w:hAnsi="Garamond" w:cs="Times New Roman"/>
          <w:sz w:val="24"/>
          <w:szCs w:val="24"/>
        </w:rPr>
        <w:t>ë</w:t>
      </w:r>
      <w:r w:rsidRPr="001203D7">
        <w:rPr>
          <w:rFonts w:ascii="Garamond" w:hAnsi="Garamond" w:cs="Times New Roman"/>
          <w:sz w:val="24"/>
          <w:szCs w:val="24"/>
        </w:rPr>
        <w:t xml:space="preserve"> lekë. </w:t>
      </w:r>
    </w:p>
    <w:p w14:paraId="6B2E235D" w14:textId="3DB8018F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Administrimin e rezervës valutore në përputhje me politikën e administrimit, ku rezulton se rezerva valutore është rritur me rreth 89 milionë euro përgjatë gjithë vitit. </w:t>
      </w:r>
    </w:p>
    <w:p w14:paraId="640F9FA5" w14:textId="5720B100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Harmonizimin e statistikave me 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acquis</w:t>
      </w:r>
      <w:proofErr w:type="spellEnd"/>
      <w:r w:rsidRPr="001203D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communitare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, intensifikimin e punës kërkimore në mbështetje të vendimmarrjes </w:t>
      </w:r>
      <w:r w:rsidR="006A0A2B" w:rsidRPr="001203D7">
        <w:rPr>
          <w:rFonts w:ascii="Garamond" w:hAnsi="Garamond" w:cs="Times New Roman"/>
          <w:sz w:val="24"/>
          <w:szCs w:val="24"/>
        </w:rPr>
        <w:t>dhe rritjes së transparencës,</w:t>
      </w:r>
      <w:r w:rsidRPr="001203D7">
        <w:rPr>
          <w:rFonts w:ascii="Garamond" w:hAnsi="Garamond" w:cs="Times New Roman"/>
          <w:sz w:val="24"/>
          <w:szCs w:val="24"/>
        </w:rPr>
        <w:t xml:space="preserve"> edukimin dhe komunikimin e vazhdueshëm me publikun përmes botimeve të rregullta për politikën monetare, stabilitetin financiar dhe mbikëqyrjen bankare</w:t>
      </w:r>
      <w:r w:rsidR="006A0A2B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përmbushjen e detyrimit për të ofruar transparencë në lidhje me veprimtarinë e Bankës.</w:t>
      </w:r>
    </w:p>
    <w:p w14:paraId="4538C91B" w14:textId="37AF48F1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1203D7">
        <w:rPr>
          <w:rFonts w:ascii="Garamond" w:hAnsi="Garamond" w:cs="Times New Roman"/>
          <w:b/>
          <w:sz w:val="24"/>
          <w:szCs w:val="24"/>
        </w:rPr>
        <w:t>Kuvendi kërkon që Ba</w:t>
      </w:r>
      <w:r w:rsidR="002A4B7E" w:rsidRPr="001203D7">
        <w:rPr>
          <w:rFonts w:ascii="Garamond" w:hAnsi="Garamond" w:cs="Times New Roman"/>
          <w:b/>
          <w:sz w:val="24"/>
          <w:szCs w:val="24"/>
        </w:rPr>
        <w:t>nka e Shqipërisë për vitin 2024</w:t>
      </w:r>
      <w:r w:rsidRPr="001203D7">
        <w:rPr>
          <w:rFonts w:ascii="Garamond" w:hAnsi="Garamond" w:cs="Times New Roman"/>
          <w:b/>
          <w:sz w:val="24"/>
          <w:szCs w:val="24"/>
        </w:rPr>
        <w:t xml:space="preserve"> të angazhohet në këto drejtime: </w:t>
      </w:r>
    </w:p>
    <w:p w14:paraId="2D254C4B" w14:textId="06128FDF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1. </w:t>
      </w:r>
      <w:r w:rsidR="00E47A7A" w:rsidRPr="001203D7">
        <w:rPr>
          <w:rFonts w:ascii="Garamond" w:hAnsi="Garamond" w:cs="Times New Roman"/>
          <w:sz w:val="24"/>
          <w:szCs w:val="24"/>
        </w:rPr>
        <w:t>Të mirëmbajë dhe të zhvillojë më tej modelet e par</w:t>
      </w:r>
      <w:r w:rsidR="002A4B7E" w:rsidRPr="001203D7">
        <w:rPr>
          <w:rFonts w:ascii="Garamond" w:hAnsi="Garamond" w:cs="Times New Roman"/>
          <w:sz w:val="24"/>
          <w:szCs w:val="24"/>
        </w:rPr>
        <w:t>ashikimit të politikës monetare për të kuptuar dhe parashikuar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në mënyrë të përshtatshme dhe në kohë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trendet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e zhvillimit të vendit dhe për të reaguar në kohën dhe në masën e duhur ndaj tyre. </w:t>
      </w:r>
    </w:p>
    <w:p w14:paraId="0AEC93C5" w14:textId="197578D7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2.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Të vazhdojë bashkërendimin e politikës monetare me politikën fiskale dhe masat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makroprudenciale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, në interes të rritjes së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sinergjive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të politikave të brendshme ekonomike dhe në mbështetje të procesit të integrimit evropian.</w:t>
      </w:r>
    </w:p>
    <w:p w14:paraId="30ED9AB9" w14:textId="7BFCFC6C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3.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Të përditësojë bazën rregullatore në funksion të nxitjes së stabilitetit financiar dhe moslënies së hapësirave të parregulluara që mund të krijojnë problematika në të ardhmen. </w:t>
      </w:r>
    </w:p>
    <w:p w14:paraId="265580DA" w14:textId="3BD085A9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4. </w:t>
      </w:r>
      <w:r w:rsidR="00E47A7A" w:rsidRPr="001203D7">
        <w:rPr>
          <w:rFonts w:ascii="Garamond" w:hAnsi="Garamond" w:cs="Times New Roman"/>
          <w:sz w:val="24"/>
          <w:szCs w:val="24"/>
        </w:rPr>
        <w:t>Të nxisë zhvillimin e tregjeve të brendshme financiare dhe konvergjencës graduale të tyre me standardet e BE-së.</w:t>
      </w:r>
    </w:p>
    <w:p w14:paraId="393CF646" w14:textId="7298AC77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5. </w:t>
      </w:r>
      <w:r w:rsidR="00E47A7A" w:rsidRPr="001203D7">
        <w:rPr>
          <w:rFonts w:ascii="Garamond" w:hAnsi="Garamond" w:cs="Times New Roman"/>
          <w:sz w:val="24"/>
          <w:szCs w:val="24"/>
        </w:rPr>
        <w:t>Të intensifikojë përpjekjet në identifikimin, mon</w:t>
      </w:r>
      <w:r w:rsidR="00366D43" w:rsidRPr="001203D7">
        <w:rPr>
          <w:rFonts w:ascii="Garamond" w:hAnsi="Garamond" w:cs="Times New Roman"/>
          <w:sz w:val="24"/>
          <w:szCs w:val="24"/>
        </w:rPr>
        <w:t>itorimin dhe administrimin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e rreziqeve që </w:t>
      </w:r>
      <w:r w:rsidR="00743ACB" w:rsidRPr="001203D7">
        <w:rPr>
          <w:rFonts w:ascii="Garamond" w:hAnsi="Garamond" w:cs="Times New Roman"/>
          <w:sz w:val="24"/>
          <w:szCs w:val="24"/>
        </w:rPr>
        <w:t>u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vijnë institucioneve financiare bankare dhe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jobankare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nga ndryshimet klimatike nëpërmjet hartimit dhe zbatimit të një plani të detajuar veprimi</w:t>
      </w:r>
      <w:r w:rsidR="00743ACB" w:rsidRPr="001203D7">
        <w:rPr>
          <w:rFonts w:ascii="Garamond" w:hAnsi="Garamond" w:cs="Times New Roman"/>
          <w:sz w:val="24"/>
          <w:szCs w:val="24"/>
        </w:rPr>
        <w:t>,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si dhe të mbështesë institucionet financiare për krijimin e një infrastrukture të dhënash që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masin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>/vlerësojnë këtë rrezik.</w:t>
      </w:r>
    </w:p>
    <w:p w14:paraId="72C0B56A" w14:textId="0DFD4543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6.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Të monitorojë në vazhdimësi treguesin e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kapitalizimit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të sektorit bankar dhe të marrë në kohë masa që ky tregues të jetë në nivele të mjaftueshme për të përballuar rreziqet e aktivitetit dhe për të mundësuar një rritje të shëndetshme të kreditimit.</w:t>
      </w:r>
    </w:p>
    <w:p w14:paraId="65FCA97A" w14:textId="1DD88FE4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7.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Të monitorojë në vazhdimësi tregun e këmbimeve valutore dhe të reagojë në kohën e duhur ndaj çrregullimeve potenciale në funksionimin e këtyre tregjeve. </w:t>
      </w:r>
    </w:p>
    <w:p w14:paraId="28FEA4D5" w14:textId="167AD914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8.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Të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prioritizojë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veprimet për anëtarësimin sa më parë të vendit në Tregun Unik të Pagesave në Euro, si pjesë e rëndësishme e angazhimit në drejtim të procesit të integrimit evropian, që do të sjellë përfitime për ekonominë</w:t>
      </w:r>
      <w:r w:rsidR="00743ACB" w:rsidRPr="001203D7">
        <w:rPr>
          <w:rFonts w:ascii="Garamond" w:hAnsi="Garamond" w:cs="Times New Roman"/>
          <w:sz w:val="24"/>
          <w:szCs w:val="24"/>
        </w:rPr>
        <w:t>,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si dhe të nxisë zhvillimin e projektit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Instant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Payment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>.</w:t>
      </w:r>
    </w:p>
    <w:p w14:paraId="4C064E5A" w14:textId="2C2CFA26" w:rsidR="00E47A7A" w:rsidRPr="001203D7" w:rsidRDefault="006A0A2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 xml:space="preserve">9. </w:t>
      </w:r>
      <w:r w:rsidR="00E47A7A" w:rsidRPr="001203D7">
        <w:rPr>
          <w:rFonts w:ascii="Garamond" w:hAnsi="Garamond" w:cs="Times New Roman"/>
          <w:sz w:val="24"/>
          <w:szCs w:val="24"/>
        </w:rPr>
        <w:t>Të vazhdojë zbatimin e masave të ndërmarra në kuadër të paketës së De-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euroizimit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>, si instrumente të nevojshme për zbutjen e rreziqeve potenciale që vijnë nga</w:t>
      </w:r>
      <w:r w:rsidR="00743ACB" w:rsidRPr="001203D7">
        <w:rPr>
          <w:rFonts w:ascii="Garamond" w:hAnsi="Garamond" w:cs="Times New Roman"/>
          <w:sz w:val="24"/>
          <w:szCs w:val="24"/>
        </w:rPr>
        <w:t xml:space="preserve"> luhatjet e kursit të këmbimit </w:t>
      </w:r>
      <w:r w:rsidR="00E47A7A" w:rsidRPr="001203D7">
        <w:rPr>
          <w:rFonts w:ascii="Garamond" w:hAnsi="Garamond" w:cs="Times New Roman"/>
          <w:sz w:val="24"/>
          <w:szCs w:val="24"/>
        </w:rPr>
        <w:t>dhe të bashkërendojë punën me institucionet e tjera publike, të cilat janë pjesë e kësaj strategjie.</w:t>
      </w:r>
    </w:p>
    <w:p w14:paraId="28F8BDC5" w14:textId="24CDEC3B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10.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kujdeset për zbatimin e plotë të ligjit nr.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 xml:space="preserve">100/2023 “Për llogarinë e pagesave në shërbimet bazike”, nëpërmjet miratimit të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të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gjitha akteve nënligjore brenda afateve të përcaktuara</w:t>
      </w:r>
      <w:r w:rsidR="00743ACB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sens</w:t>
      </w:r>
      <w:r w:rsidR="00743ACB" w:rsidRPr="001203D7">
        <w:rPr>
          <w:rFonts w:ascii="Garamond" w:hAnsi="Garamond" w:cs="Times New Roman"/>
          <w:sz w:val="24"/>
          <w:szCs w:val="24"/>
        </w:rPr>
        <w:t>ibilizimit të publikut të gjerë</w:t>
      </w:r>
      <w:r w:rsidRPr="001203D7">
        <w:rPr>
          <w:rFonts w:ascii="Garamond" w:hAnsi="Garamond" w:cs="Times New Roman"/>
          <w:sz w:val="24"/>
          <w:szCs w:val="24"/>
        </w:rPr>
        <w:t xml:space="preserve"> për përfitimin </w:t>
      </w:r>
      <w:r w:rsidR="00743ACB" w:rsidRPr="001203D7">
        <w:rPr>
          <w:rFonts w:ascii="Garamond" w:hAnsi="Garamond" w:cs="Times New Roman"/>
          <w:sz w:val="24"/>
          <w:szCs w:val="24"/>
        </w:rPr>
        <w:t xml:space="preserve">e </w:t>
      </w:r>
      <w:r w:rsidRPr="001203D7">
        <w:rPr>
          <w:rFonts w:ascii="Garamond" w:hAnsi="Garamond" w:cs="Times New Roman"/>
          <w:sz w:val="24"/>
          <w:szCs w:val="24"/>
        </w:rPr>
        <w:t>shërbimeve bankare me kosto të ulëta, dhe të intensifikojë përpjekjet për kryerjen e transaksioneve të pagesave elektronike përmes kartave elektronike apo formave të tjera të pagesave jo në para fizike.</w:t>
      </w:r>
    </w:p>
    <w:p w14:paraId="6994F7B2" w14:textId="5D6DEA39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11.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harmonizojë në vazhdimësi praktikat e ndërhyrjes së jashtëzakonshme me zhvillimet në legjislacionin e BE-së</w:t>
      </w:r>
      <w:r w:rsidR="00743ACB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si dhe të vijojë bashkëpunimin me autoritetet përgjegjëse e</w:t>
      </w:r>
      <w:r w:rsidR="00A76C85">
        <w:rPr>
          <w:rFonts w:ascii="Garamond" w:hAnsi="Garamond" w:cs="Times New Roman"/>
          <w:sz w:val="24"/>
          <w:szCs w:val="24"/>
        </w:rPr>
        <w:t>v</w:t>
      </w:r>
      <w:r w:rsidRPr="001203D7">
        <w:rPr>
          <w:rFonts w:ascii="Garamond" w:hAnsi="Garamond" w:cs="Times New Roman"/>
          <w:sz w:val="24"/>
          <w:szCs w:val="24"/>
        </w:rPr>
        <w:t>ropiane në funksion të shkëmbimit të informacionit të nevojshëm për ndërhyrjen e jashtëzakonshme.</w:t>
      </w:r>
    </w:p>
    <w:p w14:paraId="12EF4C4C" w14:textId="2791117D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12.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mirëmbajë planet e vijimësisë dhe të reagimit ndaj rreziqeve kibernetike, mbështetur në standardet ndërkombëtare dhe në praktikat më të mira për mbrojtjen kibernetike.</w:t>
      </w:r>
    </w:p>
    <w:p w14:paraId="014EB0EB" w14:textId="0358A9D4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13.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monitorojë me kujdes përqendrimin në rritje të kreditimit të lidhur me sektorin e pasurive të paluajtshme, si dhe të nxisë zbatimin e plotë nga bankat të rregullores “Për raportimin e të dhënave, identifikimin dhe mo</w:t>
      </w:r>
      <w:r w:rsidR="00366D43" w:rsidRPr="001203D7">
        <w:rPr>
          <w:rFonts w:ascii="Garamond" w:hAnsi="Garamond" w:cs="Times New Roman"/>
          <w:sz w:val="24"/>
          <w:szCs w:val="24"/>
        </w:rPr>
        <w:t xml:space="preserve">nitorimin e treguesve mbi </w:t>
      </w:r>
      <w:proofErr w:type="spellStart"/>
      <w:r w:rsidR="00366D43" w:rsidRPr="001203D7">
        <w:rPr>
          <w:rFonts w:ascii="Garamond" w:hAnsi="Garamond" w:cs="Times New Roman"/>
          <w:sz w:val="24"/>
          <w:szCs w:val="24"/>
        </w:rPr>
        <w:t>kredi</w:t>
      </w:r>
      <w:r w:rsidRPr="001203D7">
        <w:rPr>
          <w:rFonts w:ascii="Garamond" w:hAnsi="Garamond" w:cs="Times New Roman"/>
          <w:sz w:val="24"/>
          <w:szCs w:val="24"/>
        </w:rPr>
        <w:t>dhënien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dhe investimet për prona </w:t>
      </w:r>
      <w:r w:rsidRPr="001203D7">
        <w:rPr>
          <w:rFonts w:ascii="Garamond" w:hAnsi="Garamond" w:cs="Times New Roman"/>
          <w:sz w:val="24"/>
          <w:szCs w:val="24"/>
        </w:rPr>
        <w:lastRenderedPageBreak/>
        <w:t xml:space="preserve">të paluajtshme”. Rritjen e fokusit në pasojat potenciale për stabilitetin financiar me identifikimin e hershëm të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risqeve</w:t>
      </w:r>
      <w:proofErr w:type="spellEnd"/>
      <w:r w:rsidR="00366D43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që mund ta cenojnë shëndetin e sektorit bankar. </w:t>
      </w:r>
    </w:p>
    <w:p w14:paraId="42E5C86A" w14:textId="7B77CD14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14.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vazhdojë përafrimin e kuadrit mbikëqyrës me legjislacionin evropian për sa i takon rrezikut operacional, rrezikut të teknologjisë së informacionit e komunikimit dhe rrezikut kibernetik, si dhe të rrisë vigjilencën mbikëqyrëse ndaj këtyre rreziqeve.</w:t>
      </w:r>
    </w:p>
    <w:p w14:paraId="04466853" w14:textId="3E0378C5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15.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angazhohet në hartimin e ndryshimeve të nevojshme ligjore, nën asistencë</w:t>
      </w:r>
      <w:r w:rsidR="00743ACB" w:rsidRPr="001203D7">
        <w:rPr>
          <w:rFonts w:ascii="Garamond" w:hAnsi="Garamond" w:cs="Times New Roman"/>
          <w:sz w:val="24"/>
          <w:szCs w:val="24"/>
        </w:rPr>
        <w:t>n</w:t>
      </w:r>
      <w:r w:rsidRPr="001203D7">
        <w:rPr>
          <w:rFonts w:ascii="Garamond" w:hAnsi="Garamond" w:cs="Times New Roman"/>
          <w:sz w:val="24"/>
          <w:szCs w:val="24"/>
        </w:rPr>
        <w:t xml:space="preserve"> e institucioneve ndërkombëtare, për mbrojtjen e konsumatorit në veprimtarinë e subjekteve  financiare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jobanka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, rritje e transparencës në tregun financiar, si dhe përfshirjen në aktet ligjore të ndryshimeve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rregullative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të ndërmarra nga Banka e Shqipërisë.  </w:t>
      </w:r>
    </w:p>
    <w:p w14:paraId="1C1CE09E" w14:textId="263CE4D3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16.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 xml:space="preserve">Të sigurojë implementimin brenda vitit 2024 të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Open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Banking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PSD2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(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Payment</w:t>
      </w:r>
      <w:proofErr w:type="spellEnd"/>
      <w:r w:rsidRPr="001203D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Service</w:t>
      </w:r>
      <w:proofErr w:type="spellEnd"/>
      <w:r w:rsidRPr="001203D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Directive</w:t>
      </w:r>
      <w:proofErr w:type="spellEnd"/>
      <w:r w:rsidRPr="001203D7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Pr="001203D7">
        <w:rPr>
          <w:rFonts w:ascii="Garamond" w:hAnsi="Garamond" w:cs="Times New Roman"/>
          <w:i/>
          <w:sz w:val="24"/>
          <w:szCs w:val="24"/>
        </w:rPr>
        <w:t>EU</w:t>
      </w:r>
      <w:proofErr w:type="spellEnd"/>
      <w:r w:rsidRPr="001203D7">
        <w:rPr>
          <w:rFonts w:ascii="Garamond" w:hAnsi="Garamond" w:cs="Times New Roman"/>
          <w:sz w:val="24"/>
          <w:szCs w:val="24"/>
        </w:rPr>
        <w:t>), si dhe mundësimin për shtimin e opsioneve për transferim parash dhe pagesat bankare me qëllim uljen e kostove në çdo transaksion.</w:t>
      </w:r>
      <w:bookmarkStart w:id="0" w:name="_GoBack"/>
      <w:bookmarkEnd w:id="0"/>
    </w:p>
    <w:p w14:paraId="1AE1C42C" w14:textId="09234288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17.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vazhdojë procesin e mbikëqyrjes të bazuar në rrezik, si për sektorin bankar</w:t>
      </w:r>
      <w:r w:rsidR="00743ACB" w:rsidRPr="001203D7">
        <w:rPr>
          <w:rFonts w:ascii="Garamond" w:hAnsi="Garamond" w:cs="Times New Roman"/>
          <w:sz w:val="24"/>
          <w:szCs w:val="24"/>
        </w:rPr>
        <w:t>,</w:t>
      </w:r>
      <w:r w:rsidRPr="001203D7">
        <w:rPr>
          <w:rFonts w:ascii="Garamond" w:hAnsi="Garamond" w:cs="Times New Roman"/>
          <w:sz w:val="24"/>
          <w:szCs w:val="24"/>
        </w:rPr>
        <w:t xml:space="preserve"> ashtu edhe </w:t>
      </w:r>
      <w:r w:rsidR="00743ACB" w:rsidRPr="001203D7">
        <w:rPr>
          <w:rFonts w:ascii="Garamond" w:hAnsi="Garamond" w:cs="Times New Roman"/>
          <w:sz w:val="24"/>
          <w:szCs w:val="24"/>
        </w:rPr>
        <w:t xml:space="preserve">për institucionet financiare </w:t>
      </w:r>
      <w:proofErr w:type="spellStart"/>
      <w:r w:rsidR="00743ACB" w:rsidRPr="001203D7">
        <w:rPr>
          <w:rFonts w:ascii="Garamond" w:hAnsi="Garamond" w:cs="Times New Roman"/>
          <w:sz w:val="24"/>
          <w:szCs w:val="24"/>
        </w:rPr>
        <w:t>jo</w:t>
      </w:r>
      <w:r w:rsidRPr="001203D7">
        <w:rPr>
          <w:rFonts w:ascii="Garamond" w:hAnsi="Garamond" w:cs="Times New Roman"/>
          <w:sz w:val="24"/>
          <w:szCs w:val="24"/>
        </w:rPr>
        <w:t>bankare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, të udhëhequr nga parimi i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proporcionalitetit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në mënyrë që të sigurohet rregullimi në përputhje me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risqet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që mund të ofrojë një segment tregu në raport me tregun dhe një institucion financiar në raport me institucionet e tjera të </w:t>
      </w:r>
      <w:proofErr w:type="spellStart"/>
      <w:r w:rsidRPr="001203D7">
        <w:rPr>
          <w:rFonts w:ascii="Garamond" w:hAnsi="Garamond" w:cs="Times New Roman"/>
          <w:sz w:val="24"/>
          <w:szCs w:val="24"/>
        </w:rPr>
        <w:t>të</w:t>
      </w:r>
      <w:proofErr w:type="spellEnd"/>
      <w:r w:rsidRPr="001203D7">
        <w:rPr>
          <w:rFonts w:ascii="Garamond" w:hAnsi="Garamond" w:cs="Times New Roman"/>
          <w:sz w:val="24"/>
          <w:szCs w:val="24"/>
        </w:rPr>
        <w:t xml:space="preserve"> njëjtit segment. </w:t>
      </w:r>
    </w:p>
    <w:p w14:paraId="622F9D5B" w14:textId="28BC00A6" w:rsidR="00E47A7A" w:rsidRPr="001203D7" w:rsidRDefault="00743ACB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203D7">
        <w:rPr>
          <w:rFonts w:ascii="Garamond" w:hAnsi="Garamond" w:cs="Times New Roman"/>
          <w:sz w:val="24"/>
          <w:szCs w:val="24"/>
        </w:rPr>
        <w:t>18.</w:t>
      </w:r>
      <w:r w:rsidR="000C2E7C">
        <w:rPr>
          <w:rFonts w:ascii="Garamond" w:hAnsi="Garamond" w:cs="Times New Roman"/>
          <w:sz w:val="24"/>
          <w:szCs w:val="24"/>
        </w:rPr>
        <w:t xml:space="preserve"> </w:t>
      </w:r>
      <w:r w:rsidRPr="001203D7">
        <w:rPr>
          <w:rFonts w:ascii="Garamond" w:hAnsi="Garamond" w:cs="Times New Roman"/>
          <w:sz w:val="24"/>
          <w:szCs w:val="24"/>
        </w:rPr>
        <w:t>Të rrisë fokusin e saj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 në zhvillimin e kapaciteteve të kërkimit dhe analizimit të fenomeneve ekonomike me fokus të veçantë zhvillimet në kursin e këmbimit dhe </w:t>
      </w:r>
      <w:proofErr w:type="spellStart"/>
      <w:r w:rsidR="00E47A7A" w:rsidRPr="001203D7">
        <w:rPr>
          <w:rFonts w:ascii="Garamond" w:hAnsi="Garamond" w:cs="Times New Roman"/>
          <w:sz w:val="24"/>
          <w:szCs w:val="24"/>
        </w:rPr>
        <w:t>risqeve</w:t>
      </w:r>
      <w:proofErr w:type="spellEnd"/>
      <w:r w:rsidR="00E47A7A" w:rsidRPr="001203D7">
        <w:rPr>
          <w:rFonts w:ascii="Garamond" w:hAnsi="Garamond" w:cs="Times New Roman"/>
          <w:sz w:val="24"/>
          <w:szCs w:val="24"/>
        </w:rPr>
        <w:t xml:space="preserve"> që mund të prodhojë situata</w:t>
      </w:r>
      <w:r w:rsidR="00366D43" w:rsidRPr="001203D7">
        <w:rPr>
          <w:rFonts w:ascii="Garamond" w:hAnsi="Garamond" w:cs="Times New Roman"/>
          <w:sz w:val="24"/>
          <w:szCs w:val="24"/>
        </w:rPr>
        <w:t xml:space="preserve"> të </w:t>
      </w:r>
      <w:r w:rsidR="00E47A7A" w:rsidRPr="001203D7">
        <w:rPr>
          <w:rFonts w:ascii="Garamond" w:hAnsi="Garamond" w:cs="Times New Roman"/>
          <w:sz w:val="24"/>
          <w:szCs w:val="24"/>
        </w:rPr>
        <w:t xml:space="preserve">ndryshme për ekonominë. </w:t>
      </w:r>
    </w:p>
    <w:p w14:paraId="57B48FF0" w14:textId="77777777" w:rsidR="00E47A7A" w:rsidRPr="001203D7" w:rsidRDefault="00E47A7A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F248749" w14:textId="1C349F7E" w:rsidR="002879AF" w:rsidRPr="001203D7" w:rsidRDefault="002879AF" w:rsidP="002879A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203D7">
        <w:rPr>
          <w:rFonts w:ascii="Garamond" w:eastAsia="MS Mincho" w:hAnsi="Garamond" w:cs="Times New Roman"/>
          <w:sz w:val="24"/>
          <w:szCs w:val="24"/>
        </w:rPr>
        <w:t>KRYETARE</w:t>
      </w:r>
    </w:p>
    <w:p w14:paraId="7766D9ED" w14:textId="4A7C2194" w:rsidR="002879AF" w:rsidRPr="001203D7" w:rsidRDefault="002879AF" w:rsidP="002879AF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1203D7">
        <w:rPr>
          <w:rFonts w:ascii="Garamond" w:eastAsia="MS Mincho" w:hAnsi="Garamond" w:cs="Times New Roman"/>
          <w:b/>
          <w:bCs/>
          <w:sz w:val="24"/>
          <w:szCs w:val="24"/>
        </w:rPr>
        <w:t xml:space="preserve">Lindita </w:t>
      </w:r>
      <w:proofErr w:type="spellStart"/>
      <w:r w:rsidRPr="001203D7">
        <w:rPr>
          <w:rFonts w:ascii="Garamond" w:eastAsia="MS Mincho" w:hAnsi="Garamond" w:cs="Times New Roman"/>
          <w:b/>
          <w:bCs/>
          <w:sz w:val="24"/>
          <w:szCs w:val="24"/>
        </w:rPr>
        <w:t>Nikolla</w:t>
      </w:r>
      <w:proofErr w:type="spellEnd"/>
    </w:p>
    <w:p w14:paraId="4FB9CCF9" w14:textId="34092795" w:rsidR="002879AF" w:rsidRPr="001203D7" w:rsidRDefault="002879AF" w:rsidP="002879A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E9909DF" w14:textId="4F719E58" w:rsidR="0079748A" w:rsidRPr="001203D7" w:rsidRDefault="00A755F6" w:rsidP="002879A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0"/>
          <w:szCs w:val="20"/>
        </w:rPr>
      </w:pPr>
      <w:r w:rsidRPr="001203D7">
        <w:rPr>
          <w:rFonts w:ascii="Garamond" w:hAnsi="Garamond" w:cs="Times New Roman"/>
          <w:sz w:val="24"/>
          <w:szCs w:val="24"/>
        </w:rPr>
        <w:t xml:space="preserve">Miratuar në datën </w:t>
      </w:r>
      <w:r w:rsidR="006D4DB7" w:rsidRPr="001203D7">
        <w:rPr>
          <w:rFonts w:ascii="Garamond" w:hAnsi="Garamond" w:cs="Times New Roman"/>
          <w:sz w:val="24"/>
          <w:szCs w:val="24"/>
        </w:rPr>
        <w:t>25</w:t>
      </w:r>
      <w:r w:rsidR="003C57D3" w:rsidRPr="001203D7">
        <w:rPr>
          <w:rFonts w:ascii="Garamond" w:hAnsi="Garamond" w:cs="Times New Roman"/>
          <w:sz w:val="24"/>
          <w:szCs w:val="24"/>
        </w:rPr>
        <w:t>.</w:t>
      </w:r>
      <w:r w:rsidR="00CE27F4" w:rsidRPr="001203D7">
        <w:rPr>
          <w:rFonts w:ascii="Garamond" w:hAnsi="Garamond" w:cs="Times New Roman"/>
          <w:sz w:val="24"/>
          <w:szCs w:val="24"/>
        </w:rPr>
        <w:t>7.</w:t>
      </w:r>
      <w:r w:rsidR="003C57D3" w:rsidRPr="001203D7">
        <w:rPr>
          <w:rFonts w:ascii="Garamond" w:hAnsi="Garamond" w:cs="Times New Roman"/>
          <w:sz w:val="24"/>
          <w:szCs w:val="24"/>
        </w:rPr>
        <w:t>2024</w:t>
      </w:r>
      <w:r w:rsidR="000C2E7C">
        <w:rPr>
          <w:rFonts w:ascii="Garamond" w:hAnsi="Garamond" w:cs="Times New Roman"/>
          <w:sz w:val="24"/>
          <w:szCs w:val="24"/>
        </w:rPr>
        <w:t>.</w:t>
      </w:r>
    </w:p>
    <w:sectPr w:rsidR="0079748A" w:rsidRPr="001203D7" w:rsidSect="00556EBC">
      <w:pgSz w:w="11907" w:h="16840" w:code="9"/>
      <w:pgMar w:top="1440" w:right="1440" w:bottom="108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CA1D79" w14:textId="77777777" w:rsidR="000C2E7C" w:rsidRDefault="000C2E7C" w:rsidP="00C86383">
      <w:pPr>
        <w:spacing w:after="0" w:line="240" w:lineRule="auto"/>
      </w:pPr>
      <w:r>
        <w:separator/>
      </w:r>
    </w:p>
  </w:endnote>
  <w:endnote w:type="continuationSeparator" w:id="0">
    <w:p w14:paraId="6B961E0C" w14:textId="77777777" w:rsidR="000C2E7C" w:rsidRDefault="000C2E7C" w:rsidP="00C86383">
      <w:pPr>
        <w:spacing w:after="0" w:line="240" w:lineRule="auto"/>
      </w:pPr>
      <w:r>
        <w:continuationSeparator/>
      </w:r>
    </w:p>
  </w:endnote>
  <w:endnote w:type="continuationNotice" w:id="1">
    <w:p w14:paraId="4F0DA43C" w14:textId="77777777" w:rsidR="000C2E7C" w:rsidRDefault="000C2E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D8BFC" w14:textId="77777777" w:rsidR="000C2E7C" w:rsidRDefault="000C2E7C" w:rsidP="00C86383">
      <w:pPr>
        <w:spacing w:after="0" w:line="240" w:lineRule="auto"/>
      </w:pPr>
      <w:r>
        <w:separator/>
      </w:r>
    </w:p>
  </w:footnote>
  <w:footnote w:type="continuationSeparator" w:id="0">
    <w:p w14:paraId="2508ED73" w14:textId="77777777" w:rsidR="000C2E7C" w:rsidRDefault="000C2E7C" w:rsidP="00C86383">
      <w:pPr>
        <w:spacing w:after="0" w:line="240" w:lineRule="auto"/>
      </w:pPr>
      <w:r>
        <w:continuationSeparator/>
      </w:r>
    </w:p>
  </w:footnote>
  <w:footnote w:type="continuationNotice" w:id="1">
    <w:p w14:paraId="647416E5" w14:textId="77777777" w:rsidR="000C2E7C" w:rsidRDefault="000C2E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8E0"/>
    <w:multiLevelType w:val="hybridMultilevel"/>
    <w:tmpl w:val="5EA0B5BE"/>
    <w:lvl w:ilvl="0" w:tplc="EB187D4C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F72DF8"/>
    <w:multiLevelType w:val="hybridMultilevel"/>
    <w:tmpl w:val="65D4E524"/>
    <w:lvl w:ilvl="0" w:tplc="ED045C04">
      <w:numFmt w:val="bullet"/>
      <w:lvlText w:val="-"/>
      <w:lvlJc w:val="left"/>
      <w:pPr>
        <w:ind w:left="720" w:hanging="360"/>
      </w:pPr>
      <w:rPr>
        <w:rFonts w:ascii="Garamond" w:eastAsia="Calibri" w:hAnsi="Garamond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349C0"/>
    <w:multiLevelType w:val="hybridMultilevel"/>
    <w:tmpl w:val="076AD4E2"/>
    <w:lvl w:ilvl="0" w:tplc="44D4D66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853002"/>
    <w:multiLevelType w:val="hybridMultilevel"/>
    <w:tmpl w:val="677ECF20"/>
    <w:lvl w:ilvl="0" w:tplc="47840A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A411B8"/>
    <w:multiLevelType w:val="hybridMultilevel"/>
    <w:tmpl w:val="FA0429A0"/>
    <w:lvl w:ilvl="0" w:tplc="3B2ECE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5108F"/>
    <w:multiLevelType w:val="hybridMultilevel"/>
    <w:tmpl w:val="4D6CAAB2"/>
    <w:lvl w:ilvl="0" w:tplc="4732BF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D66A64"/>
    <w:multiLevelType w:val="hybridMultilevel"/>
    <w:tmpl w:val="BE02EF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B7B0B"/>
    <w:multiLevelType w:val="hybridMultilevel"/>
    <w:tmpl w:val="4D22644E"/>
    <w:lvl w:ilvl="0" w:tplc="B2CCAE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  <w:color w:val="auto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F36DC6"/>
    <w:multiLevelType w:val="hybridMultilevel"/>
    <w:tmpl w:val="8A60E71C"/>
    <w:lvl w:ilvl="0" w:tplc="55CE1B82">
      <w:numFmt w:val="bullet"/>
      <w:lvlText w:val="-"/>
      <w:lvlJc w:val="left"/>
      <w:pPr>
        <w:ind w:left="70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 w15:restartNumberingAfterBreak="0">
    <w:nsid w:val="24BB51B0"/>
    <w:multiLevelType w:val="hybridMultilevel"/>
    <w:tmpl w:val="72DA977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241627"/>
    <w:multiLevelType w:val="hybridMultilevel"/>
    <w:tmpl w:val="808E4498"/>
    <w:lvl w:ilvl="0" w:tplc="662077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DF64CF"/>
    <w:multiLevelType w:val="hybridMultilevel"/>
    <w:tmpl w:val="DD06D33E"/>
    <w:lvl w:ilvl="0" w:tplc="CB20027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3F09FB"/>
    <w:multiLevelType w:val="hybridMultilevel"/>
    <w:tmpl w:val="66AA07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D17B4A"/>
    <w:multiLevelType w:val="hybridMultilevel"/>
    <w:tmpl w:val="A598249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7E0B4C"/>
    <w:multiLevelType w:val="hybridMultilevel"/>
    <w:tmpl w:val="638C5802"/>
    <w:lvl w:ilvl="0" w:tplc="30C45F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733540"/>
    <w:multiLevelType w:val="hybridMultilevel"/>
    <w:tmpl w:val="6838B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A36BE8"/>
    <w:multiLevelType w:val="hybridMultilevel"/>
    <w:tmpl w:val="B2D2D0B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5055FE"/>
    <w:multiLevelType w:val="hybridMultilevel"/>
    <w:tmpl w:val="BA92FF50"/>
    <w:lvl w:ilvl="0" w:tplc="EA92734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E121DB"/>
    <w:multiLevelType w:val="hybridMultilevel"/>
    <w:tmpl w:val="89FAAC50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50C965A9"/>
    <w:multiLevelType w:val="hybridMultilevel"/>
    <w:tmpl w:val="B810EB02"/>
    <w:lvl w:ilvl="0" w:tplc="27F4240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w w:val="105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B6235"/>
    <w:multiLevelType w:val="hybridMultilevel"/>
    <w:tmpl w:val="DA940CC6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C9D20992">
      <w:numFmt w:val="bullet"/>
      <w:lvlText w:val="-"/>
      <w:lvlJc w:val="left"/>
      <w:pPr>
        <w:ind w:left="1500" w:hanging="360"/>
      </w:pPr>
      <w:rPr>
        <w:rFonts w:ascii="Times New Roman" w:eastAsiaTheme="minorHAnsi" w:hAnsi="Times New Roman" w:cs="Times New Roman" w:hint="default"/>
        <w:color w:val="auto"/>
        <w:w w:val="105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5BD77F50"/>
    <w:multiLevelType w:val="hybridMultilevel"/>
    <w:tmpl w:val="6ABACB78"/>
    <w:lvl w:ilvl="0" w:tplc="4ED22B8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843CD"/>
    <w:multiLevelType w:val="hybridMultilevel"/>
    <w:tmpl w:val="93D4A512"/>
    <w:lvl w:ilvl="0" w:tplc="1382DB3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0059D"/>
    <w:multiLevelType w:val="hybridMultilevel"/>
    <w:tmpl w:val="8346A3DE"/>
    <w:lvl w:ilvl="0" w:tplc="53F42F4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3"/>
  </w:num>
  <w:num w:numId="4">
    <w:abstractNumId w:val="10"/>
  </w:num>
  <w:num w:numId="5">
    <w:abstractNumId w:val="22"/>
  </w:num>
  <w:num w:numId="6">
    <w:abstractNumId w:val="5"/>
  </w:num>
  <w:num w:numId="7">
    <w:abstractNumId w:val="17"/>
  </w:num>
  <w:num w:numId="8">
    <w:abstractNumId w:val="4"/>
  </w:num>
  <w:num w:numId="9">
    <w:abstractNumId w:val="0"/>
  </w:num>
  <w:num w:numId="10">
    <w:abstractNumId w:val="20"/>
  </w:num>
  <w:num w:numId="11">
    <w:abstractNumId w:val="19"/>
  </w:num>
  <w:num w:numId="12">
    <w:abstractNumId w:val="6"/>
  </w:num>
  <w:num w:numId="13">
    <w:abstractNumId w:val="9"/>
  </w:num>
  <w:num w:numId="14">
    <w:abstractNumId w:val="14"/>
  </w:num>
  <w:num w:numId="15">
    <w:abstractNumId w:val="21"/>
  </w:num>
  <w:num w:numId="16">
    <w:abstractNumId w:val="11"/>
  </w:num>
  <w:num w:numId="17">
    <w:abstractNumId w:val="23"/>
  </w:num>
  <w:num w:numId="18">
    <w:abstractNumId w:val="12"/>
  </w:num>
  <w:num w:numId="19">
    <w:abstractNumId w:val="18"/>
  </w:num>
  <w:num w:numId="20">
    <w:abstractNumId w:val="7"/>
  </w:num>
  <w:num w:numId="21">
    <w:abstractNumId w:val="2"/>
  </w:num>
  <w:num w:numId="22">
    <w:abstractNumId w:val="13"/>
  </w:num>
  <w:num w:numId="23">
    <w:abstractNumId w:val="1"/>
  </w:num>
  <w:num w:numId="2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5DB"/>
    <w:rsid w:val="00005C6F"/>
    <w:rsid w:val="00007948"/>
    <w:rsid w:val="0001371B"/>
    <w:rsid w:val="00013F99"/>
    <w:rsid w:val="00013FC1"/>
    <w:rsid w:val="0001705C"/>
    <w:rsid w:val="00017F55"/>
    <w:rsid w:val="00020115"/>
    <w:rsid w:val="000224FD"/>
    <w:rsid w:val="000225F5"/>
    <w:rsid w:val="00022B06"/>
    <w:rsid w:val="000278AC"/>
    <w:rsid w:val="00027E1F"/>
    <w:rsid w:val="00032ACF"/>
    <w:rsid w:val="00044096"/>
    <w:rsid w:val="00044C1F"/>
    <w:rsid w:val="00051513"/>
    <w:rsid w:val="00055B91"/>
    <w:rsid w:val="0005725B"/>
    <w:rsid w:val="00062B6C"/>
    <w:rsid w:val="00062F7F"/>
    <w:rsid w:val="0007298B"/>
    <w:rsid w:val="00073681"/>
    <w:rsid w:val="00082B98"/>
    <w:rsid w:val="00083230"/>
    <w:rsid w:val="00091EE7"/>
    <w:rsid w:val="000A08B2"/>
    <w:rsid w:val="000A0B41"/>
    <w:rsid w:val="000C0CFC"/>
    <w:rsid w:val="000C1BC4"/>
    <w:rsid w:val="000C2E7C"/>
    <w:rsid w:val="000C7182"/>
    <w:rsid w:val="000D0397"/>
    <w:rsid w:val="000D1518"/>
    <w:rsid w:val="000D476A"/>
    <w:rsid w:val="000D6847"/>
    <w:rsid w:val="000E127F"/>
    <w:rsid w:val="000E3E8D"/>
    <w:rsid w:val="000E4797"/>
    <w:rsid w:val="000E5355"/>
    <w:rsid w:val="000F121E"/>
    <w:rsid w:val="000F417A"/>
    <w:rsid w:val="0010178D"/>
    <w:rsid w:val="001049FD"/>
    <w:rsid w:val="001113F8"/>
    <w:rsid w:val="001156F1"/>
    <w:rsid w:val="001203D7"/>
    <w:rsid w:val="00121DB5"/>
    <w:rsid w:val="00125D8E"/>
    <w:rsid w:val="001315C1"/>
    <w:rsid w:val="001325AF"/>
    <w:rsid w:val="00132AD7"/>
    <w:rsid w:val="001336E2"/>
    <w:rsid w:val="001356DB"/>
    <w:rsid w:val="001424BF"/>
    <w:rsid w:val="001432F5"/>
    <w:rsid w:val="00143A0C"/>
    <w:rsid w:val="001501FF"/>
    <w:rsid w:val="0016140E"/>
    <w:rsid w:val="00162EC4"/>
    <w:rsid w:val="00176BBD"/>
    <w:rsid w:val="0018119B"/>
    <w:rsid w:val="00181B37"/>
    <w:rsid w:val="00184409"/>
    <w:rsid w:val="001858C3"/>
    <w:rsid w:val="00191634"/>
    <w:rsid w:val="001A79AF"/>
    <w:rsid w:val="001B134B"/>
    <w:rsid w:val="001B6D41"/>
    <w:rsid w:val="001B7CF3"/>
    <w:rsid w:val="001C1147"/>
    <w:rsid w:val="001E2085"/>
    <w:rsid w:val="001E3542"/>
    <w:rsid w:val="001F4CD5"/>
    <w:rsid w:val="00202011"/>
    <w:rsid w:val="0020553B"/>
    <w:rsid w:val="002063FE"/>
    <w:rsid w:val="002129CF"/>
    <w:rsid w:val="00215C02"/>
    <w:rsid w:val="002176D7"/>
    <w:rsid w:val="00223BB0"/>
    <w:rsid w:val="0022618D"/>
    <w:rsid w:val="002359AF"/>
    <w:rsid w:val="00237CB2"/>
    <w:rsid w:val="00240E91"/>
    <w:rsid w:val="00243068"/>
    <w:rsid w:val="00244B19"/>
    <w:rsid w:val="00244D0F"/>
    <w:rsid w:val="00262768"/>
    <w:rsid w:val="00262C8A"/>
    <w:rsid w:val="00266214"/>
    <w:rsid w:val="002829FE"/>
    <w:rsid w:val="00283031"/>
    <w:rsid w:val="00286E87"/>
    <w:rsid w:val="002879AF"/>
    <w:rsid w:val="0029415F"/>
    <w:rsid w:val="002A1841"/>
    <w:rsid w:val="002A4484"/>
    <w:rsid w:val="002A4B7E"/>
    <w:rsid w:val="002B2319"/>
    <w:rsid w:val="002B42ED"/>
    <w:rsid w:val="002B6674"/>
    <w:rsid w:val="002C0BF7"/>
    <w:rsid w:val="002D28BD"/>
    <w:rsid w:val="002D47BF"/>
    <w:rsid w:val="002D6F17"/>
    <w:rsid w:val="002E049D"/>
    <w:rsid w:val="002E203D"/>
    <w:rsid w:val="002E30A1"/>
    <w:rsid w:val="002E3E9A"/>
    <w:rsid w:val="002E57A2"/>
    <w:rsid w:val="002F1E84"/>
    <w:rsid w:val="002F495E"/>
    <w:rsid w:val="002F56DF"/>
    <w:rsid w:val="00310428"/>
    <w:rsid w:val="00312A26"/>
    <w:rsid w:val="00321277"/>
    <w:rsid w:val="00323548"/>
    <w:rsid w:val="00327E49"/>
    <w:rsid w:val="003305FA"/>
    <w:rsid w:val="0033383F"/>
    <w:rsid w:val="003345F5"/>
    <w:rsid w:val="00335564"/>
    <w:rsid w:val="00343599"/>
    <w:rsid w:val="00343D14"/>
    <w:rsid w:val="0034558C"/>
    <w:rsid w:val="00351908"/>
    <w:rsid w:val="003556E0"/>
    <w:rsid w:val="003557DA"/>
    <w:rsid w:val="00366D43"/>
    <w:rsid w:val="003709B5"/>
    <w:rsid w:val="00373D67"/>
    <w:rsid w:val="003802C5"/>
    <w:rsid w:val="00380CE5"/>
    <w:rsid w:val="00382072"/>
    <w:rsid w:val="00384791"/>
    <w:rsid w:val="00384A0F"/>
    <w:rsid w:val="003918EF"/>
    <w:rsid w:val="00391D0F"/>
    <w:rsid w:val="00393AEF"/>
    <w:rsid w:val="00393D81"/>
    <w:rsid w:val="003962DE"/>
    <w:rsid w:val="00397B89"/>
    <w:rsid w:val="003A2FD5"/>
    <w:rsid w:val="003A3D56"/>
    <w:rsid w:val="003C3B41"/>
    <w:rsid w:val="003C51DC"/>
    <w:rsid w:val="003C57D3"/>
    <w:rsid w:val="003D23B3"/>
    <w:rsid w:val="003D41ED"/>
    <w:rsid w:val="003D6B2B"/>
    <w:rsid w:val="003E08F3"/>
    <w:rsid w:val="003E193B"/>
    <w:rsid w:val="003E334D"/>
    <w:rsid w:val="003E39E2"/>
    <w:rsid w:val="003E3F68"/>
    <w:rsid w:val="003E6C60"/>
    <w:rsid w:val="003F623E"/>
    <w:rsid w:val="003F66F6"/>
    <w:rsid w:val="004029FA"/>
    <w:rsid w:val="00402A6A"/>
    <w:rsid w:val="00413F47"/>
    <w:rsid w:val="004215B2"/>
    <w:rsid w:val="00430EDA"/>
    <w:rsid w:val="0043625A"/>
    <w:rsid w:val="00440837"/>
    <w:rsid w:val="00441F4D"/>
    <w:rsid w:val="0045672F"/>
    <w:rsid w:val="00457EDB"/>
    <w:rsid w:val="004615DB"/>
    <w:rsid w:val="00462270"/>
    <w:rsid w:val="00463738"/>
    <w:rsid w:val="0046513F"/>
    <w:rsid w:val="00471F9D"/>
    <w:rsid w:val="00477C33"/>
    <w:rsid w:val="00480E67"/>
    <w:rsid w:val="00480EEA"/>
    <w:rsid w:val="004819A5"/>
    <w:rsid w:val="00482A91"/>
    <w:rsid w:val="004847B6"/>
    <w:rsid w:val="00485242"/>
    <w:rsid w:val="0049616C"/>
    <w:rsid w:val="004A3A52"/>
    <w:rsid w:val="004A5109"/>
    <w:rsid w:val="004B0605"/>
    <w:rsid w:val="004B13B2"/>
    <w:rsid w:val="004B79D3"/>
    <w:rsid w:val="004C36BB"/>
    <w:rsid w:val="004C430E"/>
    <w:rsid w:val="004C4CF2"/>
    <w:rsid w:val="004D1840"/>
    <w:rsid w:val="004D508B"/>
    <w:rsid w:val="004D62AE"/>
    <w:rsid w:val="004E0456"/>
    <w:rsid w:val="004E639B"/>
    <w:rsid w:val="004E7623"/>
    <w:rsid w:val="004F08BE"/>
    <w:rsid w:val="004F219E"/>
    <w:rsid w:val="00501097"/>
    <w:rsid w:val="00502636"/>
    <w:rsid w:val="00505558"/>
    <w:rsid w:val="00505674"/>
    <w:rsid w:val="00513A51"/>
    <w:rsid w:val="00514B00"/>
    <w:rsid w:val="00520F52"/>
    <w:rsid w:val="005228B2"/>
    <w:rsid w:val="005228E2"/>
    <w:rsid w:val="00524B85"/>
    <w:rsid w:val="00526332"/>
    <w:rsid w:val="00533A29"/>
    <w:rsid w:val="00540968"/>
    <w:rsid w:val="00541D13"/>
    <w:rsid w:val="00544ED5"/>
    <w:rsid w:val="00545007"/>
    <w:rsid w:val="005464CA"/>
    <w:rsid w:val="00546B87"/>
    <w:rsid w:val="00551654"/>
    <w:rsid w:val="00551A0C"/>
    <w:rsid w:val="00555F66"/>
    <w:rsid w:val="00556003"/>
    <w:rsid w:val="00556EBC"/>
    <w:rsid w:val="00564D41"/>
    <w:rsid w:val="00566A66"/>
    <w:rsid w:val="00567336"/>
    <w:rsid w:val="00595D7E"/>
    <w:rsid w:val="005A4BF2"/>
    <w:rsid w:val="005A6A5B"/>
    <w:rsid w:val="005B4F54"/>
    <w:rsid w:val="005C0232"/>
    <w:rsid w:val="005C275E"/>
    <w:rsid w:val="005C7FD6"/>
    <w:rsid w:val="005D008B"/>
    <w:rsid w:val="005D2C27"/>
    <w:rsid w:val="005D79C0"/>
    <w:rsid w:val="005E0B16"/>
    <w:rsid w:val="005E3C64"/>
    <w:rsid w:val="005E4979"/>
    <w:rsid w:val="005F08C5"/>
    <w:rsid w:val="005F7BAE"/>
    <w:rsid w:val="00600647"/>
    <w:rsid w:val="00606A64"/>
    <w:rsid w:val="00611AFD"/>
    <w:rsid w:val="00612758"/>
    <w:rsid w:val="006236C3"/>
    <w:rsid w:val="00630061"/>
    <w:rsid w:val="00630EA6"/>
    <w:rsid w:val="006344E9"/>
    <w:rsid w:val="00635067"/>
    <w:rsid w:val="0066462F"/>
    <w:rsid w:val="00664CC2"/>
    <w:rsid w:val="00666637"/>
    <w:rsid w:val="006672E6"/>
    <w:rsid w:val="0067489C"/>
    <w:rsid w:val="0067607A"/>
    <w:rsid w:val="00680190"/>
    <w:rsid w:val="00681699"/>
    <w:rsid w:val="00686471"/>
    <w:rsid w:val="006870DA"/>
    <w:rsid w:val="00695534"/>
    <w:rsid w:val="006A0A2B"/>
    <w:rsid w:val="006A1126"/>
    <w:rsid w:val="006B27CE"/>
    <w:rsid w:val="006B790D"/>
    <w:rsid w:val="006C2AEE"/>
    <w:rsid w:val="006D3004"/>
    <w:rsid w:val="006D4DB7"/>
    <w:rsid w:val="006D6CF7"/>
    <w:rsid w:val="006E5794"/>
    <w:rsid w:val="006F2FA3"/>
    <w:rsid w:val="00700DFF"/>
    <w:rsid w:val="00702A04"/>
    <w:rsid w:val="00704D02"/>
    <w:rsid w:val="007064AB"/>
    <w:rsid w:val="00706557"/>
    <w:rsid w:val="00707C51"/>
    <w:rsid w:val="007134F3"/>
    <w:rsid w:val="0071531C"/>
    <w:rsid w:val="00717DD1"/>
    <w:rsid w:val="00721F94"/>
    <w:rsid w:val="00722A76"/>
    <w:rsid w:val="007259CC"/>
    <w:rsid w:val="007312D6"/>
    <w:rsid w:val="00743ACB"/>
    <w:rsid w:val="00750776"/>
    <w:rsid w:val="00752319"/>
    <w:rsid w:val="00757B31"/>
    <w:rsid w:val="00761637"/>
    <w:rsid w:val="00761C31"/>
    <w:rsid w:val="00761C60"/>
    <w:rsid w:val="00761F57"/>
    <w:rsid w:val="007832F6"/>
    <w:rsid w:val="00783CAA"/>
    <w:rsid w:val="007841E1"/>
    <w:rsid w:val="00784660"/>
    <w:rsid w:val="007850C4"/>
    <w:rsid w:val="0078612B"/>
    <w:rsid w:val="00786E43"/>
    <w:rsid w:val="0078764B"/>
    <w:rsid w:val="0078778A"/>
    <w:rsid w:val="0079170F"/>
    <w:rsid w:val="00794562"/>
    <w:rsid w:val="0079748A"/>
    <w:rsid w:val="007A1453"/>
    <w:rsid w:val="007A24F8"/>
    <w:rsid w:val="007A4144"/>
    <w:rsid w:val="007A54D2"/>
    <w:rsid w:val="007A6000"/>
    <w:rsid w:val="007A744F"/>
    <w:rsid w:val="007B1016"/>
    <w:rsid w:val="007B6844"/>
    <w:rsid w:val="007C05DC"/>
    <w:rsid w:val="007C0DC8"/>
    <w:rsid w:val="007C1E4A"/>
    <w:rsid w:val="007C6F84"/>
    <w:rsid w:val="007F04D3"/>
    <w:rsid w:val="007F16F8"/>
    <w:rsid w:val="007F2061"/>
    <w:rsid w:val="007F43C4"/>
    <w:rsid w:val="007F750C"/>
    <w:rsid w:val="008010B2"/>
    <w:rsid w:val="00802041"/>
    <w:rsid w:val="00802244"/>
    <w:rsid w:val="00803B7B"/>
    <w:rsid w:val="00813AD7"/>
    <w:rsid w:val="00814941"/>
    <w:rsid w:val="00821505"/>
    <w:rsid w:val="0082316D"/>
    <w:rsid w:val="00824042"/>
    <w:rsid w:val="00824A4B"/>
    <w:rsid w:val="008258AB"/>
    <w:rsid w:val="00827BC7"/>
    <w:rsid w:val="00831CD1"/>
    <w:rsid w:val="00833B9B"/>
    <w:rsid w:val="00847CF0"/>
    <w:rsid w:val="00851363"/>
    <w:rsid w:val="00851711"/>
    <w:rsid w:val="00852454"/>
    <w:rsid w:val="00854276"/>
    <w:rsid w:val="00856F1E"/>
    <w:rsid w:val="00857954"/>
    <w:rsid w:val="00863D55"/>
    <w:rsid w:val="008650FD"/>
    <w:rsid w:val="00867DF3"/>
    <w:rsid w:val="008713F3"/>
    <w:rsid w:val="00872A03"/>
    <w:rsid w:val="00881347"/>
    <w:rsid w:val="00883800"/>
    <w:rsid w:val="0088785E"/>
    <w:rsid w:val="00890D60"/>
    <w:rsid w:val="00892480"/>
    <w:rsid w:val="00897A30"/>
    <w:rsid w:val="008A492E"/>
    <w:rsid w:val="008A7044"/>
    <w:rsid w:val="008B6B1A"/>
    <w:rsid w:val="008B74C4"/>
    <w:rsid w:val="008C2832"/>
    <w:rsid w:val="008C4109"/>
    <w:rsid w:val="008C42CC"/>
    <w:rsid w:val="008C498A"/>
    <w:rsid w:val="008C63A2"/>
    <w:rsid w:val="008C7273"/>
    <w:rsid w:val="008D114F"/>
    <w:rsid w:val="008D3DD2"/>
    <w:rsid w:val="008D41C9"/>
    <w:rsid w:val="008D5CDA"/>
    <w:rsid w:val="008D7A71"/>
    <w:rsid w:val="008E13AA"/>
    <w:rsid w:val="008E2C2A"/>
    <w:rsid w:val="008F0F64"/>
    <w:rsid w:val="008F3C04"/>
    <w:rsid w:val="008F3C44"/>
    <w:rsid w:val="008F5EF5"/>
    <w:rsid w:val="008F668F"/>
    <w:rsid w:val="008F6781"/>
    <w:rsid w:val="009051F4"/>
    <w:rsid w:val="0092415F"/>
    <w:rsid w:val="009256DD"/>
    <w:rsid w:val="0094122A"/>
    <w:rsid w:val="00946A54"/>
    <w:rsid w:val="00946C72"/>
    <w:rsid w:val="0095624F"/>
    <w:rsid w:val="009571C2"/>
    <w:rsid w:val="00960704"/>
    <w:rsid w:val="00960B17"/>
    <w:rsid w:val="00964622"/>
    <w:rsid w:val="009700C5"/>
    <w:rsid w:val="00971602"/>
    <w:rsid w:val="0098506C"/>
    <w:rsid w:val="009854D5"/>
    <w:rsid w:val="00992C48"/>
    <w:rsid w:val="00993F35"/>
    <w:rsid w:val="00995CC4"/>
    <w:rsid w:val="0099713F"/>
    <w:rsid w:val="009A0CB1"/>
    <w:rsid w:val="009A67C9"/>
    <w:rsid w:val="009A734A"/>
    <w:rsid w:val="009B3A7B"/>
    <w:rsid w:val="009B6083"/>
    <w:rsid w:val="009D0BB6"/>
    <w:rsid w:val="009D3A41"/>
    <w:rsid w:val="009D5991"/>
    <w:rsid w:val="009D76B9"/>
    <w:rsid w:val="009E3C1B"/>
    <w:rsid w:val="009E6CA9"/>
    <w:rsid w:val="009E7F8D"/>
    <w:rsid w:val="009F1F17"/>
    <w:rsid w:val="009F5E40"/>
    <w:rsid w:val="00A07E25"/>
    <w:rsid w:val="00A14187"/>
    <w:rsid w:val="00A14640"/>
    <w:rsid w:val="00A14720"/>
    <w:rsid w:val="00A16B59"/>
    <w:rsid w:val="00A16E2C"/>
    <w:rsid w:val="00A215AB"/>
    <w:rsid w:val="00A22178"/>
    <w:rsid w:val="00A241B8"/>
    <w:rsid w:val="00A3090A"/>
    <w:rsid w:val="00A503B4"/>
    <w:rsid w:val="00A5392D"/>
    <w:rsid w:val="00A558AE"/>
    <w:rsid w:val="00A564E2"/>
    <w:rsid w:val="00A67678"/>
    <w:rsid w:val="00A755F6"/>
    <w:rsid w:val="00A76C85"/>
    <w:rsid w:val="00A854F0"/>
    <w:rsid w:val="00A86E2D"/>
    <w:rsid w:val="00A87823"/>
    <w:rsid w:val="00A92792"/>
    <w:rsid w:val="00A94DF9"/>
    <w:rsid w:val="00A96323"/>
    <w:rsid w:val="00A97D69"/>
    <w:rsid w:val="00AA09BC"/>
    <w:rsid w:val="00AA0C18"/>
    <w:rsid w:val="00AA33CA"/>
    <w:rsid w:val="00AA33DD"/>
    <w:rsid w:val="00AB4EBC"/>
    <w:rsid w:val="00AB50B7"/>
    <w:rsid w:val="00AC116E"/>
    <w:rsid w:val="00AC28C6"/>
    <w:rsid w:val="00AC5B21"/>
    <w:rsid w:val="00AC764D"/>
    <w:rsid w:val="00AC7D5A"/>
    <w:rsid w:val="00AD526B"/>
    <w:rsid w:val="00AD5761"/>
    <w:rsid w:val="00AD67B1"/>
    <w:rsid w:val="00AD7DFE"/>
    <w:rsid w:val="00AE3363"/>
    <w:rsid w:val="00AE413A"/>
    <w:rsid w:val="00AE5AB4"/>
    <w:rsid w:val="00AE6DAB"/>
    <w:rsid w:val="00AF1CA2"/>
    <w:rsid w:val="00AF5A5B"/>
    <w:rsid w:val="00AF78C9"/>
    <w:rsid w:val="00B03133"/>
    <w:rsid w:val="00B074F2"/>
    <w:rsid w:val="00B07B19"/>
    <w:rsid w:val="00B1268D"/>
    <w:rsid w:val="00B1678C"/>
    <w:rsid w:val="00B22C15"/>
    <w:rsid w:val="00B242A8"/>
    <w:rsid w:val="00B35261"/>
    <w:rsid w:val="00B41476"/>
    <w:rsid w:val="00B53958"/>
    <w:rsid w:val="00B53DAC"/>
    <w:rsid w:val="00B542F0"/>
    <w:rsid w:val="00B65D03"/>
    <w:rsid w:val="00B71AED"/>
    <w:rsid w:val="00B750FF"/>
    <w:rsid w:val="00B7731C"/>
    <w:rsid w:val="00B77321"/>
    <w:rsid w:val="00B7748B"/>
    <w:rsid w:val="00B826D3"/>
    <w:rsid w:val="00B85B4C"/>
    <w:rsid w:val="00B91916"/>
    <w:rsid w:val="00B96BF9"/>
    <w:rsid w:val="00BA2D77"/>
    <w:rsid w:val="00BA7E66"/>
    <w:rsid w:val="00BB1D27"/>
    <w:rsid w:val="00BB4C3C"/>
    <w:rsid w:val="00BB5EC4"/>
    <w:rsid w:val="00BC2A76"/>
    <w:rsid w:val="00BD592D"/>
    <w:rsid w:val="00BD5A4B"/>
    <w:rsid w:val="00BF0A3E"/>
    <w:rsid w:val="00BF1682"/>
    <w:rsid w:val="00BF3D89"/>
    <w:rsid w:val="00C011E1"/>
    <w:rsid w:val="00C01267"/>
    <w:rsid w:val="00C01362"/>
    <w:rsid w:val="00C15B46"/>
    <w:rsid w:val="00C2107A"/>
    <w:rsid w:val="00C22617"/>
    <w:rsid w:val="00C277DC"/>
    <w:rsid w:val="00C310C5"/>
    <w:rsid w:val="00C3396C"/>
    <w:rsid w:val="00C34368"/>
    <w:rsid w:val="00C356CF"/>
    <w:rsid w:val="00C42220"/>
    <w:rsid w:val="00C46623"/>
    <w:rsid w:val="00C50843"/>
    <w:rsid w:val="00C569D5"/>
    <w:rsid w:val="00C65542"/>
    <w:rsid w:val="00C829DC"/>
    <w:rsid w:val="00C86383"/>
    <w:rsid w:val="00C9434B"/>
    <w:rsid w:val="00C96F2B"/>
    <w:rsid w:val="00CA0814"/>
    <w:rsid w:val="00CA0EBE"/>
    <w:rsid w:val="00CA57B6"/>
    <w:rsid w:val="00CB1F79"/>
    <w:rsid w:val="00CC6F24"/>
    <w:rsid w:val="00CD31B5"/>
    <w:rsid w:val="00CD3633"/>
    <w:rsid w:val="00CD48BD"/>
    <w:rsid w:val="00CE032B"/>
    <w:rsid w:val="00CE0964"/>
    <w:rsid w:val="00CE0B9A"/>
    <w:rsid w:val="00CE27F4"/>
    <w:rsid w:val="00CE5869"/>
    <w:rsid w:val="00CE6F13"/>
    <w:rsid w:val="00D05C90"/>
    <w:rsid w:val="00D0709B"/>
    <w:rsid w:val="00D17929"/>
    <w:rsid w:val="00D2027A"/>
    <w:rsid w:val="00D22C59"/>
    <w:rsid w:val="00D27092"/>
    <w:rsid w:val="00D31426"/>
    <w:rsid w:val="00D31E4D"/>
    <w:rsid w:val="00D332B5"/>
    <w:rsid w:val="00D34AAF"/>
    <w:rsid w:val="00D40BD5"/>
    <w:rsid w:val="00D44DC4"/>
    <w:rsid w:val="00D57B3A"/>
    <w:rsid w:val="00D600F3"/>
    <w:rsid w:val="00D621BE"/>
    <w:rsid w:val="00D62BE5"/>
    <w:rsid w:val="00D66EB0"/>
    <w:rsid w:val="00D704A8"/>
    <w:rsid w:val="00D719E7"/>
    <w:rsid w:val="00D823E2"/>
    <w:rsid w:val="00D84BF4"/>
    <w:rsid w:val="00D864D2"/>
    <w:rsid w:val="00D874FB"/>
    <w:rsid w:val="00D90262"/>
    <w:rsid w:val="00D9402D"/>
    <w:rsid w:val="00D94954"/>
    <w:rsid w:val="00DA5786"/>
    <w:rsid w:val="00DB28BF"/>
    <w:rsid w:val="00DB3852"/>
    <w:rsid w:val="00DB5ECD"/>
    <w:rsid w:val="00DB7E09"/>
    <w:rsid w:val="00DC57B4"/>
    <w:rsid w:val="00DD32F3"/>
    <w:rsid w:val="00DD3DDE"/>
    <w:rsid w:val="00DD473E"/>
    <w:rsid w:val="00DE1F73"/>
    <w:rsid w:val="00DE3466"/>
    <w:rsid w:val="00DF0BAA"/>
    <w:rsid w:val="00DF1BC6"/>
    <w:rsid w:val="00DF6555"/>
    <w:rsid w:val="00DF6CD2"/>
    <w:rsid w:val="00E01793"/>
    <w:rsid w:val="00E02D8F"/>
    <w:rsid w:val="00E042C2"/>
    <w:rsid w:val="00E06BA5"/>
    <w:rsid w:val="00E12C4C"/>
    <w:rsid w:val="00E16E23"/>
    <w:rsid w:val="00E24099"/>
    <w:rsid w:val="00E24362"/>
    <w:rsid w:val="00E26211"/>
    <w:rsid w:val="00E318C7"/>
    <w:rsid w:val="00E34C07"/>
    <w:rsid w:val="00E36067"/>
    <w:rsid w:val="00E442DC"/>
    <w:rsid w:val="00E47A7A"/>
    <w:rsid w:val="00E51DFA"/>
    <w:rsid w:val="00E51E75"/>
    <w:rsid w:val="00E62137"/>
    <w:rsid w:val="00E67822"/>
    <w:rsid w:val="00E71C84"/>
    <w:rsid w:val="00E72235"/>
    <w:rsid w:val="00E73CAD"/>
    <w:rsid w:val="00E741E6"/>
    <w:rsid w:val="00E749F1"/>
    <w:rsid w:val="00E76633"/>
    <w:rsid w:val="00E7684C"/>
    <w:rsid w:val="00E77892"/>
    <w:rsid w:val="00E778F6"/>
    <w:rsid w:val="00E8339C"/>
    <w:rsid w:val="00E849E5"/>
    <w:rsid w:val="00E868B3"/>
    <w:rsid w:val="00E875A3"/>
    <w:rsid w:val="00E926CD"/>
    <w:rsid w:val="00E93BD9"/>
    <w:rsid w:val="00E9426A"/>
    <w:rsid w:val="00EA15E5"/>
    <w:rsid w:val="00EA320E"/>
    <w:rsid w:val="00EA7B60"/>
    <w:rsid w:val="00EB31F6"/>
    <w:rsid w:val="00EB4EE4"/>
    <w:rsid w:val="00EB5365"/>
    <w:rsid w:val="00EB62DE"/>
    <w:rsid w:val="00EC0024"/>
    <w:rsid w:val="00ED4C45"/>
    <w:rsid w:val="00ED5AEE"/>
    <w:rsid w:val="00ED668D"/>
    <w:rsid w:val="00EE1FA6"/>
    <w:rsid w:val="00EE4C8B"/>
    <w:rsid w:val="00EE6A25"/>
    <w:rsid w:val="00EF6235"/>
    <w:rsid w:val="00F05169"/>
    <w:rsid w:val="00F0526E"/>
    <w:rsid w:val="00F142C1"/>
    <w:rsid w:val="00F1525A"/>
    <w:rsid w:val="00F261B9"/>
    <w:rsid w:val="00F3246E"/>
    <w:rsid w:val="00F32B61"/>
    <w:rsid w:val="00F37FAF"/>
    <w:rsid w:val="00F4148E"/>
    <w:rsid w:val="00F42E3E"/>
    <w:rsid w:val="00F43580"/>
    <w:rsid w:val="00F454F1"/>
    <w:rsid w:val="00F466D7"/>
    <w:rsid w:val="00F5324C"/>
    <w:rsid w:val="00F55436"/>
    <w:rsid w:val="00F5634D"/>
    <w:rsid w:val="00F65C99"/>
    <w:rsid w:val="00F701B3"/>
    <w:rsid w:val="00F779F7"/>
    <w:rsid w:val="00F82F68"/>
    <w:rsid w:val="00F83F05"/>
    <w:rsid w:val="00F86A50"/>
    <w:rsid w:val="00F9446E"/>
    <w:rsid w:val="00F94822"/>
    <w:rsid w:val="00F9485F"/>
    <w:rsid w:val="00F960FE"/>
    <w:rsid w:val="00F9796E"/>
    <w:rsid w:val="00F97CB9"/>
    <w:rsid w:val="00FA278D"/>
    <w:rsid w:val="00FB2B6A"/>
    <w:rsid w:val="00FB340F"/>
    <w:rsid w:val="00FB34CB"/>
    <w:rsid w:val="00FB4761"/>
    <w:rsid w:val="00FC6348"/>
    <w:rsid w:val="00FC7FD0"/>
    <w:rsid w:val="00FD2B25"/>
    <w:rsid w:val="00FD2BF4"/>
    <w:rsid w:val="00FD2D67"/>
    <w:rsid w:val="00FF6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8FD33"/>
  <w15:docId w15:val="{84212E49-5FE0-48C5-9689-FDCE607A8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615DB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4615DB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33D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615DB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paragraph" w:styleId="ListParagraph">
    <w:name w:val="List Paragraph"/>
    <w:aliases w:val="List Paragraph (numbered (a))"/>
    <w:basedOn w:val="Normal"/>
    <w:link w:val="ListParagraphChar"/>
    <w:uiPriority w:val="1"/>
    <w:qFormat/>
    <w:rsid w:val="004615DB"/>
    <w:pPr>
      <w:ind w:left="720"/>
      <w:contextualSpacing/>
    </w:pPr>
  </w:style>
  <w:style w:type="paragraph" w:styleId="BodyText2">
    <w:name w:val="Body Text 2"/>
    <w:basedOn w:val="Normal"/>
    <w:link w:val="BodyText2Char"/>
    <w:rsid w:val="004615DB"/>
    <w:pPr>
      <w:spacing w:after="0" w:line="240" w:lineRule="auto"/>
      <w:ind w:right="1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rsid w:val="004615DB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rmalWeb">
    <w:name w:val="Normal (Web)"/>
    <w:basedOn w:val="Normal"/>
    <w:uiPriority w:val="99"/>
    <w:unhideWhenUsed/>
    <w:rsid w:val="004615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6383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C86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6383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1C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1CA2"/>
    <w:rPr>
      <w:rFonts w:ascii="Segoe UI" w:hAnsi="Segoe UI" w:cs="Segoe UI"/>
      <w:sz w:val="18"/>
      <w:szCs w:val="18"/>
      <w:lang w:val="sq-AL"/>
    </w:rPr>
  </w:style>
  <w:style w:type="paragraph" w:styleId="BodyText">
    <w:name w:val="Body Text"/>
    <w:basedOn w:val="Normal"/>
    <w:link w:val="BodyTextChar"/>
    <w:uiPriority w:val="99"/>
    <w:unhideWhenUsed/>
    <w:rsid w:val="0092415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2415F"/>
    <w:rPr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33D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sq-AL"/>
    </w:rPr>
  </w:style>
  <w:style w:type="character" w:customStyle="1" w:styleId="a">
    <w:name w:val="_"/>
    <w:rsid w:val="008D7A71"/>
  </w:style>
  <w:style w:type="character" w:styleId="CommentReference">
    <w:name w:val="annotation reference"/>
    <w:basedOn w:val="DefaultParagraphFont"/>
    <w:uiPriority w:val="99"/>
    <w:semiHidden/>
    <w:unhideWhenUsed/>
    <w:rsid w:val="00A87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2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23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23"/>
    <w:rPr>
      <w:b/>
      <w:bCs/>
      <w:sz w:val="20"/>
      <w:szCs w:val="20"/>
      <w:lang w:val="sq-AL"/>
    </w:rPr>
  </w:style>
  <w:style w:type="paragraph" w:customStyle="1" w:styleId="Default">
    <w:name w:val="Default"/>
    <w:rsid w:val="00D621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ListParagraphChar">
    <w:name w:val="List Paragraph Char"/>
    <w:aliases w:val="List Paragraph (numbered (a)) Char"/>
    <w:link w:val="ListParagraph"/>
    <w:uiPriority w:val="1"/>
    <w:rsid w:val="00892480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2963-10</Nr_x002e__x0020_akti>
    <Data_x0020_e_x0020_Krijimit xmlns="0e656187-b300-4fb0-8bf4-3a50f872073c">2024-07-29T08:15:22Z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2024-07-26T00:00:00Z</Date_x0020_protokolli>
    <Titulli xmlns="0e656187-b300-4fb0-8bf4-3a50f872073c">Rezolutë për vlerësimin e veprimtarisë së Bankës së Shqipërisë për vitin 2023</Titulli>
    <Modifikuesi xmlns="0e656187-b300-4fb0-8bf4-3a50f872073c">nevila.samarxhi</Modifikuesi>
    <Nr_x002e__x0020_prot_x0020_QBZ xmlns="0e656187-b300-4fb0-8bf4-3a50f872073c">1347/10</Nr_x002e__x0020_prot_x0020_QBZ>
    <Data_x0020_e_x0020_Modifikimit xmlns="0e656187-b300-4fb0-8bf4-3a50f872073c">2024-07-29T08:32:54Z</Data_x0020_e_x0020_Modifikimit>
    <Dekretuar xmlns="0e656187-b300-4fb0-8bf4-3a50f872073c">false</Dekretuar>
    <Data xmlns="0e656187-b300-4fb0-8bf4-3a50f872073c">2024-07-25T00:00:00Z</Data>
    <Nr_x002e__x0020_protokolli_x0020_i_x0020_aktit xmlns="0e656187-b300-4fb0-8bf4-3a50f872073c">2963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D903BE6B945E4BC936498F10C8E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CAD903BE6B945E4BC936498F10C8E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70885-78FF-4A8C-810A-7C5E83E21283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E74F776-60D9-4471-BF35-242AD1157E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022881A-A75F-41A4-B0CA-05A1E1A98D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2C864C-EFF9-4425-8273-62AF5DD010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83C407C-02F1-4B1C-A3AC-4101BE8AAD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6102A7B-415F-4DDB-9B18-96A57EA8A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1493</Words>
  <Characters>8514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Rezolutë për vlerësimin e veprimtarisë së Bankës së Shqipërisë për vitin 2023</vt:lpstr>
    </vt:vector>
  </TitlesOfParts>
  <Company/>
  <LinksUpToDate>false</LinksUpToDate>
  <CharactersWithSpaces>9988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Rezolutë për vlerësimin e veprimtarisë së Bankës së Shqipërisë për vitin 2023</dc:title>
  <dc:creator>user</dc:creator>
  <cp:lastModifiedBy>Jorina Kryeziu</cp:lastModifiedBy>
  <cp:revision>6</cp:revision>
  <cp:lastPrinted>2024-07-24T10:17:00Z</cp:lastPrinted>
  <dcterms:created xsi:type="dcterms:W3CDTF">2024-07-26T07:30:00Z</dcterms:created>
  <dcterms:modified xsi:type="dcterms:W3CDTF">2024-07-29T08:21:00Z</dcterms:modified>
</cp:coreProperties>
</file>