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4CED8D61" w:rsidR="004615DB" w:rsidRPr="00A935F5" w:rsidRDefault="000A0B41" w:rsidP="00A935F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935F5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A935F5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59FD3" w14:textId="77777777" w:rsidR="00FC184D" w:rsidRPr="00A935F5" w:rsidRDefault="00FC184D" w:rsidP="00A935F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90096AD" w14:textId="77777777" w:rsidR="00FC184D" w:rsidRPr="00A935F5" w:rsidRDefault="00FC184D" w:rsidP="00A935F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935F5">
        <w:rPr>
          <w:rFonts w:ascii="Garamond" w:eastAsia="Times New Roman" w:hAnsi="Garamond" w:cs="Times New Roman"/>
          <w:b/>
          <w:sz w:val="24"/>
          <w:szCs w:val="24"/>
        </w:rPr>
        <w:t>PËR VLERËSIMIN E VEPRIMTARISË SË PROKURORISË SË PËRGJITHSHME PËR VITIN 2023</w:t>
      </w:r>
    </w:p>
    <w:p w14:paraId="27D37CA0" w14:textId="77777777" w:rsidR="00A935F5" w:rsidRDefault="00A935F5" w:rsidP="00A935F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7760CAD5" w14:textId="22824CA2" w:rsidR="00FC184D" w:rsidRPr="00A935F5" w:rsidRDefault="00FC184D" w:rsidP="00A935F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A935F5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08F61BA5" w14:textId="6E0FABAD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Duke mbajtur në konsideratë rolin e prokurorisë në ushtrimin e ndjekjes penale, hetimin, përfaqësimin e akuzës në gjyq, ekzekutimin e vendimeve penale dhe kryerjen e detyrave të tjera të ngarkuara me ligj; </w:t>
      </w:r>
    </w:p>
    <w:p w14:paraId="648F3A3E" w14:textId="6A3A0B00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Duke vlerësuar rëndësinë e raportimit të Prokurorit të Përgjithshëm në Kuvend për gjendjen e kriminalitetit, </w:t>
      </w:r>
      <w:r w:rsidR="00B94C68" w:rsidRPr="00A935F5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Pr="00A935F5">
        <w:rPr>
          <w:rFonts w:ascii="Garamond" w:eastAsia="Times New Roman" w:hAnsi="Garamond" w:cs="Times New Roman"/>
          <w:sz w:val="24"/>
          <w:szCs w:val="24"/>
        </w:rPr>
        <w:t xml:space="preserve">zbatimin e rekomandimeve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prioritare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të Kuvendit dhe Këshillit të Ministrave në luftën kundër kriminalitetit dhe për efektivitetin e ndjekjes penale; </w:t>
      </w:r>
    </w:p>
    <w:p w14:paraId="65BA4A4B" w14:textId="4FC4E248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Duke vlerësuar rolin e Prokurorit të Përgjithshëm në nxjerrjen e udhëzimeve të përgjithshme për prokurorët e prokurorive të juridiksionit të përgjithshëm, për oficerët e Policisë Gjyqësore, si dhe për mbikëqyrjen e zbatimit të tyre, si dhe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kujdesjet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për ushtrimin e kompetencave ligjore dhe kushtetuese të prokurorisë; </w:t>
      </w:r>
    </w:p>
    <w:p w14:paraId="36C0FD0F" w14:textId="4F29B17B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Duke vlerësuar angazhimin në procesin e zbatimit të hartës së re gjyqësore, me synim garantimin e të drejtave dhe lirive themelore të individit, me theks të veçantë tek e drejta e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aksesit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në drejtësi;</w:t>
      </w:r>
    </w:p>
    <w:p w14:paraId="24B8EBD0" w14:textId="3D131301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Duke vlerësuar angazhimin për zbatimin e rekomandimeve të Grupit të Shteteve të Këshillit të E</w:t>
      </w:r>
      <w:r w:rsidR="000A44DF">
        <w:rPr>
          <w:rFonts w:ascii="Garamond" w:eastAsia="Times New Roman" w:hAnsi="Garamond" w:cs="Times New Roman"/>
          <w:sz w:val="24"/>
          <w:szCs w:val="24"/>
        </w:rPr>
        <w:t>v</w:t>
      </w:r>
      <w:r w:rsidRPr="00A935F5">
        <w:rPr>
          <w:rFonts w:ascii="Garamond" w:eastAsia="Times New Roman" w:hAnsi="Garamond" w:cs="Times New Roman"/>
          <w:sz w:val="24"/>
          <w:szCs w:val="24"/>
        </w:rPr>
        <w:t>ropës kundër Korrupsionit (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GRECO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) dhe përmbushjen e detyrimeve për realizimin e Planit të Veprimit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ICRG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/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FATF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;</w:t>
      </w:r>
    </w:p>
    <w:p w14:paraId="15241A38" w14:textId="77777777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935F5">
        <w:rPr>
          <w:rFonts w:ascii="Garamond" w:eastAsia="Times New Roman" w:hAnsi="Garamond" w:cs="Times New Roman"/>
          <w:b/>
          <w:sz w:val="24"/>
          <w:szCs w:val="24"/>
        </w:rPr>
        <w:t xml:space="preserve">Për veprimtarinë e Prokurorit të Përgjithshëm për vitin 2023 vlerëson se: </w:t>
      </w:r>
    </w:p>
    <w:p w14:paraId="3AC70395" w14:textId="1B31E95A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Është rritur numri i procedimeve penale të filluara kryesisht.</w:t>
      </w:r>
    </w:p>
    <w:p w14:paraId="5530599D" w14:textId="64D1D7B7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Është rritur cilësia e hetimeve për veprat penale të dhunës në familje dhe veprave penale ndaj të miturve. Ndaj të miturve në konflikt me ligjin është kujdesur të merren masa alternative dënimi, si: shmangia, ndërmjetësimi, këshillimi për të miturin apo familjen dhe paralajmërimi me shkrim.</w:t>
      </w:r>
    </w:p>
    <w:p w14:paraId="5B780B37" w14:textId="614D8642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Janë normuar masa administrative dhe procedurale për nxitjen e rolit aktiv dhe ushtrimin sistematik të kontrollit efektiv nga ana e prokurorëve dhe drejtuesve ndaj oficerëve të Policisë Gjyqësore në drejtim të ecurisë së hetimit të procedimeve.</w:t>
      </w:r>
    </w:p>
    <w:p w14:paraId="3BB5EFE8" w14:textId="762478B3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Është konsoliduar bashkëpunimi dhe koordinimi ndërinstitucional me institucionet dhe agjencitë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ligjzbatuese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palë në marrëveshje dy ose shumëpalëshe, me synim shtimin e burimeve dhe partnerëve për rritjen e cilësisë dhe efektivitetit në kryerjen e hetimeve në drejtimet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prioritare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të luftës kundër kriminalitetit.</w:t>
      </w:r>
    </w:p>
    <w:p w14:paraId="1129036B" w14:textId="70376C5A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Është konsoliduar bashkëpunimi dhe koordinimi në marrëdhëniet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juridiksionale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me autoritetet gjyqësore të huaja nëpërmjet zyrës së Prokurorit Ndërlidhës të Shqipërisë në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Eurojust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, veçanërisht në rritjen e numrit të skuadrave të përbashkëta hetimore dhe goditjen e krimit.</w:t>
      </w:r>
    </w:p>
    <w:p w14:paraId="3912EA04" w14:textId="1944A651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Është angazhuar në plotësimin e detyrimeve institucionale në zbatim të Planit të Veprimit të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ICRG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/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FATF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për pastrimin e parave dhe financimin e terrorizmit duke e konsideruar si një objektiv të sajin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prioritar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, duke kontribuar që Shqipëria të dalë nga lista e juridiksioneve nën monitorim të shtuar, “lista gri”.</w:t>
      </w:r>
    </w:p>
    <w:p w14:paraId="25A87F7C" w14:textId="79AD415F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 xml:space="preserve">Vijojnë përpjekjet për të mundësuar zhvillimin e programit statistikor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PRESTO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për administrimin elektronik të regjistrave proceduralë dhe përfitimin e një sistemi statistikor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fleksibël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në kohë reale dhe me të dhëna gjithëpërfshirëse për periudhën tranzitore deri në ngritjen e sistemit të ri (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CAMS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);</w:t>
      </w:r>
    </w:p>
    <w:p w14:paraId="1F75B9A5" w14:textId="77777777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935F5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kërkon që Prokurori i Përgjithshëm për vitin 2024, në përmbushje të detyrave të ngarkuara me ligj, të angazhohet në këto drejtime: </w:t>
      </w:r>
    </w:p>
    <w:p w14:paraId="2AC12AB7" w14:textId="1FCCE362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1.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 xml:space="preserve">Të rrisë numrin e hetimeve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proaktive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, përdorimin e teknikave të veçanta të hetimit dhe të zhvillojë përdorimin e teknikave të reja.</w:t>
      </w:r>
    </w:p>
    <w:p w14:paraId="75C7E61A" w14:textId="123BEE29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2.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Të rrisë numrin e kërkesave për inspektime tematike në bashkëpunim me Inspektorin e Lartë të Drejtësisë për arritjen e standardeve të unifikuara në zbatimin e ligjit gjatë ushtrimit të funksionit, veçanërisht zbatimin e udhëzimeve me karakter të përgjithshëm për respektimin e garancive procedurale në procesin penal.</w:t>
      </w:r>
    </w:p>
    <w:p w14:paraId="17B2BF8A" w14:textId="202C6048" w:rsidR="00FC184D" w:rsidRPr="00A935F5" w:rsidRDefault="00B94C68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lastRenderedPageBreak/>
        <w:t>3.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Të vijojë punën</w:t>
      </w:r>
      <w:r w:rsidR="00FC184D" w:rsidRPr="00A935F5">
        <w:rPr>
          <w:rFonts w:ascii="Garamond" w:eastAsia="Times New Roman" w:hAnsi="Garamond" w:cs="Times New Roman"/>
          <w:sz w:val="24"/>
          <w:szCs w:val="24"/>
        </w:rPr>
        <w:t xml:space="preserve"> për marrjen e masave efektive për mbrojtjen e viktimave të veprave penale ndaj të miturve dhe veprave penale të dhunës në familje dhe të bashkëpunojë me institucionet shtetërore që ngarkohen me përgjegjësi për mbrojtjen e këtyre kategorive sipas legjislacionit në fuqi.</w:t>
      </w:r>
    </w:p>
    <w:p w14:paraId="7F7DF566" w14:textId="61766546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4.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Të nxisë aplikimin e masave alternative të sigurimit (krahas masës së sigurimit arrest me burg) duke përfshirë masat shtrënguese me karakter pasuror (garancia pasurore) për veprat penale dhe/ose autorët me rrezikshmëri të ulët shoqërore.</w:t>
      </w:r>
    </w:p>
    <w:p w14:paraId="097DFD37" w14:textId="16181456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5.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 xml:space="preserve">Të rritet angazhimi institucional në drejtim të zbulimit,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gjurmueshmërisë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dhe ndjekjes penale në rastet e krimit kibernetik dhe mashtrimit në internet, me fokus të miturit.</w:t>
      </w:r>
    </w:p>
    <w:p w14:paraId="45F2C62C" w14:textId="34D0DBEB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6.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Të vijojë punën për ngritjen e sistemit të menaxhimit të çështjeve, si dhe ndërlidhjes duke bashkëpunuar me Qendrën e Teknologjisë së Informacionit për Sistemin e Drejtësisë pranë Këshillit të Lartë Gjyqësor.</w:t>
      </w:r>
    </w:p>
    <w:p w14:paraId="3363EF21" w14:textId="4B919472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7.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 xml:space="preserve">Të vijojë punën për zhvillimin dhe përfundimin e sistemit elektronik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PRESTO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për administrimin elektronik të regjistrave proceduralë dhe përfitimin e statistikave.</w:t>
      </w:r>
    </w:p>
    <w:p w14:paraId="072A9721" w14:textId="2AF8BD98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8.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Në bashkëpunim me Shkollën e Magjistraturës, si dhe partnerë të tjerë vendas dhe të huaj të nxiten e mbështeten trajnimet e prokurorëve dhe oficerëve të Policisë Gjyqësore sipas specializimit të tyre, me fokus të veçantë në krimin kibernetik, hetimin financiar, dhunën në familje dhe atë me bazë gjinore.</w:t>
      </w:r>
    </w:p>
    <w:p w14:paraId="4C106E76" w14:textId="238E4471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9.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Të plotësojë angazhimet institucionale që dalin nga rekomandimet e Këshillit të Ministrave apo raportet e organizmave të tjerë ndërkombëtarë, të cilat kërkojnë një nivel më të lartë bashkëpunimi institucional mes drejtuesve të prokurorive në Prokuroritë e Shkallës së Parë dhe Apeleve me Prokurorinë e Përgjithshme.</w:t>
      </w:r>
    </w:p>
    <w:p w14:paraId="67BCEC3F" w14:textId="23E45CD3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10.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 xml:space="preserve">Të vijojë angazhimin në sigurimin e aplikimit të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uniformizuar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të standardeve të hetimit dhe ndjekjes penale në drejtim të respektimit të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 xml:space="preserve"> drejtave të njeriut, barazisë para ligjit dhe parimit të </w:t>
      </w:r>
      <w:proofErr w:type="spellStart"/>
      <w:r w:rsidRPr="00A935F5">
        <w:rPr>
          <w:rFonts w:ascii="Garamond" w:eastAsia="Times New Roman" w:hAnsi="Garamond" w:cs="Times New Roman"/>
          <w:sz w:val="24"/>
          <w:szCs w:val="24"/>
        </w:rPr>
        <w:t>proporcionalitetit</w:t>
      </w:r>
      <w:proofErr w:type="spellEnd"/>
      <w:r w:rsidRPr="00A935F5">
        <w:rPr>
          <w:rFonts w:ascii="Garamond" w:eastAsia="Times New Roman" w:hAnsi="Garamond" w:cs="Times New Roman"/>
          <w:sz w:val="24"/>
          <w:szCs w:val="24"/>
        </w:rPr>
        <w:t>.</w:t>
      </w:r>
    </w:p>
    <w:p w14:paraId="55C01197" w14:textId="35B5EEE9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935F5">
        <w:rPr>
          <w:rFonts w:ascii="Garamond" w:eastAsia="Times New Roman" w:hAnsi="Garamond" w:cs="Times New Roman"/>
          <w:sz w:val="24"/>
          <w:szCs w:val="24"/>
        </w:rPr>
        <w:t>11.</w:t>
      </w:r>
      <w:r w:rsidR="000A44D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935F5">
        <w:rPr>
          <w:rFonts w:ascii="Garamond" w:eastAsia="Times New Roman" w:hAnsi="Garamond" w:cs="Times New Roman"/>
          <w:sz w:val="24"/>
          <w:szCs w:val="24"/>
        </w:rPr>
        <w:t>Të angazhohet në përmbushjen me efektivitet të detyrimeve institucionale në kuadër të raportimeve gjatë procesit të integrimit në Bashkimin E</w:t>
      </w:r>
      <w:r w:rsidR="000A44DF">
        <w:rPr>
          <w:rFonts w:ascii="Garamond" w:eastAsia="Times New Roman" w:hAnsi="Garamond" w:cs="Times New Roman"/>
          <w:sz w:val="24"/>
          <w:szCs w:val="24"/>
        </w:rPr>
        <w:t>v</w:t>
      </w:r>
      <w:bookmarkStart w:id="0" w:name="_GoBack"/>
      <w:bookmarkEnd w:id="0"/>
      <w:r w:rsidRPr="00A935F5">
        <w:rPr>
          <w:rFonts w:ascii="Garamond" w:eastAsia="Times New Roman" w:hAnsi="Garamond" w:cs="Times New Roman"/>
          <w:sz w:val="24"/>
          <w:szCs w:val="24"/>
        </w:rPr>
        <w:t xml:space="preserve">ropian. </w:t>
      </w:r>
    </w:p>
    <w:p w14:paraId="446FAC7D" w14:textId="77777777" w:rsidR="00FC184D" w:rsidRPr="00A935F5" w:rsidRDefault="00FC184D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BD19261" w14:textId="77777777" w:rsidR="00A935F5" w:rsidRPr="00A935F5" w:rsidRDefault="00A935F5" w:rsidP="00A935F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A935F5">
        <w:rPr>
          <w:rFonts w:ascii="Garamond" w:eastAsia="MS Mincho" w:hAnsi="Garamond" w:cs="Times New Roman"/>
          <w:sz w:val="24"/>
          <w:szCs w:val="24"/>
        </w:rPr>
        <w:t>KRYETARE</w:t>
      </w:r>
    </w:p>
    <w:p w14:paraId="41E97A91" w14:textId="77777777" w:rsidR="00A935F5" w:rsidRPr="00A935F5" w:rsidRDefault="00A935F5" w:rsidP="00A935F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A935F5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A935F5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505BB66B" w14:textId="77777777" w:rsidR="0094122A" w:rsidRPr="00A935F5" w:rsidRDefault="0094122A" w:rsidP="00A935F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8FB015" w14:textId="78D1E6AF" w:rsidR="003C57D3" w:rsidRPr="00A935F5" w:rsidRDefault="00A755F6" w:rsidP="00A935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A935F5">
        <w:rPr>
          <w:rFonts w:ascii="Garamond" w:hAnsi="Garamond" w:cs="Times New Roman"/>
          <w:sz w:val="24"/>
          <w:szCs w:val="24"/>
        </w:rPr>
        <w:t xml:space="preserve">Miratuar në datën </w:t>
      </w:r>
      <w:r w:rsidR="00002FE2" w:rsidRPr="00A935F5">
        <w:rPr>
          <w:rFonts w:ascii="Garamond" w:hAnsi="Garamond" w:cs="Times New Roman"/>
          <w:sz w:val="24"/>
          <w:szCs w:val="24"/>
        </w:rPr>
        <w:t>25</w:t>
      </w:r>
      <w:r w:rsidR="00891D85" w:rsidRPr="00A935F5">
        <w:rPr>
          <w:rFonts w:ascii="Garamond" w:hAnsi="Garamond" w:cs="Times New Roman"/>
          <w:sz w:val="24"/>
          <w:szCs w:val="24"/>
        </w:rPr>
        <w:t>.7</w:t>
      </w:r>
      <w:r w:rsidR="003C57D3" w:rsidRPr="00A935F5">
        <w:rPr>
          <w:rFonts w:ascii="Garamond" w:hAnsi="Garamond" w:cs="Times New Roman"/>
          <w:sz w:val="24"/>
          <w:szCs w:val="24"/>
        </w:rPr>
        <w:t>.2024</w:t>
      </w:r>
      <w:r w:rsidR="000A44DF">
        <w:rPr>
          <w:rFonts w:ascii="Garamond" w:hAnsi="Garamond" w:cs="Times New Roman"/>
          <w:sz w:val="24"/>
          <w:szCs w:val="24"/>
        </w:rPr>
        <w:t>.</w:t>
      </w:r>
    </w:p>
    <w:p w14:paraId="3E9909DF" w14:textId="77777777" w:rsidR="0079748A" w:rsidRPr="00A935F5" w:rsidRDefault="0079748A" w:rsidP="00A935F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A935F5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EB9CF" w14:textId="77777777" w:rsidR="000A44DF" w:rsidRDefault="000A44DF" w:rsidP="00C86383">
      <w:pPr>
        <w:spacing w:after="0" w:line="240" w:lineRule="auto"/>
      </w:pPr>
      <w:r>
        <w:separator/>
      </w:r>
    </w:p>
  </w:endnote>
  <w:endnote w:type="continuationSeparator" w:id="0">
    <w:p w14:paraId="5F19AB08" w14:textId="77777777" w:rsidR="000A44DF" w:rsidRDefault="000A44DF" w:rsidP="00C86383">
      <w:pPr>
        <w:spacing w:after="0" w:line="240" w:lineRule="auto"/>
      </w:pPr>
      <w:r>
        <w:continuationSeparator/>
      </w:r>
    </w:p>
  </w:endnote>
  <w:endnote w:type="continuationNotice" w:id="1">
    <w:p w14:paraId="38A5CDBB" w14:textId="77777777" w:rsidR="000A44DF" w:rsidRDefault="000A44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A69B3" w14:textId="77777777" w:rsidR="000A44DF" w:rsidRDefault="000A44DF" w:rsidP="00C86383">
      <w:pPr>
        <w:spacing w:after="0" w:line="240" w:lineRule="auto"/>
      </w:pPr>
      <w:r>
        <w:separator/>
      </w:r>
    </w:p>
  </w:footnote>
  <w:footnote w:type="continuationSeparator" w:id="0">
    <w:p w14:paraId="7649A72E" w14:textId="77777777" w:rsidR="000A44DF" w:rsidRDefault="000A44DF" w:rsidP="00C86383">
      <w:pPr>
        <w:spacing w:after="0" w:line="240" w:lineRule="auto"/>
      </w:pPr>
      <w:r>
        <w:continuationSeparator/>
      </w:r>
    </w:p>
  </w:footnote>
  <w:footnote w:type="continuationNotice" w:id="1">
    <w:p w14:paraId="3E97735F" w14:textId="77777777" w:rsidR="000A44DF" w:rsidRDefault="000A44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2FE2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A44DF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6AF"/>
    <w:rsid w:val="002C0BF7"/>
    <w:rsid w:val="002D1DF9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54A3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06ED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2CE1"/>
    <w:rsid w:val="004847B6"/>
    <w:rsid w:val="00485242"/>
    <w:rsid w:val="0049616C"/>
    <w:rsid w:val="004A3A52"/>
    <w:rsid w:val="004A5109"/>
    <w:rsid w:val="004A6BFD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10E6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1D85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35F5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274E"/>
    <w:rsid w:val="00B94C68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8680E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2981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0A08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D6105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0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9D7"/>
    <w:rsid w:val="00FB2B6A"/>
    <w:rsid w:val="00FB340F"/>
    <w:rsid w:val="00FB4761"/>
    <w:rsid w:val="00FC184D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2963-6</Nr_x002e__x0020_akti>
    <Data_x0020_e_x0020_Krijimit xmlns="0e656187-b300-4fb0-8bf4-3a50f872073c">2024-07-29T08:05:34Z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Rezolutë për vlerësimin e veprimtarisë së Prokurorisë së Përgjithshme për vitin 2023</Titulli>
    <Modifikuesi xmlns="0e656187-b300-4fb0-8bf4-3a50f872073c">nevila.samarxhi</Modifikuesi>
    <Nr_x002e__x0020_prot_x0020_QBZ xmlns="0e656187-b300-4fb0-8bf4-3a50f872073c">1347/4</Nr_x002e__x0020_prot_x0020_QBZ>
    <Data_x0020_e_x0020_Modifikimit xmlns="0e656187-b300-4fb0-8bf4-3a50f872073c">2024-07-29T08:39:09Z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6E0128CCC14FA29B73FA7858E7F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6E0128CCC14FA29B73FA7858E7F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AED48-7D0B-411A-9F10-AD7B6236BD6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336471-9C0D-4AFC-A337-ABAAE8213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9C771-FA44-4A31-B1CE-6DC86F39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A618CE-A932-49E2-8239-C18D516CA9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C95009-2DED-405B-A30C-128B22830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74737B-DC64-49C6-B73A-5C2F17282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Prokurorisë së Përgjithshme për vitin 2023</vt:lpstr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Prokurorisë së Përgjithshme për vitin 2023</dc:title>
  <dc:creator>user</dc:creator>
  <cp:lastModifiedBy>Jorina Kryeziu</cp:lastModifiedBy>
  <cp:revision>5</cp:revision>
  <cp:lastPrinted>2024-07-24T09:45:00Z</cp:lastPrinted>
  <dcterms:created xsi:type="dcterms:W3CDTF">2024-07-26T07:32:00Z</dcterms:created>
  <dcterms:modified xsi:type="dcterms:W3CDTF">2024-07-29T08:14:00Z</dcterms:modified>
</cp:coreProperties>
</file>