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C16EE8" w:rsidRDefault="000A0B41" w:rsidP="00C16EE8">
      <w:pPr>
        <w:spacing w:after="0" w:line="240" w:lineRule="auto"/>
        <w:ind w:firstLine="284"/>
        <w:jc w:val="center"/>
        <w:rPr>
          <w:rFonts w:ascii="Garamond" w:eastAsia="Times New Roman" w:hAnsi="Garamond" w:cs="Times New Roman"/>
          <w:b/>
          <w:sz w:val="24"/>
          <w:szCs w:val="24"/>
        </w:rPr>
      </w:pPr>
      <w:r w:rsidRPr="00C16EE8">
        <w:rPr>
          <w:rFonts w:ascii="Garamond" w:eastAsia="Times New Roman" w:hAnsi="Garamond" w:cs="Times New Roman"/>
          <w:b/>
          <w:sz w:val="24"/>
          <w:szCs w:val="24"/>
        </w:rPr>
        <w:t>REZOLUT</w:t>
      </w:r>
      <w:r w:rsidR="004615DB" w:rsidRPr="00C16EE8">
        <w:rPr>
          <w:rFonts w:ascii="Garamond" w:eastAsia="Times New Roman" w:hAnsi="Garamond" w:cs="Times New Roman"/>
          <w:b/>
          <w:sz w:val="24"/>
          <w:szCs w:val="24"/>
        </w:rPr>
        <w:t>Ë</w:t>
      </w:r>
    </w:p>
    <w:p w14:paraId="505BB66B" w14:textId="77777777" w:rsidR="0094122A" w:rsidRPr="00C16EE8" w:rsidRDefault="0094122A" w:rsidP="00C16EE8">
      <w:pPr>
        <w:spacing w:after="0" w:line="240" w:lineRule="auto"/>
        <w:ind w:firstLine="284"/>
        <w:rPr>
          <w:rFonts w:ascii="Garamond" w:eastAsia="Times New Roman" w:hAnsi="Garamond" w:cs="Times New Roman"/>
          <w:b/>
          <w:sz w:val="24"/>
          <w:szCs w:val="24"/>
        </w:rPr>
      </w:pPr>
    </w:p>
    <w:p w14:paraId="2997D5E4" w14:textId="77777777" w:rsidR="001A5F0E" w:rsidRPr="00C16EE8" w:rsidRDefault="001A5F0E" w:rsidP="00C16EE8">
      <w:pPr>
        <w:spacing w:after="0" w:line="240" w:lineRule="auto"/>
        <w:ind w:firstLine="284"/>
        <w:jc w:val="center"/>
        <w:rPr>
          <w:rFonts w:ascii="Garamond" w:hAnsi="Garamond" w:cs="Times New Roman"/>
          <w:b/>
          <w:sz w:val="24"/>
          <w:szCs w:val="24"/>
        </w:rPr>
      </w:pPr>
      <w:r w:rsidRPr="00C16EE8">
        <w:rPr>
          <w:rFonts w:ascii="Garamond" w:hAnsi="Garamond" w:cs="Times New Roman"/>
          <w:b/>
          <w:sz w:val="24"/>
          <w:szCs w:val="24"/>
        </w:rPr>
        <w:t xml:space="preserve">PËR VLERËSIMIN E VEPRIMTARISË SË INSPEKTORIT TË LARTË </w:t>
      </w:r>
    </w:p>
    <w:p w14:paraId="02065B5D" w14:textId="04C235D5" w:rsidR="001A5F0E" w:rsidRPr="00C16EE8" w:rsidRDefault="001A5F0E" w:rsidP="00C16EE8">
      <w:pPr>
        <w:spacing w:after="0" w:line="240" w:lineRule="auto"/>
        <w:ind w:firstLine="284"/>
        <w:jc w:val="center"/>
        <w:rPr>
          <w:rFonts w:ascii="Garamond" w:hAnsi="Garamond" w:cs="Times New Roman"/>
          <w:b/>
          <w:sz w:val="24"/>
          <w:szCs w:val="24"/>
        </w:rPr>
      </w:pPr>
      <w:r w:rsidRPr="00C16EE8">
        <w:rPr>
          <w:rFonts w:ascii="Garamond" w:hAnsi="Garamond" w:cs="Times New Roman"/>
          <w:b/>
          <w:sz w:val="24"/>
          <w:szCs w:val="24"/>
        </w:rPr>
        <w:t>TË DREJTËSISË PËR VITIN 2024</w:t>
      </w:r>
    </w:p>
    <w:p w14:paraId="15730265" w14:textId="77777777" w:rsidR="001A5F0E" w:rsidRPr="00C16EE8" w:rsidRDefault="001A5F0E" w:rsidP="00C16EE8">
      <w:pPr>
        <w:spacing w:after="0" w:line="240" w:lineRule="auto"/>
        <w:ind w:firstLine="284"/>
        <w:jc w:val="both"/>
        <w:rPr>
          <w:rFonts w:ascii="Garamond" w:hAnsi="Garamond" w:cs="Times New Roman"/>
          <w:sz w:val="24"/>
          <w:szCs w:val="24"/>
        </w:rPr>
      </w:pPr>
    </w:p>
    <w:p w14:paraId="782FA66B" w14:textId="0C144433" w:rsidR="001A5F0E" w:rsidRPr="00C16EE8" w:rsidRDefault="001A5F0E" w:rsidP="00C16EE8">
      <w:pPr>
        <w:spacing w:after="0" w:line="240" w:lineRule="auto"/>
        <w:ind w:firstLine="284"/>
        <w:jc w:val="both"/>
        <w:rPr>
          <w:rFonts w:ascii="Garamond" w:hAnsi="Garamond" w:cs="Times New Roman"/>
          <w:b/>
          <w:sz w:val="24"/>
          <w:szCs w:val="24"/>
        </w:rPr>
      </w:pPr>
      <w:r w:rsidRPr="00C16EE8">
        <w:rPr>
          <w:rFonts w:ascii="Garamond" w:hAnsi="Garamond" w:cs="Times New Roman"/>
          <w:b/>
          <w:sz w:val="24"/>
          <w:szCs w:val="24"/>
        </w:rPr>
        <w:t>Kuvendi i Shqipërisë,</w:t>
      </w:r>
    </w:p>
    <w:p w14:paraId="57104CE2" w14:textId="7777777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Duke vlerësuar rolin e Inspektorit të Lartë të Drejtësisë si autoriteti shtetëror përgjegjës për verifikimin e ankesave, hetimin e shkeljeve disiplinore dhe për fillimin e procedurës disiplinore ndaj gjyqtarëve dhe prokurorëve të </w:t>
      </w:r>
      <w:proofErr w:type="spellStart"/>
      <w:r w:rsidRPr="00C16EE8">
        <w:rPr>
          <w:rFonts w:ascii="Garamond" w:hAnsi="Garamond" w:cs="Times New Roman"/>
          <w:sz w:val="24"/>
          <w:szCs w:val="24"/>
        </w:rPr>
        <w:t>të</w:t>
      </w:r>
      <w:proofErr w:type="spellEnd"/>
      <w:r w:rsidRPr="00C16EE8">
        <w:rPr>
          <w:rFonts w:ascii="Garamond" w:hAnsi="Garamond" w:cs="Times New Roman"/>
          <w:sz w:val="24"/>
          <w:szCs w:val="24"/>
        </w:rPr>
        <w:t xml:space="preserve"> gjitha niveleve, anëtarëve të Këshillit të Lartë Gjyqësor, anëtarëve të Këshillit të Lartë të Prokurorisë dhe të Prokurorit të Përgjithshëm, si dhe për inspektimin institucional të gjykatave dhe të zyrave të prokurorisë;</w:t>
      </w:r>
    </w:p>
    <w:p w14:paraId="2762573D" w14:textId="7777777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Duke mbajtur parasysh rolin e Inspektorit të Lartë të Drejtësisë në hetimin e shkeljeve të dyshuara nëpërmjet ankesave të paraqitura nga çdo person fizik ose juridik, por edhe kryesisht bazuar në të dhëna publike ose të siguruara në kuadrin e inspektimeve institucionale e tematike;</w:t>
      </w:r>
    </w:p>
    <w:p w14:paraId="02B99089" w14:textId="33ECEF5D"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Duke nënvizuar rëndësinë e bashkëpunimit të Inspektorit të Lartë të Drejtësisë me Këshillin e Lartë Gjyqësor, Këshillin e Lartë të Prokurorisë, Prokurorin e Përgjithshëm dhe ministrin e Drejtësisë në kuadër të inspektimeve tematike dhe përmbushjes së detyrave të tjera funksionale;</w:t>
      </w:r>
    </w:p>
    <w:p w14:paraId="23EA954A" w14:textId="6DF191A9" w:rsidR="001A5F0E" w:rsidRPr="00C16EE8" w:rsidRDefault="001A5F0E" w:rsidP="00C16EE8">
      <w:pPr>
        <w:spacing w:after="0" w:line="240" w:lineRule="auto"/>
        <w:ind w:firstLine="284"/>
        <w:jc w:val="both"/>
        <w:rPr>
          <w:rFonts w:ascii="Garamond" w:hAnsi="Garamond" w:cs="Times New Roman"/>
          <w:b/>
          <w:sz w:val="24"/>
          <w:szCs w:val="24"/>
        </w:rPr>
      </w:pPr>
      <w:r w:rsidRPr="00C16EE8">
        <w:rPr>
          <w:rFonts w:ascii="Garamond" w:hAnsi="Garamond" w:cs="Times New Roman"/>
          <w:b/>
          <w:sz w:val="24"/>
          <w:szCs w:val="24"/>
        </w:rPr>
        <w:t>Vlerëson veprimtarinë e Inspektorit të Lartë të Drejtësisë gjatë vitit 2024 në këto drejtime:</w:t>
      </w:r>
    </w:p>
    <w:p w14:paraId="796DF03A" w14:textId="10A9852F"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Praktikën për të zhvilluar një proces konsultimi ndërinstitucional lidhur me përzgjedhjen e tematikave të inspektimeve, duke garantuar përfshirjen e aktorëve të ndryshëm institucionalë dhe shoqërisë civile, me gjithë mungesën e angazhimit të Këshillit të Lartë Gjyqësor dhe Këshillit të Lartë të Prokurorisë në këtë proces.</w:t>
      </w:r>
    </w:p>
    <w:p w14:paraId="09A5E8B2" w14:textId="739AA2B3"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Krijimin e mekanizmit të dedikuar për monitorimin e zbatimit të rekomandimeve, i cili përfshin kërkesa për informacion të adresuara institucioneve të inspektuara pas përfundimit të afatit të zbatimit të rekomandimeve, dhe analizë të përgjigjeve nga institucionet përkatëse nga ana e grupeve të inspektimit.</w:t>
      </w:r>
    </w:p>
    <w:p w14:paraId="3CDC9F73" w14:textId="45A7B884"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 Rritjen e numrit dhe </w:t>
      </w:r>
      <w:proofErr w:type="spellStart"/>
      <w:r w:rsidRPr="00C16EE8">
        <w:rPr>
          <w:rFonts w:ascii="Garamond" w:hAnsi="Garamond" w:cs="Times New Roman"/>
          <w:sz w:val="24"/>
          <w:szCs w:val="24"/>
        </w:rPr>
        <w:t>kompleksitetin</w:t>
      </w:r>
      <w:proofErr w:type="spellEnd"/>
      <w:r w:rsidRPr="00C16EE8">
        <w:rPr>
          <w:rFonts w:ascii="Garamond" w:hAnsi="Garamond" w:cs="Times New Roman"/>
          <w:sz w:val="24"/>
          <w:szCs w:val="24"/>
        </w:rPr>
        <w:t xml:space="preserve"> e hetimeve, përfshirë rastet e konfliktit të interesit dhe papajtueshmërisë, përmes dhe bashkëpunimit me </w:t>
      </w:r>
      <w:proofErr w:type="spellStart"/>
      <w:r w:rsidRPr="00C16EE8">
        <w:rPr>
          <w:rFonts w:ascii="Garamond" w:hAnsi="Garamond" w:cs="Times New Roman"/>
          <w:sz w:val="24"/>
          <w:szCs w:val="24"/>
        </w:rPr>
        <w:t>ILDKPI</w:t>
      </w:r>
      <w:proofErr w:type="spellEnd"/>
      <w:r w:rsidRPr="00C16EE8">
        <w:rPr>
          <w:rFonts w:ascii="Garamond" w:hAnsi="Garamond" w:cs="Times New Roman"/>
          <w:sz w:val="24"/>
          <w:szCs w:val="24"/>
        </w:rPr>
        <w:t>-në dhe institucionet e tjera</w:t>
      </w:r>
      <w:r w:rsidR="003F282A" w:rsidRPr="00C16EE8">
        <w:rPr>
          <w:rFonts w:ascii="Garamond" w:hAnsi="Garamond" w:cs="Times New Roman"/>
          <w:sz w:val="24"/>
          <w:szCs w:val="24"/>
        </w:rPr>
        <w:t>, e cila</w:t>
      </w:r>
      <w:r w:rsidRPr="00C16EE8">
        <w:rPr>
          <w:rFonts w:ascii="Garamond" w:hAnsi="Garamond" w:cs="Times New Roman"/>
          <w:sz w:val="24"/>
          <w:szCs w:val="24"/>
        </w:rPr>
        <w:t xml:space="preserve"> ka forcuar standardet e llogaridhënies.</w:t>
      </w:r>
    </w:p>
    <w:p w14:paraId="76DDCDC0" w14:textId="348E2D4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Transparencën institucionale dhe qasjen e hapur ndaj qytetarëve përmes komunikimit publik, asistencës dhe </w:t>
      </w:r>
      <w:proofErr w:type="spellStart"/>
      <w:r w:rsidRPr="00C16EE8">
        <w:rPr>
          <w:rFonts w:ascii="Garamond" w:hAnsi="Garamond" w:cs="Times New Roman"/>
          <w:sz w:val="24"/>
          <w:szCs w:val="24"/>
        </w:rPr>
        <w:t>aksesit</w:t>
      </w:r>
      <w:proofErr w:type="spellEnd"/>
      <w:r w:rsidRPr="00C16EE8">
        <w:rPr>
          <w:rFonts w:ascii="Garamond" w:hAnsi="Garamond" w:cs="Times New Roman"/>
          <w:sz w:val="24"/>
          <w:szCs w:val="24"/>
        </w:rPr>
        <w:t xml:space="preserve"> në informacion, edukimi ligjor si domosdoshmëri për rritjen e besimit te drejtësia. </w:t>
      </w:r>
    </w:p>
    <w:p w14:paraId="362B29D3" w14:textId="133F1854" w:rsidR="001A5F0E" w:rsidRPr="00C16EE8" w:rsidRDefault="001A5F0E" w:rsidP="00C16EE8">
      <w:pPr>
        <w:spacing w:after="0" w:line="240" w:lineRule="auto"/>
        <w:ind w:firstLine="284"/>
        <w:jc w:val="both"/>
        <w:rPr>
          <w:rFonts w:ascii="Garamond" w:hAnsi="Garamond" w:cs="Times New Roman"/>
          <w:b/>
          <w:sz w:val="24"/>
          <w:szCs w:val="24"/>
        </w:rPr>
      </w:pPr>
      <w:r w:rsidRPr="00C16EE8">
        <w:rPr>
          <w:rFonts w:ascii="Garamond" w:hAnsi="Garamond" w:cs="Times New Roman"/>
          <w:b/>
          <w:sz w:val="24"/>
          <w:szCs w:val="24"/>
        </w:rPr>
        <w:t>Kuvendi rekomandon që Inspektori i Lartë i Drejtësisë për vitin 2025 të angazhohet në këto drejtime:</w:t>
      </w:r>
    </w:p>
    <w:p w14:paraId="30F04CDC" w14:textId="727BD9E8"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1. Të hartojë një format periodik të raportimit për zbatimin e rekomandimeve të inspektimeve, me tregues të matshëm, përmirësime të identifikuara apo raste të përsëritura, për të forcuar ndikimin dhe efektivitetin e inspektimeve.</w:t>
      </w:r>
    </w:p>
    <w:p w14:paraId="0DC15929" w14:textId="5FE6CB76"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2. Të përfshijë inspektimet vijuese si pjesë të planifikimit vjetor të inspektimeve dhe të parashikojë burimet përkatëse për realizimin e tyre për të siguruar verifikim të drejtpërdrejtë të zbatimit të rekomandimeve dhe analizë krahasuese ndër vite.</w:t>
      </w:r>
    </w:p>
    <w:p w14:paraId="4D862713" w14:textId="7777777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3. Të iniciojë një protokoll bashkëpunimi ndërinstitucional me Këshillin e Lartë Gjyqësor, Këshillin e Lartë të Prokurorisë dhe Prokurorinë e Përgjithshme për të mundësuar </w:t>
      </w:r>
      <w:proofErr w:type="spellStart"/>
      <w:r w:rsidRPr="00C16EE8">
        <w:rPr>
          <w:rFonts w:ascii="Garamond" w:hAnsi="Garamond" w:cs="Times New Roman"/>
          <w:sz w:val="24"/>
          <w:szCs w:val="24"/>
        </w:rPr>
        <w:t>akses</w:t>
      </w:r>
      <w:proofErr w:type="spellEnd"/>
      <w:r w:rsidRPr="00C16EE8">
        <w:rPr>
          <w:rFonts w:ascii="Garamond" w:hAnsi="Garamond" w:cs="Times New Roman"/>
          <w:sz w:val="24"/>
          <w:szCs w:val="24"/>
        </w:rPr>
        <w:t xml:space="preserve"> në sistemet elektronike të gjykatave dhe prokurorive.</w:t>
      </w:r>
    </w:p>
    <w:p w14:paraId="2E95F20C" w14:textId="7777777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4. Të zhvillojë konsultime me Dhomën Kombëtare të Avokatisë, me qëllim identifikimin e problematikave në sistemin e drejtësisë dhe adresimin e tyre përmes inspektimeve tematike.</w:t>
      </w:r>
    </w:p>
    <w:p w14:paraId="497390A6" w14:textId="7777777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5. Të marrë masa për krijimin një sistemi për menaxhimin e çështjeve të </w:t>
      </w:r>
      <w:proofErr w:type="spellStart"/>
      <w:r w:rsidRPr="00C16EE8">
        <w:rPr>
          <w:rFonts w:ascii="Garamond" w:hAnsi="Garamond" w:cs="Times New Roman"/>
          <w:sz w:val="24"/>
          <w:szCs w:val="24"/>
        </w:rPr>
        <w:t>ILD</w:t>
      </w:r>
      <w:proofErr w:type="spellEnd"/>
      <w:r w:rsidRPr="00C16EE8">
        <w:rPr>
          <w:rFonts w:ascii="Garamond" w:hAnsi="Garamond" w:cs="Times New Roman"/>
          <w:sz w:val="24"/>
          <w:szCs w:val="24"/>
        </w:rPr>
        <w:t xml:space="preserve">-së, me qëllim që të digjitalizojë proceset e shqyrtimit të ankesave, të verifikimit dhe hetimit, për të përmirësuar </w:t>
      </w:r>
      <w:proofErr w:type="spellStart"/>
      <w:r w:rsidRPr="00C16EE8">
        <w:rPr>
          <w:rFonts w:ascii="Garamond" w:hAnsi="Garamond" w:cs="Times New Roman"/>
          <w:sz w:val="24"/>
          <w:szCs w:val="24"/>
        </w:rPr>
        <w:t>eficiencën</w:t>
      </w:r>
      <w:proofErr w:type="spellEnd"/>
      <w:r w:rsidRPr="00C16EE8">
        <w:rPr>
          <w:rFonts w:ascii="Garamond" w:hAnsi="Garamond" w:cs="Times New Roman"/>
          <w:sz w:val="24"/>
          <w:szCs w:val="24"/>
        </w:rPr>
        <w:t>, reduktuar vonesat dhe ndihmuar në ndjekjen në kohë reale të ankesave, hetimeve dhe inspektimeve, por dhe transparencën me qytetarët.</w:t>
      </w:r>
    </w:p>
    <w:p w14:paraId="7181056C" w14:textId="56F55C65"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6. Të hartojë raporte analitike periodike mbi tematikat e ankesave të qytetarëve, me qëllim identifikimin e prirjeve kryesore të problematikave të evidentuara nga publiku, institucionet dhe identifikimin e çështjeve për inspektime tematike.</w:t>
      </w:r>
    </w:p>
    <w:p w14:paraId="7DB9E742" w14:textId="38C12C87" w:rsidR="001A5F0E"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lastRenderedPageBreak/>
        <w:t xml:space="preserve">7. Të zgjerojë dhe forcojë veprimtarinë </w:t>
      </w:r>
      <w:proofErr w:type="spellStart"/>
      <w:r w:rsidRPr="00C16EE8">
        <w:rPr>
          <w:rFonts w:ascii="Garamond" w:hAnsi="Garamond" w:cs="Times New Roman"/>
          <w:sz w:val="24"/>
          <w:szCs w:val="24"/>
        </w:rPr>
        <w:t>ndërgjegjësuese</w:t>
      </w:r>
      <w:proofErr w:type="spellEnd"/>
      <w:r w:rsidRPr="00C16EE8">
        <w:rPr>
          <w:rFonts w:ascii="Garamond" w:hAnsi="Garamond" w:cs="Times New Roman"/>
          <w:sz w:val="24"/>
          <w:szCs w:val="24"/>
        </w:rPr>
        <w:t xml:space="preserve"> të komunikimit institucional përmes fushatave tematike dhe përmbajtjeve edukative të përshtatura për publikun e gjerë. Këto nisma të synojnë rritjen e njohjes së të drejtave të qytetarëve dhe rolit të </w:t>
      </w:r>
      <w:proofErr w:type="spellStart"/>
      <w:r w:rsidRPr="00C16EE8">
        <w:rPr>
          <w:rFonts w:ascii="Garamond" w:hAnsi="Garamond" w:cs="Times New Roman"/>
          <w:sz w:val="24"/>
          <w:szCs w:val="24"/>
        </w:rPr>
        <w:t>ILD</w:t>
      </w:r>
      <w:proofErr w:type="spellEnd"/>
      <w:r w:rsidRPr="00C16EE8">
        <w:rPr>
          <w:rFonts w:ascii="Garamond" w:hAnsi="Garamond" w:cs="Times New Roman"/>
          <w:sz w:val="24"/>
          <w:szCs w:val="24"/>
        </w:rPr>
        <w:t>-së, duke përmirësuar ndërveprimin qytetar-institucion dhe duke rritur besimin te mekanizmat e llogaridhënies në sistemin e drejtësisë.</w:t>
      </w:r>
    </w:p>
    <w:p w14:paraId="386D8E0B" w14:textId="33BE9DD0" w:rsidR="00556EBC" w:rsidRPr="00C16EE8" w:rsidRDefault="001A5F0E"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8. Të përgatitet deri në dhjetor 2025 një analizë përgjithësuese për inspektimet e kryera në periudhën 2020</w:t>
      </w:r>
      <w:r w:rsidR="0067134F">
        <w:rPr>
          <w:rFonts w:ascii="Garamond" w:hAnsi="Garamond" w:cs="Times New Roman"/>
          <w:sz w:val="24"/>
          <w:szCs w:val="24"/>
        </w:rPr>
        <w:t>–</w:t>
      </w:r>
      <w:r w:rsidRPr="00C16EE8">
        <w:rPr>
          <w:rFonts w:ascii="Garamond" w:hAnsi="Garamond" w:cs="Times New Roman"/>
          <w:sz w:val="24"/>
          <w:szCs w:val="24"/>
        </w:rPr>
        <w:t xml:space="preserve">2025; përputhshmërinë e tyre me prioritetet e përcaktuara nga vet sistemi, ashtu dhe nga </w:t>
      </w:r>
      <w:proofErr w:type="spellStart"/>
      <w:r w:rsidRPr="00C16EE8">
        <w:rPr>
          <w:rFonts w:ascii="Garamond" w:hAnsi="Garamond" w:cs="Times New Roman"/>
          <w:sz w:val="24"/>
          <w:szCs w:val="24"/>
        </w:rPr>
        <w:t>pritshmëritë</w:t>
      </w:r>
      <w:proofErr w:type="spellEnd"/>
      <w:r w:rsidRPr="00C16EE8">
        <w:rPr>
          <w:rFonts w:ascii="Garamond" w:hAnsi="Garamond" w:cs="Times New Roman"/>
          <w:sz w:val="24"/>
          <w:szCs w:val="24"/>
        </w:rPr>
        <w:t xml:space="preserve"> e qytetarëve gjatë kësaj periudhe; efektin e krijuar në sistem dhe në besimin e qytetarëve te drejtësia; problematikat e konstatuara; bashkëpunimin me institucionet e drejtësisë dhe ato të lidhura me procesin; si dhe nevojat për mbështetjen e veprimtarisë së institucionit në të ardhmen.</w:t>
      </w:r>
    </w:p>
    <w:p w14:paraId="42904F6A" w14:textId="77777777" w:rsidR="00C16EE8" w:rsidRPr="003820AD" w:rsidRDefault="00C16EE8" w:rsidP="00C16EE8">
      <w:pPr>
        <w:spacing w:after="0" w:line="240" w:lineRule="auto"/>
        <w:ind w:firstLine="284"/>
        <w:jc w:val="both"/>
        <w:rPr>
          <w:rFonts w:ascii="Garamond" w:hAnsi="Garamond" w:cs="Times New Roman"/>
          <w:sz w:val="24"/>
          <w:szCs w:val="24"/>
        </w:rPr>
      </w:pPr>
      <w:bookmarkStart w:id="0" w:name="_Hlk213754121"/>
    </w:p>
    <w:p w14:paraId="35437A4A" w14:textId="77777777" w:rsidR="00C16EE8" w:rsidRPr="003820AD" w:rsidRDefault="00C16EE8" w:rsidP="00C16EE8">
      <w:pPr>
        <w:spacing w:after="0" w:line="240" w:lineRule="auto"/>
        <w:ind w:firstLine="284"/>
        <w:jc w:val="right"/>
        <w:rPr>
          <w:rFonts w:ascii="Garamond" w:eastAsia="MS Mincho" w:hAnsi="Garamond" w:cs="Times New Roman"/>
          <w:sz w:val="24"/>
          <w:szCs w:val="24"/>
        </w:rPr>
      </w:pPr>
      <w:r w:rsidRPr="003820AD">
        <w:rPr>
          <w:rFonts w:ascii="Garamond" w:eastAsia="MS Mincho" w:hAnsi="Garamond" w:cs="Times New Roman"/>
          <w:sz w:val="24"/>
          <w:szCs w:val="24"/>
        </w:rPr>
        <w:t>KRYETAR</w:t>
      </w:r>
    </w:p>
    <w:p w14:paraId="78B7281F" w14:textId="77777777" w:rsidR="00C16EE8" w:rsidRPr="003820AD" w:rsidRDefault="00C16EE8" w:rsidP="00C16EE8">
      <w:pPr>
        <w:spacing w:after="0" w:line="240" w:lineRule="auto"/>
        <w:ind w:firstLine="284"/>
        <w:jc w:val="right"/>
        <w:rPr>
          <w:rFonts w:ascii="Garamond" w:eastAsia="MS Mincho" w:hAnsi="Garamond" w:cs="Times New Roman"/>
          <w:b/>
          <w:bCs/>
          <w:sz w:val="24"/>
          <w:szCs w:val="24"/>
        </w:rPr>
      </w:pPr>
      <w:proofErr w:type="spellStart"/>
      <w:r w:rsidRPr="003820AD">
        <w:rPr>
          <w:rFonts w:ascii="Garamond" w:eastAsia="MS Mincho" w:hAnsi="Garamond" w:cs="Times New Roman"/>
          <w:b/>
          <w:bCs/>
          <w:sz w:val="24"/>
          <w:szCs w:val="24"/>
        </w:rPr>
        <w:t>Niko</w:t>
      </w:r>
      <w:proofErr w:type="spellEnd"/>
      <w:r w:rsidRPr="003820AD">
        <w:rPr>
          <w:rFonts w:ascii="Garamond" w:eastAsia="MS Mincho" w:hAnsi="Garamond" w:cs="Times New Roman"/>
          <w:b/>
          <w:bCs/>
          <w:sz w:val="24"/>
          <w:szCs w:val="24"/>
        </w:rPr>
        <w:t xml:space="preserve"> </w:t>
      </w:r>
      <w:proofErr w:type="spellStart"/>
      <w:r w:rsidRPr="003820AD">
        <w:rPr>
          <w:rFonts w:ascii="Garamond" w:eastAsia="MS Mincho" w:hAnsi="Garamond" w:cs="Times New Roman"/>
          <w:b/>
          <w:bCs/>
          <w:sz w:val="24"/>
          <w:szCs w:val="24"/>
        </w:rPr>
        <w:t>Peleshi</w:t>
      </w:r>
      <w:proofErr w:type="spellEnd"/>
    </w:p>
    <w:bookmarkEnd w:id="0"/>
    <w:p w14:paraId="0A6B5B4C" w14:textId="77777777" w:rsidR="00F24923" w:rsidRPr="00C16EE8" w:rsidRDefault="00F24923" w:rsidP="00C16EE8">
      <w:pPr>
        <w:spacing w:after="0" w:line="240" w:lineRule="auto"/>
        <w:ind w:firstLine="284"/>
        <w:jc w:val="right"/>
        <w:rPr>
          <w:rFonts w:ascii="Garamond" w:hAnsi="Garamond" w:cs="Times New Roman"/>
          <w:sz w:val="24"/>
          <w:szCs w:val="24"/>
        </w:rPr>
      </w:pPr>
    </w:p>
    <w:p w14:paraId="221649EC" w14:textId="4DB9665A" w:rsidR="00EB62DE" w:rsidRPr="00C16EE8" w:rsidRDefault="00A755F6" w:rsidP="00C16EE8">
      <w:pPr>
        <w:spacing w:after="0" w:line="240" w:lineRule="auto"/>
        <w:ind w:firstLine="284"/>
        <w:jc w:val="both"/>
        <w:rPr>
          <w:rFonts w:ascii="Garamond" w:hAnsi="Garamond" w:cs="Times New Roman"/>
          <w:sz w:val="24"/>
          <w:szCs w:val="24"/>
        </w:rPr>
      </w:pPr>
      <w:r w:rsidRPr="00C16EE8">
        <w:rPr>
          <w:rFonts w:ascii="Garamond" w:hAnsi="Garamond" w:cs="Times New Roman"/>
          <w:sz w:val="24"/>
          <w:szCs w:val="24"/>
        </w:rPr>
        <w:t xml:space="preserve">Miratuar në datën </w:t>
      </w:r>
      <w:r w:rsidR="00F24923" w:rsidRPr="00C16EE8">
        <w:rPr>
          <w:rFonts w:ascii="Garamond" w:hAnsi="Garamond" w:cs="Times New Roman"/>
          <w:sz w:val="24"/>
          <w:szCs w:val="24"/>
        </w:rPr>
        <w:t>30.10</w:t>
      </w:r>
      <w:r w:rsidR="003C57D3" w:rsidRPr="00C16EE8">
        <w:rPr>
          <w:rFonts w:ascii="Garamond" w:hAnsi="Garamond" w:cs="Times New Roman"/>
          <w:sz w:val="24"/>
          <w:szCs w:val="24"/>
        </w:rPr>
        <w:t>.202</w:t>
      </w:r>
      <w:r w:rsidR="007427F3" w:rsidRPr="00C16EE8">
        <w:rPr>
          <w:rFonts w:ascii="Garamond" w:hAnsi="Garamond" w:cs="Times New Roman"/>
          <w:sz w:val="24"/>
          <w:szCs w:val="24"/>
        </w:rPr>
        <w:t>5</w:t>
      </w:r>
      <w:r w:rsidR="004C5629">
        <w:rPr>
          <w:rFonts w:ascii="Garamond" w:hAnsi="Garamond" w:cs="Times New Roman"/>
          <w:sz w:val="24"/>
          <w:szCs w:val="24"/>
        </w:rPr>
        <w:t>.</w:t>
      </w:r>
    </w:p>
    <w:p w14:paraId="2081D79A" w14:textId="11E252D0" w:rsidR="007A744F" w:rsidRPr="00C16EE8" w:rsidRDefault="007A744F" w:rsidP="00C16EE8">
      <w:pPr>
        <w:spacing w:after="0" w:line="240" w:lineRule="auto"/>
        <w:ind w:firstLine="284"/>
        <w:rPr>
          <w:rFonts w:ascii="Garamond" w:eastAsia="Times New Roman" w:hAnsi="Garamond" w:cs="Times New Roman"/>
          <w:sz w:val="20"/>
          <w:szCs w:val="20"/>
        </w:rPr>
      </w:pPr>
    </w:p>
    <w:p w14:paraId="328FB015" w14:textId="77777777" w:rsidR="003C57D3" w:rsidRPr="00C16EE8" w:rsidRDefault="003C57D3" w:rsidP="00C16EE8">
      <w:pPr>
        <w:spacing w:after="0" w:line="240" w:lineRule="auto"/>
        <w:ind w:firstLine="284"/>
        <w:rPr>
          <w:rFonts w:ascii="Garamond" w:eastAsia="Times New Roman" w:hAnsi="Garamond" w:cs="Times New Roman"/>
          <w:sz w:val="20"/>
          <w:szCs w:val="20"/>
        </w:rPr>
      </w:pPr>
      <w:bookmarkStart w:id="1" w:name="_GoBack"/>
      <w:bookmarkEnd w:id="1"/>
    </w:p>
    <w:p w14:paraId="3E9909DF" w14:textId="77777777" w:rsidR="0079748A" w:rsidRPr="00C16EE8" w:rsidRDefault="0079748A" w:rsidP="00C16EE8">
      <w:pPr>
        <w:spacing w:after="0" w:line="240" w:lineRule="auto"/>
        <w:ind w:firstLine="284"/>
        <w:rPr>
          <w:rFonts w:ascii="Garamond" w:eastAsia="Times New Roman" w:hAnsi="Garamond" w:cs="Times New Roman"/>
          <w:sz w:val="20"/>
          <w:szCs w:val="20"/>
        </w:rPr>
      </w:pPr>
    </w:p>
    <w:sectPr w:rsidR="0079748A" w:rsidRPr="00C16EE8" w:rsidSect="00275F33">
      <w:footerReference w:type="default" r:id="rId15"/>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AAD8B" w14:textId="77777777" w:rsidR="008D4A3E" w:rsidRDefault="008D4A3E" w:rsidP="00C86383">
      <w:pPr>
        <w:spacing w:after="0" w:line="240" w:lineRule="auto"/>
      </w:pPr>
      <w:r>
        <w:separator/>
      </w:r>
    </w:p>
  </w:endnote>
  <w:endnote w:type="continuationSeparator" w:id="0">
    <w:p w14:paraId="31CE2CC6" w14:textId="77777777" w:rsidR="008D4A3E" w:rsidRDefault="008D4A3E" w:rsidP="00C86383">
      <w:pPr>
        <w:spacing w:after="0" w:line="240" w:lineRule="auto"/>
      </w:pPr>
      <w:r>
        <w:continuationSeparator/>
      </w:r>
    </w:p>
  </w:endnote>
  <w:endnote w:type="continuationNotice" w:id="1">
    <w:p w14:paraId="6F3B6E49" w14:textId="77777777" w:rsidR="008D4A3E" w:rsidRDefault="008D4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62AE5AF4" w:rsidR="008D4A3E" w:rsidRPr="00E7684C" w:rsidRDefault="008D4A3E">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8D4A3E" w:rsidRDefault="008D4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AF4F1" w14:textId="77777777" w:rsidR="008D4A3E" w:rsidRDefault="008D4A3E" w:rsidP="00C86383">
      <w:pPr>
        <w:spacing w:after="0" w:line="240" w:lineRule="auto"/>
      </w:pPr>
      <w:r>
        <w:separator/>
      </w:r>
    </w:p>
  </w:footnote>
  <w:footnote w:type="continuationSeparator" w:id="0">
    <w:p w14:paraId="047A2456" w14:textId="77777777" w:rsidR="008D4A3E" w:rsidRDefault="008D4A3E" w:rsidP="00C86383">
      <w:pPr>
        <w:spacing w:after="0" w:line="240" w:lineRule="auto"/>
      </w:pPr>
      <w:r>
        <w:continuationSeparator/>
      </w:r>
    </w:p>
  </w:footnote>
  <w:footnote w:type="continuationNotice" w:id="1">
    <w:p w14:paraId="4BFE68D8" w14:textId="77777777" w:rsidR="008D4A3E" w:rsidRDefault="008D4A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15E64"/>
    <w:rsid w:val="00121DB5"/>
    <w:rsid w:val="00125D8E"/>
    <w:rsid w:val="001270FC"/>
    <w:rsid w:val="001315C1"/>
    <w:rsid w:val="001325AF"/>
    <w:rsid w:val="00132AD7"/>
    <w:rsid w:val="001336E2"/>
    <w:rsid w:val="001356DB"/>
    <w:rsid w:val="00137100"/>
    <w:rsid w:val="001424BF"/>
    <w:rsid w:val="001432F5"/>
    <w:rsid w:val="00143A0C"/>
    <w:rsid w:val="001501FF"/>
    <w:rsid w:val="0016140E"/>
    <w:rsid w:val="00162EC4"/>
    <w:rsid w:val="00176BBD"/>
    <w:rsid w:val="0018119B"/>
    <w:rsid w:val="00181B37"/>
    <w:rsid w:val="00184409"/>
    <w:rsid w:val="001858C3"/>
    <w:rsid w:val="00191634"/>
    <w:rsid w:val="001A5F0E"/>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5549B"/>
    <w:rsid w:val="00261E00"/>
    <w:rsid w:val="00262768"/>
    <w:rsid w:val="00262C8A"/>
    <w:rsid w:val="00266214"/>
    <w:rsid w:val="00275F33"/>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623CC"/>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282A"/>
    <w:rsid w:val="003F4AE8"/>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A71CD"/>
    <w:rsid w:val="004B0605"/>
    <w:rsid w:val="004B13B2"/>
    <w:rsid w:val="004B79D3"/>
    <w:rsid w:val="004C36BB"/>
    <w:rsid w:val="004C430E"/>
    <w:rsid w:val="004C4CF2"/>
    <w:rsid w:val="004C5629"/>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134F"/>
    <w:rsid w:val="0067489C"/>
    <w:rsid w:val="0067607A"/>
    <w:rsid w:val="00680190"/>
    <w:rsid w:val="00684857"/>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32D"/>
    <w:rsid w:val="007C1E4A"/>
    <w:rsid w:val="007C6F84"/>
    <w:rsid w:val="007E6F13"/>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066"/>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4A3E"/>
    <w:rsid w:val="008D5CDA"/>
    <w:rsid w:val="008D7A71"/>
    <w:rsid w:val="008E13AA"/>
    <w:rsid w:val="008E2C2A"/>
    <w:rsid w:val="008F0F64"/>
    <w:rsid w:val="008F16D6"/>
    <w:rsid w:val="008F3C04"/>
    <w:rsid w:val="008F3C44"/>
    <w:rsid w:val="008F5EF5"/>
    <w:rsid w:val="008F668F"/>
    <w:rsid w:val="008F6781"/>
    <w:rsid w:val="009051F4"/>
    <w:rsid w:val="00913D17"/>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16EE8"/>
    <w:rsid w:val="00C2107A"/>
    <w:rsid w:val="00C22617"/>
    <w:rsid w:val="00C277DC"/>
    <w:rsid w:val="00C310C5"/>
    <w:rsid w:val="00C3396C"/>
    <w:rsid w:val="00C34368"/>
    <w:rsid w:val="00C356CF"/>
    <w:rsid w:val="00C42220"/>
    <w:rsid w:val="00C46623"/>
    <w:rsid w:val="00C50843"/>
    <w:rsid w:val="00C569D5"/>
    <w:rsid w:val="00C64BFE"/>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77464"/>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45701"/>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16E9A"/>
    <w:rsid w:val="00F24923"/>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3375-10</Nr_x002e__x0020_akti>
    <Data_x0020_e_x0020_Krijimit xmlns="0e656187-b300-4fb0-8bf4-3a50f872073c">2025-11-11T13:54:17Z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2025-11-11T00:00:00Z</Date_x0020_protokolli>
    <Titulli xmlns="0e656187-b300-4fb0-8bf4-3a50f872073c">Për vlerësimin e veprimtarisë së Inspektorit të Lartë të Drejtësisë për vitin 2024</Titulli>
    <Modifikuesi xmlns="0e656187-b300-4fb0-8bf4-3a50f872073c">alma.lisaku</Modifikuesi>
    <Nr_x002e__x0020_prot_x0020_QBZ xmlns="0e656187-b300-4fb0-8bf4-3a50f872073c">1880/23</Nr_x002e__x0020_prot_x0020_QBZ>
    <Data_x0020_e_x0020_Modifikimit xmlns="0e656187-b300-4fb0-8bf4-3a50f872073c">2025-11-12T11:53:46Z</Data_x0020_e_x0020_Modifikimit>
    <Dekretuar xmlns="0e656187-b300-4fb0-8bf4-3a50f872073c">false</Dekretuar>
    <Data xmlns="0e656187-b300-4fb0-8bf4-3a50f872073c">2025-10-30T00:00:00Z</Data>
    <Nr_x002e__x0020_protokolli_x0020_i_x0020_aktit xmlns="0e656187-b300-4fb0-8bf4-3a50f872073c">3375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3BF35660EAF4D90BD75902D3CD1D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3BF35660EAF4D90BD75902D3CD1D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C3BF35660EAF4D90BD75902D3CD1D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C73F0-10ED-4599-952F-AB41F901169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186EB5D-038F-45A5-B376-4854E5C572BD}">
  <ds:schemaRefs>
    <ds:schemaRef ds:uri="http://schemas.microsoft.com/sharepoint/v3/contenttype/forms"/>
  </ds:schemaRefs>
</ds:datastoreItem>
</file>

<file path=customXml/itemProps3.xml><?xml version="1.0" encoding="utf-8"?>
<ds:datastoreItem xmlns:ds="http://schemas.openxmlformats.org/officeDocument/2006/customXml" ds:itemID="{6566D8C1-42C9-48F3-98E1-33AF254BD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94D0F7-145B-4B04-965D-B96FB7F0EF41}">
  <ds:schemaRefs>
    <ds:schemaRef ds:uri="http://schemas.microsoft.com/sharepoint/v3/contenttype/forms"/>
  </ds:schemaRefs>
</ds:datastoreItem>
</file>

<file path=customXml/itemProps5.xml><?xml version="1.0" encoding="utf-8"?>
<ds:datastoreItem xmlns:ds="http://schemas.openxmlformats.org/officeDocument/2006/customXml" ds:itemID="{63DDB03A-73B0-4F39-B284-B1D5F82A0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C9C0B2-B366-4C9E-85DF-5A618E45AC15}">
  <ds:schemaRefs>
    <ds:schemaRef ds:uri="http://schemas.microsoft.com/sharepoint/v3/contenttype/forms"/>
  </ds:schemaRefs>
</ds:datastoreItem>
</file>

<file path=customXml/itemProps7.xml><?xml version="1.0" encoding="utf-8"?>
<ds:datastoreItem xmlns:ds="http://schemas.openxmlformats.org/officeDocument/2006/customXml" ds:itemID="{FF94DAF2-1E9A-4FC4-B196-1531C681C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B8F70EAB-6119-47F7-B3C1-27C90D59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vlerësimin e veprimtarisë së Inspektorit të Lartë të Drejtësisë për vitin 2024</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Inspektorit të Lartë të Drejtësisë për vitin 2024</dc:title>
  <dc:creator>user</dc:creator>
  <cp:lastModifiedBy>Alma Lisaku</cp:lastModifiedBy>
  <cp:revision>138</cp:revision>
  <cp:lastPrinted>2025-11-04T09:52:00Z</cp:lastPrinted>
  <dcterms:created xsi:type="dcterms:W3CDTF">2019-04-04T07:08:00Z</dcterms:created>
  <dcterms:modified xsi:type="dcterms:W3CDTF">2025-11-12T11:18:00Z</dcterms:modified>
</cp:coreProperties>
</file>