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DE9C6" w14:textId="77777777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E1641">
        <w:rPr>
          <w:rFonts w:ascii="Garamond" w:hAnsi="Garamond" w:cs="Times New Roman"/>
          <w:b/>
          <w:bCs/>
          <w:color w:val="000000"/>
          <w:sz w:val="24"/>
          <w:szCs w:val="24"/>
        </w:rPr>
        <w:t>REZOLUTË</w:t>
      </w:r>
    </w:p>
    <w:p w14:paraId="16AE3A6E" w14:textId="77777777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5045E36" w14:textId="77777777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E1641">
        <w:rPr>
          <w:rFonts w:ascii="Garamond" w:hAnsi="Garamond" w:cs="Times New Roman"/>
          <w:b/>
          <w:bCs/>
          <w:color w:val="000000"/>
          <w:sz w:val="24"/>
          <w:szCs w:val="24"/>
        </w:rPr>
        <w:t>PËR VLERËSIMIN E VEPRIMTARISË SË KËSHILLIT TË LARTË GJYQËSOR</w:t>
      </w:r>
    </w:p>
    <w:p w14:paraId="039F05B4" w14:textId="77777777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E1641">
        <w:rPr>
          <w:rFonts w:ascii="Garamond" w:hAnsi="Garamond" w:cs="Times New Roman"/>
          <w:b/>
          <w:bCs/>
          <w:color w:val="000000"/>
          <w:sz w:val="24"/>
          <w:szCs w:val="24"/>
        </w:rPr>
        <w:t>PËR VITIN 2024</w:t>
      </w:r>
    </w:p>
    <w:p w14:paraId="542A50A6" w14:textId="77777777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5DF25C5" w14:textId="6D4F2F22" w:rsidR="009C1C49" w:rsidRPr="009E1641" w:rsidRDefault="009C1C49" w:rsidP="009E1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E1641">
        <w:rPr>
          <w:rFonts w:ascii="Garamond" w:hAnsi="Garamond" w:cs="Times New Roman"/>
          <w:b/>
          <w:bCs/>
          <w:color w:val="000000"/>
          <w:sz w:val="24"/>
          <w:szCs w:val="24"/>
        </w:rPr>
        <w:t>Kuvendi i Republikës Shqipërisë,</w:t>
      </w:r>
    </w:p>
    <w:p w14:paraId="2CB8A7A5" w14:textId="512C5A98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Duke vlerësuar rëndësinë e rolit të Këshillit të Lartë Gjyqësor në sigurimin e pavarësisë, përgjegjshmërisë dhe mbarëvajtjes së pushtetit gjyqësor në Republikën e Shqipërisë;</w:t>
      </w:r>
    </w:p>
    <w:p w14:paraId="43043DCE" w14:textId="5FE666BC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Duke mbajtur parasysh rolin e Këshillit të Lartë Gjyqësor në emërimin, caktimin në pozicion, transferimin, ngritjen në detyrë, komandimin dhe riemërimin, vlerësimin e veprimtarisë etike dhe profesionale, vendosjen e masave disiplinore dhe pezullimin e gjyqtarëve të të gjitha niveleve;</w:t>
      </w:r>
    </w:p>
    <w:p w14:paraId="14C3F203" w14:textId="11D02A6F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Duke nënvizuar rëndësinë e bashkëpunimit të Këshillit të Lartë Gjyqësor me Shkollën e Magjistraturës, sidomos për trajnimin vazhdues të gjyqtarëve dhe emërimin e gjyqtarëve pas diplomimit në Shkollën e Magjistraturës;</w:t>
      </w:r>
    </w:p>
    <w:p w14:paraId="3C281F54" w14:textId="54B5B92C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Duke theksuar rëndësinë e rolit të Këshillit të Lartë Gjyqësor në drejtimin dhe kujdesjen për mbarëvajtjen e punës në administratën e gjykatave</w:t>
      </w:r>
      <w:r w:rsidR="009E1641">
        <w:rPr>
          <w:rFonts w:ascii="Garamond" w:hAnsi="Garamond" w:cs="Times New Roman"/>
          <w:color w:val="000000"/>
          <w:sz w:val="24"/>
          <w:szCs w:val="24"/>
        </w:rPr>
        <w:t>,</w:t>
      </w: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me fokus hartimin dhe ndjekjen e zbatimit të politikave për administrimin gjyqësor, monitorimin dhe menaxhimin e ngarkesës së gjyqtarëve dhe të gjykatave, kohëzgjatjen e çështjeve dhe miratimin e rregullave të brendshme standarde të gjykatës;</w:t>
      </w:r>
    </w:p>
    <w:p w14:paraId="6A46A2DE" w14:textId="5A8DB8CE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Duke mbajtur në konsideratë nevojat e Këshillit për mbarëvajtjen e sistemit gjyqësor;</w:t>
      </w:r>
    </w:p>
    <w:p w14:paraId="4D238E60" w14:textId="4EC24E85" w:rsidR="009C1C49" w:rsidRPr="009E1641" w:rsidRDefault="009C1C49" w:rsidP="009E16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Duke mbajtur parasysh rëndësinë e informimit të publikut dhe Kuvendit për gjendjen e</w:t>
      </w:r>
      <w:r w:rsidR="009E164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E1641">
        <w:rPr>
          <w:rFonts w:ascii="Garamond" w:hAnsi="Garamond" w:cs="Times New Roman"/>
          <w:color w:val="000000"/>
          <w:sz w:val="24"/>
          <w:szCs w:val="24"/>
        </w:rPr>
        <w:t>sistemit gjyqësor</w:t>
      </w:r>
      <w:r w:rsidR="009E1641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44DD43D0" w14:textId="77777777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E1641">
        <w:rPr>
          <w:rFonts w:ascii="Garamond" w:hAnsi="Garamond" w:cs="Times New Roman"/>
          <w:b/>
          <w:bCs/>
          <w:color w:val="000000"/>
          <w:sz w:val="24"/>
          <w:szCs w:val="24"/>
        </w:rPr>
        <w:t>Bazuar në analizën e të dhënave të vitit 2024, të referuara në raportin e paraqitur nga Këshilli i Lartë Gjyqësor, konstaton:</w:t>
      </w:r>
    </w:p>
    <w:p w14:paraId="6AE65A26" w14:textId="35B163DA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Zhvillimin e 65 mbledhjeve plenare dhe miratimin e 764 vendimeve.</w:t>
      </w:r>
    </w:p>
    <w:p w14:paraId="221D5DDD" w14:textId="4CEAB8D4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Miratimin e Strategjisë për Uljen e Numrit të Çështjeve të Prapambetura në Gjykata (2024</w:t>
      </w:r>
      <w:r w:rsidR="009E1641">
        <w:rPr>
          <w:rFonts w:ascii="Garamond" w:hAnsi="Garamond" w:cs="Times New Roman"/>
          <w:color w:val="000000"/>
          <w:sz w:val="24"/>
          <w:szCs w:val="24"/>
        </w:rPr>
        <w:t xml:space="preserve">– </w:t>
      </w:r>
      <w:r w:rsidRPr="009E1641">
        <w:rPr>
          <w:rFonts w:ascii="Garamond" w:hAnsi="Garamond" w:cs="Times New Roman"/>
          <w:color w:val="000000"/>
          <w:sz w:val="24"/>
          <w:szCs w:val="24"/>
        </w:rPr>
        <w:t>2027). Strategjia përcakton 7 objektiva, për zbatimin e të cilave nga ana e Këshillit janë miratuar një tërësi aktesh nënligjore.</w:t>
      </w:r>
    </w:p>
    <w:p w14:paraId="5BA6BD14" w14:textId="26136C04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Realizimin e vlerësimeve etiko-profesionale të gjyqtarëve si proces të lidhur ngushtë me zhvillimin e karrierës së tyre. Miratimin e 34 raporteve të vlerësimit, ndërsa gjatë periudhës 2020</w:t>
      </w:r>
      <w:r w:rsidR="009E1641">
        <w:rPr>
          <w:rFonts w:ascii="Garamond" w:hAnsi="Garamond" w:cs="Times New Roman"/>
          <w:color w:val="000000"/>
          <w:sz w:val="24"/>
          <w:szCs w:val="24"/>
        </w:rPr>
        <w:t>–</w:t>
      </w:r>
      <w:r w:rsidRPr="009E1641">
        <w:rPr>
          <w:rFonts w:ascii="Garamond" w:hAnsi="Garamond" w:cs="Times New Roman"/>
          <w:color w:val="000000"/>
          <w:sz w:val="24"/>
          <w:szCs w:val="24"/>
        </w:rPr>
        <w:t>2024 janë miratuar në total 190 raporte vlerësimi (nga të cilët, 78 gjyqtarë janë vlerësuar për 2 periudha vlerësimi dhe 41 gjyqtarë janë vlerësuar për 1 periudhë vlerësimi) për 119 gjyqtarë, duke vlerësuar rreth 63% të gjyqtarëve për 303 procedura vlerësimi të filluara.</w:t>
      </w:r>
    </w:p>
    <w:p w14:paraId="26B08148" w14:textId="712962D8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Angazhimin në përgatitjen dhe rekrutimin e gjyqtarëve të rinj përmes emërimit të 32 magjistratëve të rinj, të cilët kanë përfunduar programin e formimit fillestar pranë Shkollës së Magjistraturës për vitin akademik 2023</w:t>
      </w:r>
      <w:r w:rsidR="009E1641">
        <w:rPr>
          <w:rFonts w:ascii="Garamond" w:hAnsi="Garamond" w:cs="Times New Roman"/>
          <w:color w:val="000000"/>
          <w:sz w:val="24"/>
          <w:szCs w:val="24"/>
        </w:rPr>
        <w:t>–</w:t>
      </w:r>
      <w:r w:rsidRPr="009E1641">
        <w:rPr>
          <w:rFonts w:ascii="Garamond" w:hAnsi="Garamond" w:cs="Times New Roman"/>
          <w:color w:val="000000"/>
          <w:sz w:val="24"/>
          <w:szCs w:val="24"/>
        </w:rPr>
        <w:t>2024; miratimit të 20 kuotave për kandidatë për magjistratë profili “gjyqtar” dhe të 15 kuotave për kandidatë për “ndihmës ligjorë” për vitin akademik 2024</w:t>
      </w:r>
      <w:r w:rsidR="009E1641">
        <w:rPr>
          <w:rFonts w:ascii="Garamond" w:hAnsi="Garamond" w:cs="Times New Roman"/>
          <w:color w:val="000000"/>
          <w:sz w:val="24"/>
          <w:szCs w:val="24"/>
        </w:rPr>
        <w:t>–</w:t>
      </w:r>
      <w:r w:rsidRPr="009E1641">
        <w:rPr>
          <w:rFonts w:ascii="Garamond" w:hAnsi="Garamond" w:cs="Times New Roman"/>
          <w:color w:val="000000"/>
          <w:sz w:val="24"/>
          <w:szCs w:val="24"/>
        </w:rPr>
        <w:t>2025; verifikimit të kritereve dhe kushteve formale-ligjore, si dhe të pasurisë dhe figurës për 56 kandidatë.</w:t>
      </w:r>
    </w:p>
    <w:p w14:paraId="5C5C78E7" w14:textId="5BC1FCA4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Finalizimin e 4 procedurave të ngritjes në detyrë në gjykatat që kanë edhe stokun më të lartë të çështjeve në pritje për gjykim në sistemin gjyqësor, 3 në Gjykatën e Apelit të Juridiksionit të Përgjithshëm; dhe 1 në Gjykatën Administrative të Apelit.</w:t>
      </w:r>
    </w:p>
    <w:p w14:paraId="62971646" w14:textId="7BA3B9B9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Caktimin e 66 gjyqtarëve për gjykimin e çështjeve gjyqësore të veçanta në gjykata të ndryshme, nga ajo ku ushtrojnë funksionin në mënyrë të përhershme; 2 gjyqtarëve në skemën e delegimit në Gjykatën Administrative të Apelit; transferimin në mënyrë të përkohshme të 21 gjyqtarëve, si dhe transferimin në mënyrë të përhershme, për shkak të suprimimit të pozicionit, për 6 gjyqtarë të tjerë. </w:t>
      </w:r>
    </w:p>
    <w:p w14:paraId="593E6BE5" w14:textId="7F53BA51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Angazhimin në kuadër të rritjes së transparencës dhe forcimin e besimit të publikut përmes trajtimit të kërkesave për të drejtën e informimit; përditësimit të vazhdueshëm të të dhënave për publikun, mbi zhvillimin e karrierës së gjyqtarëve, vendimmarrjet e Këshillit, si dhe njoftimet dhe aktivitetin e tij.</w:t>
      </w:r>
    </w:p>
    <w:p w14:paraId="4ABE22AE" w14:textId="3ECC848C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Miratimin e vendimeve që kanë siguruar vazhdimësinë e funksionit të gjyqtarëve të medias, pavarësisht lëvizjeve paralele apo ngritjeve në detyrë të gjyqtarëve.</w:t>
      </w:r>
    </w:p>
    <w:p w14:paraId="7B455C07" w14:textId="3C06094D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 Zbatimin e reformës për nëpunësin civil gjyqësor përmes miratimit të akteve strategjike dhe nënligjore me fokus nëpunësin civil gjyqësor</w:t>
      </w:r>
      <w:r w:rsidR="009E1641">
        <w:rPr>
          <w:rFonts w:ascii="Garamond" w:hAnsi="Garamond" w:cs="Times New Roman"/>
          <w:color w:val="000000"/>
          <w:sz w:val="24"/>
          <w:szCs w:val="24"/>
        </w:rPr>
        <w:t>,</w:t>
      </w: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si dhe ngritjen e grupit të punës për hartimin e rregullave dhe vlerësimin e kategorive të nëpunësve civilë gjyqësorë.</w:t>
      </w:r>
    </w:p>
    <w:p w14:paraId="2EE86B2F" w14:textId="0FAADF7D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Trajtimin e procedimeve disiplinore të reja gjatë vitit 2024, si dhe 5 çështje të mbartura nga vitet e mëparshme.</w:t>
      </w:r>
    </w:p>
    <w:p w14:paraId="2564C09E" w14:textId="7304F6CB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Mbështetjen e Qendrës së Teknologjisë së Informacionit, përmes përpjekjeve për plotësimin e vakancave, krijimin e infrastrukturës mbështetëse, si dhe standardizimin e pajisjeve </w:t>
      </w:r>
      <w:r w:rsidRPr="009E1641">
        <w:rPr>
          <w:rFonts w:ascii="Garamond" w:hAnsi="Garamond" w:cs="Times New Roman"/>
          <w:i/>
          <w:color w:val="000000"/>
          <w:sz w:val="24"/>
          <w:szCs w:val="24"/>
        </w:rPr>
        <w:t>hardware</w:t>
      </w:r>
      <w:r w:rsidRPr="009E164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53E3F5F" w14:textId="6A6E2E49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Rritjen e kapaciteteve profesionale për gjyqtarët dhe stafin administrativ.</w:t>
      </w:r>
    </w:p>
    <w:p w14:paraId="6011EE69" w14:textId="399CC845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Analizën për situatën e gjykatave në vend.</w:t>
      </w:r>
    </w:p>
    <w:p w14:paraId="2AF41640" w14:textId="4E9FB420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Bashkëpunimin ndërinstitucional me shumë aktorë</w:t>
      </w:r>
      <w:r w:rsidR="009E1641">
        <w:rPr>
          <w:rFonts w:ascii="Garamond" w:hAnsi="Garamond" w:cs="Times New Roman"/>
          <w:color w:val="000000"/>
          <w:sz w:val="24"/>
          <w:szCs w:val="24"/>
        </w:rPr>
        <w:t>,</w:t>
      </w: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si dhe zhvillimin e takimeve me përfaqësues të diplomacisë dhe ekspertë ndërkombëtarë.</w:t>
      </w:r>
    </w:p>
    <w:p w14:paraId="71066280" w14:textId="28D85463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Bashkëpunimin në kuadër të procesit të negociatave për anëtarësim në BE nëpërmjet raportimit të zhvillimeve kryesore dhe rezultateve të arritura</w:t>
      </w:r>
      <w:r w:rsidR="009E1641">
        <w:rPr>
          <w:rFonts w:ascii="Garamond" w:hAnsi="Garamond" w:cs="Times New Roman"/>
          <w:color w:val="000000"/>
          <w:sz w:val="24"/>
          <w:szCs w:val="24"/>
        </w:rPr>
        <w:t>,</w:t>
      </w: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si dhe përditësimit të masave të kërkuara nga Bashkimi Evropian por edhe nga Kuvendi i Shqipërisë, me qëllim përmbushjen e rekomandimeve të </w:t>
      </w:r>
      <w:r w:rsidR="009E1641">
        <w:rPr>
          <w:rFonts w:ascii="Garamond" w:hAnsi="Garamond" w:cs="Times New Roman"/>
          <w:color w:val="000000"/>
          <w:sz w:val="24"/>
          <w:szCs w:val="24"/>
        </w:rPr>
        <w:t>k</w:t>
      </w: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apitullit 23 “Gjyqësori dhe të drejtat themelore”, si dhe </w:t>
      </w:r>
      <w:r w:rsidR="009E1641">
        <w:rPr>
          <w:rFonts w:ascii="Garamond" w:hAnsi="Garamond" w:cs="Times New Roman"/>
          <w:color w:val="000000"/>
          <w:sz w:val="24"/>
          <w:szCs w:val="24"/>
        </w:rPr>
        <w:t>k</w:t>
      </w:r>
      <w:r w:rsidRPr="009E1641">
        <w:rPr>
          <w:rFonts w:ascii="Garamond" w:hAnsi="Garamond" w:cs="Times New Roman"/>
          <w:color w:val="000000"/>
          <w:sz w:val="24"/>
          <w:szCs w:val="24"/>
        </w:rPr>
        <w:t>apitullit 24 “Drejtësia, liria dhe siguria”.</w:t>
      </w:r>
    </w:p>
    <w:p w14:paraId="1CFDACC2" w14:textId="454356D5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Vijimin e ndjekjes dhe zbatimit të Planit të Komunikimit për Gjykatat, nëpërmjet raportimeve periodike të gjykatave</w:t>
      </w:r>
      <w:r w:rsidR="009E1641">
        <w:rPr>
          <w:rFonts w:ascii="Garamond" w:hAnsi="Garamond" w:cs="Times New Roman"/>
          <w:color w:val="000000"/>
          <w:sz w:val="24"/>
          <w:szCs w:val="24"/>
        </w:rPr>
        <w:t>,</w:t>
      </w: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lidhur me zbatimin e objektivave strategjik</w:t>
      </w:r>
      <w:r w:rsidR="009E1641" w:rsidRPr="009E1641">
        <w:rPr>
          <w:rFonts w:ascii="Garamond" w:hAnsi="Garamond" w:cs="Times New Roman"/>
          <w:color w:val="000000"/>
          <w:sz w:val="24"/>
          <w:szCs w:val="24"/>
        </w:rPr>
        <w:t>ë</w:t>
      </w: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që përmbante ky plan, duke kontribuar në përmirësimin e komunikimit me publikun dhe mediat.</w:t>
      </w:r>
    </w:p>
    <w:p w14:paraId="0BFD7CBB" w14:textId="77777777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9E164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Kuvendi i Shqipërisë i rekomandon Këshillit të Lartë Gjyqësor për vitin 2025, në përmbushje të detyrave të ngarkuara me ligj, të angazhohet veçanërisht edhe në këto drejtime: </w:t>
      </w:r>
    </w:p>
    <w:p w14:paraId="1604696D" w14:textId="004AB2D2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>1. Të bëjë një analizë mbi gjetjet dhe rekomandimet e BE</w:t>
      </w:r>
      <w:r w:rsidR="009E1641">
        <w:rPr>
          <w:rFonts w:ascii="Garamond" w:hAnsi="Garamond" w:cs="Times New Roman"/>
          <w:color w:val="000000"/>
          <w:sz w:val="24"/>
          <w:szCs w:val="24"/>
        </w:rPr>
        <w:t>-së</w:t>
      </w: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="009E1641">
        <w:rPr>
          <w:rFonts w:ascii="Garamond" w:hAnsi="Garamond" w:cs="Times New Roman"/>
          <w:color w:val="000000"/>
          <w:sz w:val="24"/>
          <w:szCs w:val="24"/>
        </w:rPr>
        <w:t>r</w:t>
      </w:r>
      <w:r w:rsidRPr="009E1641">
        <w:rPr>
          <w:rFonts w:ascii="Garamond" w:hAnsi="Garamond" w:cs="Times New Roman"/>
          <w:color w:val="000000"/>
          <w:sz w:val="24"/>
          <w:szCs w:val="24"/>
        </w:rPr>
        <w:t>aport progresi dhe raporti “</w:t>
      </w:r>
      <w:r w:rsidRPr="009E1641">
        <w:rPr>
          <w:rFonts w:ascii="Garamond" w:hAnsi="Garamond" w:cs="Times New Roman"/>
          <w:i/>
          <w:iCs/>
          <w:color w:val="000000"/>
          <w:sz w:val="24"/>
          <w:szCs w:val="24"/>
        </w:rPr>
        <w:t>Rule of Law</w:t>
      </w: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”) dhe angazhimeve të marra në kuadrin e procesit të negociatave. Përfundimet e kësaj analize t’ia bëjë të njohur Kuvendit brenda muajit </w:t>
      </w:r>
      <w:r w:rsidR="009E1641">
        <w:rPr>
          <w:rFonts w:ascii="Garamond" w:hAnsi="Garamond" w:cs="Times New Roman"/>
          <w:color w:val="000000"/>
          <w:sz w:val="24"/>
          <w:szCs w:val="24"/>
        </w:rPr>
        <w:t>d</w:t>
      </w:r>
      <w:r w:rsidRPr="009E1641">
        <w:rPr>
          <w:rFonts w:ascii="Garamond" w:hAnsi="Garamond" w:cs="Times New Roman"/>
          <w:color w:val="000000"/>
          <w:sz w:val="24"/>
          <w:szCs w:val="24"/>
        </w:rPr>
        <w:t>hjetor 2025.</w:t>
      </w:r>
    </w:p>
    <w:p w14:paraId="424D2648" w14:textId="6D248A55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>2. Të përmirësojë mekanizmat e mbledhjes dhe analizës së të dhënave statistikore mbi funksionimin e gjykatave, për të siguruar transparencë, krahasueshmëri dhe raportim të standardizuar sipas udhëzimeve të CEPEJ.</w:t>
      </w:r>
    </w:p>
    <w:p w14:paraId="24C26E07" w14:textId="4CBAE101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>3. Të intensifikojë monitorimin e zbatimit të planit të reduktimit të çështjeve të prapambetura (</w:t>
      </w:r>
      <w:r w:rsidRPr="009E1641">
        <w:rPr>
          <w:rFonts w:ascii="Garamond" w:hAnsi="Garamond" w:cs="Times New Roman"/>
          <w:i/>
          <w:iCs/>
          <w:color w:val="000000"/>
          <w:sz w:val="24"/>
          <w:szCs w:val="24"/>
        </w:rPr>
        <w:t>backlog</w:t>
      </w:r>
      <w:r w:rsidRPr="009E1641">
        <w:rPr>
          <w:rFonts w:ascii="Garamond" w:hAnsi="Garamond" w:cs="Times New Roman"/>
          <w:color w:val="000000"/>
          <w:sz w:val="24"/>
          <w:szCs w:val="24"/>
        </w:rPr>
        <w:t>), duke përcaktuar objektiva të matshëm për çdo gjykatë dhe duke raportuar periodikisht mbi progresin e arritur.</w:t>
      </w:r>
    </w:p>
    <w:p w14:paraId="5203BC29" w14:textId="203D5C1E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>4. Të përmirësojë procesin e vlerësimit të performancës së gjyqtarëve, në mënyrë që të garantojë objektivitet, transparencë dhe lidhje të qartë ndërmjet vlerësimit dhe avancimit në karrierë.</w:t>
      </w:r>
    </w:p>
    <w:p w14:paraId="745664E1" w14:textId="42BF4DEE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>5. Të forcojë masat për rritjen e integritetit gjyqësor, duke përfshirë programe trajnimi mbi etikën, konfliktin e interesit dhe komunikimin publik.</w:t>
      </w:r>
    </w:p>
    <w:p w14:paraId="316912D6" w14:textId="45F5494D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>6. Të sigurojë ndarjen e balancuar të ngarkesës së punës ndërmjet gjykatave dhe gjyqtarëve, në mënyrë që të garantohet efikasiteti dhe barazia në trajtimin e çështjeve.</w:t>
      </w:r>
    </w:p>
    <w:p w14:paraId="27046267" w14:textId="0C608ECF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>7. Të përmirësojë bashkëpunimin ndërinstitucional me Shkollën e Magjistraturës dhe Këshillin e Lartë të Prokurorisë për të harmonizuar proceset e emërimit, trajnimit dhe vlerësimit të magjistratëve.</w:t>
      </w:r>
    </w:p>
    <w:p w14:paraId="6E3FC7E8" w14:textId="69A218A8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>8. Të rrisë transparencën në procesin e komandimeve dhe emërimeve të përkohshme, duke siguruar respektimin e parimit të meritokracisë dhe shmangien e praktikave arbitrare.</w:t>
      </w:r>
    </w:p>
    <w:p w14:paraId="1FE4FBDB" w14:textId="3856BE7A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>9. Të intensifikojë masat për përmirësimin e infrastrukturës së gjykatave dhe kushteve të punës së gjyqtarëve, dhe veçanërisht sigurinë në të gjitha gjykatat e vendit, duke përmirësuar bashkëpunimin ndërinstitucional me Kuvendin dhe institucionet e ekzekutivit përmes Ministrisë së Drejtësisë.</w:t>
      </w:r>
    </w:p>
    <w:p w14:paraId="2E9EBBAE" w14:textId="7BA91A90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>10. Të zbatojë masat për digjitalizimin e plotë të procesit gjyqësor, përfshirë sistemin e regjistrimit elektronik të çështjeve, nënshkrimin elektronik dhe komunikimin elektronik me palët.</w:t>
      </w:r>
    </w:p>
    <w:p w14:paraId="1A92C1C1" w14:textId="6B63ECF2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>11. Të përgatisë raporte periodike mbi zbatimin e rekomandimeve të Kuvendit, duke e bërë këtë një pjesë integrale të procesit vjetor të raportimit.</w:t>
      </w:r>
    </w:p>
    <w:p w14:paraId="0B1FBDCB" w14:textId="61B56A65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12. Të përgatisë brenda muajit </w:t>
      </w:r>
      <w:r w:rsidR="009E1641">
        <w:rPr>
          <w:rFonts w:ascii="Garamond" w:hAnsi="Garamond" w:cs="Times New Roman"/>
          <w:color w:val="000000"/>
          <w:sz w:val="24"/>
          <w:szCs w:val="24"/>
        </w:rPr>
        <w:t>d</w:t>
      </w: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hjetorit 2025 një analizë krahasuese </w:t>
      </w:r>
      <w:r w:rsidR="009E1641" w:rsidRPr="009E1641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9E1641">
        <w:rPr>
          <w:rFonts w:ascii="Garamond" w:hAnsi="Garamond" w:cs="Times New Roman"/>
          <w:color w:val="000000"/>
          <w:sz w:val="24"/>
          <w:szCs w:val="24"/>
        </w:rPr>
        <w:t>çështjeve gjyqësore të mbartura (</w:t>
      </w:r>
      <w:r w:rsidRPr="009E1641">
        <w:rPr>
          <w:rFonts w:ascii="Garamond" w:hAnsi="Garamond" w:cs="Times New Roman"/>
          <w:i/>
          <w:iCs/>
          <w:color w:val="000000"/>
          <w:sz w:val="24"/>
          <w:szCs w:val="24"/>
        </w:rPr>
        <w:t>backlog</w:t>
      </w:r>
      <w:r w:rsidRPr="009E1641">
        <w:rPr>
          <w:rFonts w:ascii="Garamond" w:hAnsi="Garamond" w:cs="Times New Roman"/>
          <w:color w:val="000000"/>
          <w:sz w:val="24"/>
          <w:szCs w:val="24"/>
        </w:rPr>
        <w:t>) përpara dhe pas reformës në drejtësi, përfshirë krahasimet me vendet e tjera të rajonit dhe me standardet e CEPEJ, me qëllim vlerësimin</w:t>
      </w:r>
      <w:bookmarkStart w:id="0" w:name="_GoBack"/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objektiv</w:t>
      </w:r>
      <w:bookmarkEnd w:id="0"/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 të ecurisë së sistemit gjyqësor dhe identifikimin e nevojave për ndërhyrje të mëtejshme ligjore dhe institucionale.</w:t>
      </w:r>
    </w:p>
    <w:p w14:paraId="5BC0BC75" w14:textId="41F13340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lastRenderedPageBreak/>
        <w:t>13. Të raportojë mbi ecurinë e përgatitjes dhe miratimit të rregulloreve të parashikuara në ligj, duke adresuar pengesat që ndikojnë në përmbylljen e kuadrit nënligjor dhe duke siguruar funksionim të plotë institucional.</w:t>
      </w:r>
    </w:p>
    <w:p w14:paraId="0C0AB8B0" w14:textId="2B2B115E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 xml:space="preserve">14. Të hartojë deri në dhjetor 2025 një analizë të plotë të vakancave në sistemin gjyqësor, duke përfshirë gjyqtarët e komanduar dhe nevojat për burime njerëzore, me qëllim hartimin e një plani të unifikuar për rekrutimin, trajnimin dhe sistemimin e gjyqtarëve në të gjitha nivelet e gjyqësorit, si dhe kërkesat për sistemin e rekrutimeve në Shkollën e Magjistraturës, nevojat për staf mbështetës etj. </w:t>
      </w:r>
    </w:p>
    <w:p w14:paraId="557ED306" w14:textId="77777777" w:rsidR="009C1C49" w:rsidRPr="009E1641" w:rsidRDefault="009C1C49" w:rsidP="009C1C4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1" w:name="_Hlk213754121"/>
    </w:p>
    <w:p w14:paraId="7D727C98" w14:textId="77777777" w:rsidR="009C1C49" w:rsidRPr="009E1641" w:rsidRDefault="009C1C49" w:rsidP="009C1C4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9E1641">
        <w:rPr>
          <w:rFonts w:ascii="Garamond" w:eastAsia="MS Mincho" w:hAnsi="Garamond" w:cs="Times New Roman"/>
          <w:sz w:val="24"/>
          <w:szCs w:val="24"/>
        </w:rPr>
        <w:t>KRYETAR</w:t>
      </w:r>
    </w:p>
    <w:p w14:paraId="2C22D73E" w14:textId="77777777" w:rsidR="009C1C49" w:rsidRPr="009E1641" w:rsidRDefault="009C1C49" w:rsidP="009C1C4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9E1641">
        <w:rPr>
          <w:rFonts w:ascii="Garamond" w:eastAsia="MS Mincho" w:hAnsi="Garamond" w:cs="Times New Roman"/>
          <w:b/>
          <w:bCs/>
          <w:sz w:val="24"/>
          <w:szCs w:val="24"/>
        </w:rPr>
        <w:t>Niko Peleshi</w:t>
      </w:r>
    </w:p>
    <w:bookmarkEnd w:id="1"/>
    <w:p w14:paraId="6A8B7CE0" w14:textId="77777777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04429F4E" w14:textId="07BF7F0F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E1641">
        <w:rPr>
          <w:rFonts w:ascii="Garamond" w:hAnsi="Garamond" w:cs="Times New Roman"/>
          <w:color w:val="000000"/>
          <w:sz w:val="24"/>
          <w:szCs w:val="24"/>
        </w:rPr>
        <w:t>Miratuar në datën 30.10.2025</w:t>
      </w:r>
      <w:r w:rsidR="009E164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AE62577" w14:textId="77777777" w:rsidR="009C1C49" w:rsidRPr="009E1641" w:rsidRDefault="009C1C49" w:rsidP="009C1C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sectPr w:rsidR="009C1C49" w:rsidRPr="009E1641" w:rsidSect="005111F0">
      <w:pgSz w:w="11907" w:h="16840" w:code="9"/>
      <w:pgMar w:top="1170" w:right="1440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E19CBC" w14:textId="77777777" w:rsidR="009E1641" w:rsidRDefault="009E1641" w:rsidP="00C86383">
      <w:pPr>
        <w:spacing w:after="0" w:line="240" w:lineRule="auto"/>
      </w:pPr>
      <w:r>
        <w:separator/>
      </w:r>
    </w:p>
  </w:endnote>
  <w:endnote w:type="continuationSeparator" w:id="0">
    <w:p w14:paraId="2851C1B0" w14:textId="77777777" w:rsidR="009E1641" w:rsidRDefault="009E1641" w:rsidP="00C86383">
      <w:pPr>
        <w:spacing w:after="0" w:line="240" w:lineRule="auto"/>
      </w:pPr>
      <w:r>
        <w:continuationSeparator/>
      </w:r>
    </w:p>
  </w:endnote>
  <w:endnote w:type="continuationNotice" w:id="1">
    <w:p w14:paraId="247DDF26" w14:textId="77777777" w:rsidR="00B55F20" w:rsidRDefault="00B55F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63859" w14:textId="77777777" w:rsidR="009E1641" w:rsidRDefault="009E1641" w:rsidP="00C86383">
      <w:pPr>
        <w:spacing w:after="0" w:line="240" w:lineRule="auto"/>
      </w:pPr>
      <w:r>
        <w:separator/>
      </w:r>
    </w:p>
  </w:footnote>
  <w:footnote w:type="continuationSeparator" w:id="0">
    <w:p w14:paraId="1BB080CA" w14:textId="77777777" w:rsidR="009E1641" w:rsidRDefault="009E1641" w:rsidP="00C86383">
      <w:pPr>
        <w:spacing w:after="0" w:line="240" w:lineRule="auto"/>
      </w:pPr>
      <w:r>
        <w:continuationSeparator/>
      </w:r>
    </w:p>
  </w:footnote>
  <w:footnote w:type="continuationNotice" w:id="1">
    <w:p w14:paraId="031988B5" w14:textId="77777777" w:rsidR="00B55F20" w:rsidRDefault="00B55F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B2452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541BB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F33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052A1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11F0"/>
    <w:rsid w:val="00513A51"/>
    <w:rsid w:val="00514B00"/>
    <w:rsid w:val="00520F52"/>
    <w:rsid w:val="005228B2"/>
    <w:rsid w:val="005228E2"/>
    <w:rsid w:val="00524B85"/>
    <w:rsid w:val="0052630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13D17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C1C49"/>
    <w:rsid w:val="009D0BB6"/>
    <w:rsid w:val="009D3A41"/>
    <w:rsid w:val="009D5991"/>
    <w:rsid w:val="009D76B9"/>
    <w:rsid w:val="009E1641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4CFF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55F2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1800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0BAE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1FB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3D60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4923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2A655690C742E3AD59B1A7B7FBD4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3375-11</Nr_x002e__x0020_akti>
    <Data_x0020_e_x0020_Krijimit xmlns="0e656187-b300-4fb0-8bf4-3a50f872073c">2025-11-11T13:54:17Z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vlerësimin e veprimtarisë së Këshillit të Lartë Gjyqësor për vitin 2024</Titulli>
    <Modifikuesi xmlns="0e656187-b300-4fb0-8bf4-3a50f872073c">keisina.zace</Modifikuesi>
    <Nr_x002e__x0020_prot_x0020_QBZ xmlns="0e656187-b300-4fb0-8bf4-3a50f872073c">1880/24</Nr_x002e__x0020_prot_x0020_QBZ>
    <Data_x0020_e_x0020_Modifikimit xmlns="0e656187-b300-4fb0-8bf4-3a50f872073c">2025-11-11T14:33:38Z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2A655690C742E3AD59B1A7B7FBD4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DC981-929F-4227-BCCF-A25112508B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0451F5-0241-474E-AC70-0597CB2D2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E7971E0-B2A7-4A96-89C5-702F40246AD4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80F0A36-EB49-4603-AF1A-BA1A7BB2D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73D8564-9CF7-430D-884B-92DDD1BF3F0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9C4FD85-AA8E-414B-B5B4-BC80B7F56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Fjora Cahani</cp:lastModifiedBy>
  <cp:revision>131</cp:revision>
  <cp:lastPrinted>2025-11-04T09:55:00Z</cp:lastPrinted>
  <dcterms:created xsi:type="dcterms:W3CDTF">2019-04-04T07:08:00Z</dcterms:created>
  <dcterms:modified xsi:type="dcterms:W3CDTF">2025-11-12T10:47:00Z</dcterms:modified>
</cp:coreProperties>
</file>