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2536DC" w:rsidRDefault="000A0B41" w:rsidP="002536D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536DC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2536DC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30873379" w:rsidR="00556EBC" w:rsidRPr="002536DC" w:rsidRDefault="00556EB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696FC4" w14:textId="77777777" w:rsidR="0000196C" w:rsidRPr="002536DC" w:rsidRDefault="0000196C" w:rsidP="002536D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6DC">
        <w:rPr>
          <w:rFonts w:ascii="Garamond" w:hAnsi="Garamond" w:cs="Times New Roman"/>
          <w:b/>
          <w:sz w:val="24"/>
          <w:szCs w:val="24"/>
        </w:rPr>
        <w:t>PËR VLERËSIMIN E VEPRIMTARISË SË PROKURORISË SË PËRGJITHSHME PËR VITIN 2024</w:t>
      </w:r>
    </w:p>
    <w:p w14:paraId="46F19436" w14:textId="77777777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CFA592" w14:textId="1D0575B3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2536DC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46DCB5EB" w14:textId="77777777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Duke mbajtur në konsideratë rolin e prokurorisë në ushtrimin e ndjekjes penale, hetimin, përfaqësimin e akuzës në gjyq, ekzekutimin e vendimeve penale dhe kryerjen e detyrave të tjera të ngarkuara me ligj;</w:t>
      </w:r>
    </w:p>
    <w:p w14:paraId="3BD72BFE" w14:textId="5E464B98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Duke vlerësuar rëndësinë e raportimit të Prokurorit të Përgjithshëm në Kuvend për gjendjen e kriminalitetit, për zbatimin e rekomandimeve të Kuvendit dhe të Këshillit të Ministrave në luftën kundër kriminalitetit dhe për efektivitetin e ndjekjes penale;</w:t>
      </w:r>
    </w:p>
    <w:p w14:paraId="7424AFEC" w14:textId="5219F773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Duke vlerësuar rolin e Prokurorit të Përgjithshëm në nxjerrjen e udhëzimeve të përgjithshme për prokurorët e prokurorive të juridiksionit të përgjithshëm, për oficerët e Policisë Gjyqësore, si dhe për mbikëqyrjen e zbatimit të tyre;</w:t>
      </w:r>
    </w:p>
    <w:p w14:paraId="01854DDF" w14:textId="3C9B2DB3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Duke vlerësuar angazhimin në zbatimin e rekomandimeve të Grupit të Shteteve të Këshillit të </w:t>
      </w:r>
      <w:r w:rsidR="006C0404" w:rsidRPr="002536DC">
        <w:rPr>
          <w:rFonts w:ascii="Garamond" w:hAnsi="Garamond" w:cs="Times New Roman"/>
          <w:sz w:val="24"/>
          <w:szCs w:val="24"/>
        </w:rPr>
        <w:t>Evropës</w:t>
      </w:r>
      <w:r w:rsidRPr="002536DC">
        <w:rPr>
          <w:rFonts w:ascii="Garamond" w:hAnsi="Garamond" w:cs="Times New Roman"/>
          <w:sz w:val="24"/>
          <w:szCs w:val="24"/>
        </w:rPr>
        <w:t xml:space="preserve"> kundër Korrupsionit (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GRECO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) dhe përmbushjen e detyrimeve për realizimin e Planit të Veprimit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ICRG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/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FATF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;</w:t>
      </w:r>
    </w:p>
    <w:p w14:paraId="1A7E209E" w14:textId="77777777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2536DC">
        <w:rPr>
          <w:rFonts w:ascii="Garamond" w:hAnsi="Garamond" w:cs="Times New Roman"/>
          <w:b/>
          <w:sz w:val="24"/>
          <w:szCs w:val="24"/>
        </w:rPr>
        <w:t>Në vlerësim të raportit të paraqitur nga Prokuroria e Përgjithshme mbi gjendjen e kriminalitetit për vitin 2024, në përmbushje të rekomandimeve të dhëna dhe debatit të zhvilluar rreth tij konstaton:</w:t>
      </w:r>
    </w:p>
    <w:p w14:paraId="291879DE" w14:textId="68FDA832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Është rritur angazhimi institucional për ndjekjen penale të veprave që prekin interesin publik dhe sundimin e ligjit, përmes hetimeve të nisura kryesisht dhe rritjes së cilësisë në hetim.</w:t>
      </w:r>
    </w:p>
    <w:p w14:paraId="6C375E3D" w14:textId="0D9FB53F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Janë ndërmarrë hapa pozitivë për zbatimin e standardeve të mbrojtjes së të miturve dhe viktimave të dhunës në familje, përfshirë bashkëpunimin me institucionet mbrojtëse dhe përdorimin e masave alternative të sigurimit.</w:t>
      </w:r>
    </w:p>
    <w:p w14:paraId="35682304" w14:textId="7BCD28AB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Është avancuar bashkëpunimi me autoritetet e huaja përmes strukturave ndërkombëtare si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Eurojust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dhe janë zhvilluar operacione të përbashkëta për goditjen e veprimtarisë kriminale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transnacionale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.</w:t>
      </w:r>
    </w:p>
    <w:p w14:paraId="72431D60" w14:textId="13E43714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Është demonstruar përkushtim në zbatimin e detyrimeve që rrjedhin nga procesi i integrimit në Bashkimin Evropian, veçanërisht në fushën e luftës kundër pastrimit të parave dhe financimit të terrorizmit.</w:t>
      </w:r>
    </w:p>
    <w:p w14:paraId="686588BE" w14:textId="3521B1CA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Janë marrë masa për përmirësimin e infrastrukturës teknologjike, përfshirë zhvillimin e sistemit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PRESTO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dhe përgatitjen për implementimin e sistemit të integruar të menaxhimit të çështjeve.</w:t>
      </w:r>
    </w:p>
    <w:p w14:paraId="00F81C66" w14:textId="68AE5CB6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Janë ndërmarrë hapa konkretë për bashkëpunim të zgjeruar me autoritetet e huaja në luftën kundër krimit të organizuar dhe trafikut ndërkombëtar, përfshirë nënshkrimin e marrëveshjeve dhe krijimin e grupeve të përbashkëta hetimore në bashkëpunim me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Eurojust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Europol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.</w:t>
      </w:r>
    </w:p>
    <w:p w14:paraId="496636B1" w14:textId="04279327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Ka pasur angazhim në përgatitjen e raporteve dhe përgjigjeve institucionale për organizmat ndërkombëtarë, në kuadër të procesit të integrimit dhe monitorimit ndërkombëtar, duke treguar një qasje më të organizuar dhe të koordinuar në zbatimin e planit të veprimit të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FATF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/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ICRG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dhe rekomandimeve të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GRECO</w:t>
      </w:r>
      <w:proofErr w:type="spellEnd"/>
      <w:r w:rsidR="009A0DF4" w:rsidRPr="002536DC">
        <w:rPr>
          <w:rFonts w:ascii="Garamond" w:hAnsi="Garamond" w:cs="Times New Roman"/>
          <w:sz w:val="24"/>
          <w:szCs w:val="24"/>
        </w:rPr>
        <w:t>-s</w:t>
      </w:r>
      <w:r w:rsidRPr="002536DC">
        <w:rPr>
          <w:rFonts w:ascii="Garamond" w:hAnsi="Garamond" w:cs="Times New Roman"/>
          <w:sz w:val="24"/>
          <w:szCs w:val="24"/>
        </w:rPr>
        <w:t>.</w:t>
      </w:r>
    </w:p>
    <w:p w14:paraId="326B0075" w14:textId="7D44FB42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Është konsoliduar funksioni i Prokurorit të Përgjithshëm në orientimin e politikës penale, përmes nxjerrjes së udhëzimeve të përgjithshme dhe rekomandimeve për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uniformizimin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e praktikës, duke synuar përmirësimin e cilësisë së ndjekjes penale dhe mbikëqyrjen e zbatimit nga prokuroritë e juridiksionit të përgjithshëm.</w:t>
      </w:r>
    </w:p>
    <w:p w14:paraId="45851924" w14:textId="77777777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2536DC">
        <w:rPr>
          <w:rFonts w:ascii="Garamond" w:hAnsi="Garamond" w:cs="Times New Roman"/>
          <w:b/>
          <w:sz w:val="24"/>
          <w:szCs w:val="24"/>
        </w:rPr>
        <w:t>Kuvendi i Shqipërisë rekomandon që Prokuroria e Përgjithshme për vitin 2025 të angazhohet veçanërisht edhe në këto drejtime:</w:t>
      </w:r>
    </w:p>
    <w:p w14:paraId="2D27C449" w14:textId="3B6B52DD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1.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Të intensifikohen hetimet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proaktive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 dhe hetimet që nisin kryesisht nga prokuroria, duke forcuar rolin aktiv të prokurorit dhe duke rritur përdorimin e teknikave të posaçme hetimore.</w:t>
      </w:r>
    </w:p>
    <w:p w14:paraId="0440BCC6" w14:textId="12CAA2DF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2.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Të zgjerojë përdorimin e hetimeve financiare dhe analizës pasurore, duke garantuar trajnimin e strukturave përkatëse, përdorimin sistematik të instrumenteve të ndjekjes së pasurisë dhe bashkëpunimin me agjencitë e tjera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ligjzbatuese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 përgjegjëse</w:t>
      </w:r>
      <w:r w:rsidR="006C0404">
        <w:rPr>
          <w:rFonts w:ascii="Garamond" w:hAnsi="Garamond" w:cs="Times New Roman"/>
          <w:sz w:val="24"/>
          <w:szCs w:val="24"/>
        </w:rPr>
        <w:t>,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gjithashtu</w:t>
      </w:r>
      <w:r w:rsidR="006C0404">
        <w:rPr>
          <w:rFonts w:ascii="Garamond" w:hAnsi="Garamond" w:cs="Times New Roman"/>
          <w:sz w:val="24"/>
          <w:szCs w:val="24"/>
        </w:rPr>
        <w:t>,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në këtë fushë.</w:t>
      </w:r>
    </w:p>
    <w:p w14:paraId="4296AA82" w14:textId="7E624B81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lastRenderedPageBreak/>
        <w:t xml:space="preserve">3.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Të zbatohen në mënyrë më të gjerë dhe të strukturuar </w:t>
      </w:r>
      <w:r w:rsidRPr="002536DC">
        <w:rPr>
          <w:rFonts w:ascii="Garamond" w:hAnsi="Garamond" w:cs="Times New Roman"/>
          <w:sz w:val="24"/>
          <w:szCs w:val="24"/>
        </w:rPr>
        <w:t xml:space="preserve">masat alternative të sigurimit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për raste me rrezikshmëri të ulët shoqërore, duke respektuar parimin e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proporcionalitetit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 në masat kufizuese të lirisë.</w:t>
      </w:r>
    </w:p>
    <w:p w14:paraId="19F7F2D8" w14:textId="2B786E19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4. </w:t>
      </w:r>
      <w:r w:rsidR="0000196C" w:rsidRPr="002536DC">
        <w:rPr>
          <w:rFonts w:ascii="Garamond" w:hAnsi="Garamond" w:cs="Times New Roman"/>
          <w:sz w:val="24"/>
          <w:szCs w:val="24"/>
        </w:rPr>
        <w:t>Të përgatis</w:t>
      </w:r>
      <w:r w:rsidRPr="002536DC">
        <w:rPr>
          <w:rFonts w:ascii="Garamond" w:hAnsi="Garamond" w:cs="Times New Roman"/>
          <w:sz w:val="24"/>
          <w:szCs w:val="24"/>
        </w:rPr>
        <w:t>ë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një analizë mbi masat e sigurisë të marra në këto 5 </w:t>
      </w:r>
      <w:r w:rsidRPr="002536DC">
        <w:rPr>
          <w:rFonts w:ascii="Garamond" w:hAnsi="Garamond" w:cs="Times New Roman"/>
          <w:sz w:val="24"/>
          <w:szCs w:val="24"/>
        </w:rPr>
        <w:t>vjet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(2021–2025), politikat e ndjekura, problematikat e konstatuara dhe masat e nevojshme për reflektim në praktikat e vendeve </w:t>
      </w:r>
      <w:r w:rsidR="00E6248F" w:rsidRPr="002536DC">
        <w:rPr>
          <w:rFonts w:ascii="Garamond" w:hAnsi="Garamond" w:cs="Times New Roman"/>
          <w:sz w:val="24"/>
          <w:szCs w:val="24"/>
        </w:rPr>
        <w:t>evropiane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në këtë fush</w:t>
      </w:r>
      <w:r w:rsidRPr="002536DC">
        <w:rPr>
          <w:rFonts w:ascii="Garamond" w:hAnsi="Garamond" w:cs="Times New Roman"/>
          <w:sz w:val="24"/>
          <w:szCs w:val="24"/>
        </w:rPr>
        <w:t>ë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dhe standardet e rekomanduara nga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KiE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, BE,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GJEDNJ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>, Gjykata Kushtetuese dhe Gjykata e Lartë.</w:t>
      </w:r>
    </w:p>
    <w:p w14:paraId="2DC2FE2D" w14:textId="2D56C23C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5.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Në bashkëpunim me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SPAK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-un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dhe KQZ</w:t>
      </w:r>
      <w:r w:rsidRPr="002536DC">
        <w:rPr>
          <w:rFonts w:ascii="Garamond" w:hAnsi="Garamond" w:cs="Times New Roman"/>
          <w:sz w:val="24"/>
          <w:szCs w:val="24"/>
        </w:rPr>
        <w:t>-në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të zhvillojnë një analizë të përbashkët </w:t>
      </w:r>
      <w:r w:rsidRPr="002536DC">
        <w:rPr>
          <w:rFonts w:ascii="Garamond" w:hAnsi="Garamond" w:cs="Times New Roman"/>
          <w:sz w:val="24"/>
          <w:szCs w:val="24"/>
        </w:rPr>
        <w:t xml:space="preserve">për </w:t>
      </w:r>
      <w:r w:rsidR="0000196C" w:rsidRPr="002536DC">
        <w:rPr>
          <w:rFonts w:ascii="Garamond" w:hAnsi="Garamond" w:cs="Times New Roman"/>
          <w:sz w:val="24"/>
          <w:szCs w:val="24"/>
        </w:rPr>
        <w:t>zbatimin e Strategjisë për Hetimin dhe Parandalimin e Krimeve Zgjedhore për zgjedhjet e vitit 2025 dhe masat ligjore e institucionale që mund të ndërmerren për të garantuar integritetin e proceseve zgjedhore dhe për të parandaluar e ndëshkuar çdo shkelje të ligjit në këtë fushë.</w:t>
      </w:r>
    </w:p>
    <w:p w14:paraId="3FDD438C" w14:textId="6FF1AFF7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6. </w:t>
      </w:r>
      <w:r w:rsidR="0000196C" w:rsidRPr="002536DC">
        <w:rPr>
          <w:rFonts w:ascii="Garamond" w:hAnsi="Garamond" w:cs="Times New Roman"/>
          <w:sz w:val="24"/>
          <w:szCs w:val="24"/>
        </w:rPr>
        <w:t>Të vijojë me tej zhvillimi dhe përfundimi i sistemit e-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PRESTO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 për administrimin elektronik të regjistrave proceduralë dhe përfitimin e statistikave në kohë reale me të dhëna gjithëpërfshirëse, të hollësishme dhe të besueshme.</w:t>
      </w:r>
    </w:p>
    <w:p w14:paraId="7A398B41" w14:textId="131E22D5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7. </w:t>
      </w:r>
      <w:r w:rsidR="0000196C" w:rsidRPr="002536DC">
        <w:rPr>
          <w:rFonts w:ascii="Garamond" w:hAnsi="Garamond" w:cs="Times New Roman"/>
          <w:sz w:val="24"/>
          <w:szCs w:val="24"/>
        </w:rPr>
        <w:t>Të vijojë puna për funksionalizimin e sistemit të menaxhimit të çështjeve, si dhe ndërlidhjes duke bashkëpunuar me Qendrën e Teknologjisë së Informacionit për Sistemin e Drejtësisë pranë Këshillit të Lartë Gjyqësor.</w:t>
      </w:r>
    </w:p>
    <w:p w14:paraId="787B2491" w14:textId="7BD3BD37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8.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Të hartohet një strategji kombëtare për komunikim publik dhe transparencë, me fokus publikimin periodik të statistikave dhe treguesve kryesorë, edukimin përmes fushatave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mediatike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>për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 të drejtat e viktimave dhe transparencën mbi trajtimin e çështjeve me interes të lartë publik.</w:t>
      </w:r>
    </w:p>
    <w:p w14:paraId="7AA316F7" w14:textId="0B3D8A41" w:rsidR="0000196C" w:rsidRPr="002536DC" w:rsidRDefault="009A0DF4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9.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Të publikohet strategjia afatmesme e institucionit dhe të raportohet periodikisht </w:t>
      </w:r>
      <w:r w:rsidRPr="002536DC">
        <w:rPr>
          <w:rFonts w:ascii="Garamond" w:hAnsi="Garamond" w:cs="Times New Roman"/>
          <w:sz w:val="24"/>
          <w:szCs w:val="24"/>
        </w:rPr>
        <w:t xml:space="preserve">për </w:t>
      </w:r>
      <w:r w:rsidR="0000196C" w:rsidRPr="002536DC">
        <w:rPr>
          <w:rFonts w:ascii="Garamond" w:hAnsi="Garamond" w:cs="Times New Roman"/>
          <w:sz w:val="24"/>
          <w:szCs w:val="24"/>
        </w:rPr>
        <w:t xml:space="preserve">nivelin e </w:t>
      </w:r>
      <w:proofErr w:type="spellStart"/>
      <w:r w:rsidR="0000196C" w:rsidRPr="002536DC">
        <w:rPr>
          <w:rFonts w:ascii="Garamond" w:hAnsi="Garamond" w:cs="Times New Roman"/>
          <w:sz w:val="24"/>
          <w:szCs w:val="24"/>
        </w:rPr>
        <w:t>zbatueshmërisë</w:t>
      </w:r>
      <w:proofErr w:type="spellEnd"/>
      <w:r w:rsidR="0000196C" w:rsidRPr="002536DC">
        <w:rPr>
          <w:rFonts w:ascii="Garamond" w:hAnsi="Garamond" w:cs="Times New Roman"/>
          <w:sz w:val="24"/>
          <w:szCs w:val="24"/>
        </w:rPr>
        <w:t xml:space="preserve"> së saj.</w:t>
      </w:r>
    </w:p>
    <w:p w14:paraId="02EA2D3B" w14:textId="055F59C6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10.</w:t>
      </w:r>
      <w:r w:rsidR="00914E03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formalizohet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një mekanizëm bashkëpunimi i vazhdueshëm me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ILD</w:t>
      </w:r>
      <w:proofErr w:type="spellEnd"/>
      <w:r w:rsidR="009A0DF4" w:rsidRPr="002536DC">
        <w:rPr>
          <w:rFonts w:ascii="Garamond" w:hAnsi="Garamond" w:cs="Times New Roman"/>
          <w:sz w:val="24"/>
          <w:szCs w:val="24"/>
        </w:rPr>
        <w:t>-në</w:t>
      </w:r>
      <w:r w:rsidRPr="002536DC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KLP</w:t>
      </w:r>
      <w:proofErr w:type="spellEnd"/>
      <w:r w:rsidR="009A0DF4" w:rsidRPr="002536DC">
        <w:rPr>
          <w:rFonts w:ascii="Garamond" w:hAnsi="Garamond" w:cs="Times New Roman"/>
          <w:sz w:val="24"/>
          <w:szCs w:val="24"/>
        </w:rPr>
        <w:t>-në</w:t>
      </w:r>
      <w:r w:rsidRPr="002536DC">
        <w:rPr>
          <w:rFonts w:ascii="Garamond" w:hAnsi="Garamond" w:cs="Times New Roman"/>
          <w:sz w:val="24"/>
          <w:szCs w:val="24"/>
        </w:rPr>
        <w:t xml:space="preserve"> për të adresuar problematikat e konstatuara, për të ndarë të dhëna dhe praktika të mira bashkëpunimi, për forcimin e integritetit dhe përgjegjshmërisë në detyrë të prokurorëve.</w:t>
      </w:r>
    </w:p>
    <w:p w14:paraId="6275EBC2" w14:textId="3603A845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11.</w:t>
      </w:r>
      <w:r w:rsidR="00914E03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>Të vijojë intensifikimi i masave për mbrojtjen e viktimave të dhunës në familje, të miturve dhe grave, përmes koordinimit të veçantë ndërinstitucional, trajnimeve dhe zbatimit të masave mbrojtëse.</w:t>
      </w:r>
    </w:p>
    <w:p w14:paraId="698EF91F" w14:textId="455B2067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12.</w:t>
      </w:r>
      <w:r w:rsidR="00914E03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 xml:space="preserve">Të përmirësojë cilësinë e hetimeve për veprat penale që prekin grupet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vulnerabël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, me theks të veçantë te dhuna me bazë gjinore dhe dhuna digjitale, si dhe të bashkëpunojë për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amendimet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e nevojshme ligjore në këtë drejtim.</w:t>
      </w:r>
    </w:p>
    <w:p w14:paraId="4521D8A5" w14:textId="53F6F83E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13.</w:t>
      </w:r>
      <w:r w:rsidR="00914E03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 xml:space="preserve">Të vlerësohet mundësia për ngritjen e një njësie të specializuar brenda prokurorisë për luftën kundër krimit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kibernetik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, duke pasur në fokus rritjen e kapaciteteve dhe përdorimin e teknologjive të avancuara.</w:t>
      </w:r>
    </w:p>
    <w:p w14:paraId="76605854" w14:textId="7E99EBE3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14.</w:t>
      </w:r>
      <w:r w:rsidR="00914E03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 xml:space="preserve">Të rritet bashkëpunimi ndërkombëtar për të forcuar luftën kundër krimit të organizuar, duke përfshirë bashkëpunimin e vazhdueshëm me shtetet anëtare dhe agjencitë e BE-së (përfshirë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Europolin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EMPACT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Eurojust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).</w:t>
      </w:r>
    </w:p>
    <w:p w14:paraId="772A5F0F" w14:textId="062825D5" w:rsidR="0000196C" w:rsidRPr="002536DC" w:rsidRDefault="0000196C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>15.</w:t>
      </w:r>
      <w:r w:rsidR="00914E03">
        <w:rPr>
          <w:rFonts w:ascii="Garamond" w:hAnsi="Garamond" w:cs="Times New Roman"/>
          <w:sz w:val="24"/>
          <w:szCs w:val="24"/>
        </w:rPr>
        <w:t xml:space="preserve"> </w:t>
      </w:r>
      <w:r w:rsidRPr="002536DC">
        <w:rPr>
          <w:rFonts w:ascii="Garamond" w:hAnsi="Garamond" w:cs="Times New Roman"/>
          <w:sz w:val="24"/>
          <w:szCs w:val="24"/>
        </w:rPr>
        <w:t>Të vijojë zbatimi i rekomandimeve të BE-së duke intensifikuar bashkëpunimin me agjencitë e BE-së (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Eurojust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Europol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OLAF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) dhe vendet anëtare për ndjekjen e çështjeve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transnacionale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dhe duke përmbushur plotësisht rekomandimet e </w:t>
      </w:r>
      <w:proofErr w:type="spellStart"/>
      <w:r w:rsidR="009A0DF4" w:rsidRPr="002536DC">
        <w:rPr>
          <w:rFonts w:ascii="Garamond" w:hAnsi="Garamond" w:cs="Times New Roman"/>
          <w:sz w:val="24"/>
          <w:szCs w:val="24"/>
        </w:rPr>
        <w:t>progresr</w:t>
      </w:r>
      <w:r w:rsidRPr="002536DC">
        <w:rPr>
          <w:rFonts w:ascii="Garamond" w:hAnsi="Garamond" w:cs="Times New Roman"/>
          <w:sz w:val="24"/>
          <w:szCs w:val="24"/>
        </w:rPr>
        <w:t>aportit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 të BE-së,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GRECO</w:t>
      </w:r>
      <w:proofErr w:type="spellEnd"/>
      <w:r w:rsidRPr="002536DC">
        <w:rPr>
          <w:rFonts w:ascii="Garamond" w:hAnsi="Garamond" w:cs="Times New Roman"/>
          <w:sz w:val="24"/>
          <w:szCs w:val="24"/>
        </w:rPr>
        <w:t xml:space="preserve">-s dhe </w:t>
      </w:r>
      <w:proofErr w:type="spellStart"/>
      <w:r w:rsidRPr="002536DC">
        <w:rPr>
          <w:rFonts w:ascii="Garamond" w:hAnsi="Garamond" w:cs="Times New Roman"/>
          <w:sz w:val="24"/>
          <w:szCs w:val="24"/>
        </w:rPr>
        <w:t>MONEYVAL</w:t>
      </w:r>
      <w:proofErr w:type="spellEnd"/>
      <w:r w:rsidRPr="002536DC">
        <w:rPr>
          <w:rFonts w:ascii="Garamond" w:hAnsi="Garamond" w:cs="Times New Roman"/>
          <w:sz w:val="24"/>
          <w:szCs w:val="24"/>
        </w:rPr>
        <w:t>-it.</w:t>
      </w:r>
    </w:p>
    <w:p w14:paraId="4FB9CCF9" w14:textId="57047440" w:rsidR="003C57D3" w:rsidRPr="002536DC" w:rsidRDefault="003C57D3" w:rsidP="002536D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76D38BC9" w14:textId="00B3B873" w:rsidR="002536DC" w:rsidRPr="002536DC" w:rsidRDefault="002536DC" w:rsidP="002536D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bookmarkStart w:id="0" w:name="_GoBack"/>
      <w:bookmarkEnd w:id="0"/>
      <w:r w:rsidRPr="002536DC">
        <w:rPr>
          <w:rFonts w:ascii="Garamond" w:eastAsia="MS Mincho" w:hAnsi="Garamond" w:cs="Times New Roman"/>
          <w:sz w:val="24"/>
          <w:szCs w:val="24"/>
        </w:rPr>
        <w:t>KRYETAR</w:t>
      </w:r>
    </w:p>
    <w:p w14:paraId="0FAEDB6B" w14:textId="65DC3B98" w:rsidR="002536DC" w:rsidRPr="002536DC" w:rsidRDefault="002536DC" w:rsidP="002536D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2536DC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2536DC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2536DC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60ECAF76" w14:textId="77777777" w:rsidR="005A4365" w:rsidRPr="002536DC" w:rsidRDefault="005A4365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4D400271" w:rsidR="00EB62DE" w:rsidRPr="002536DC" w:rsidRDefault="00A755F6" w:rsidP="002536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6DC">
        <w:rPr>
          <w:rFonts w:ascii="Garamond" w:hAnsi="Garamond" w:cs="Times New Roman"/>
          <w:sz w:val="24"/>
          <w:szCs w:val="24"/>
        </w:rPr>
        <w:t xml:space="preserve">Miratuar në datën </w:t>
      </w:r>
      <w:r w:rsidR="00F24923" w:rsidRPr="002536DC">
        <w:rPr>
          <w:rFonts w:ascii="Garamond" w:hAnsi="Garamond" w:cs="Times New Roman"/>
          <w:sz w:val="24"/>
          <w:szCs w:val="24"/>
        </w:rPr>
        <w:t>30.10</w:t>
      </w:r>
      <w:r w:rsidR="003C57D3" w:rsidRPr="002536DC">
        <w:rPr>
          <w:rFonts w:ascii="Garamond" w:hAnsi="Garamond" w:cs="Times New Roman"/>
          <w:sz w:val="24"/>
          <w:szCs w:val="24"/>
        </w:rPr>
        <w:t>.202</w:t>
      </w:r>
      <w:r w:rsidR="007427F3" w:rsidRPr="002536DC">
        <w:rPr>
          <w:rFonts w:ascii="Garamond" w:hAnsi="Garamond" w:cs="Times New Roman"/>
          <w:sz w:val="24"/>
          <w:szCs w:val="24"/>
        </w:rPr>
        <w:t>5</w:t>
      </w:r>
      <w:r w:rsidR="00914E03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2536DC" w:rsidRDefault="007A744F" w:rsidP="002536D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7A744F" w:rsidRPr="002536DC" w:rsidSect="00275F33">
      <w:footerReference w:type="default" r:id="rId13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C3C63" w14:textId="77777777" w:rsidR="00914E03" w:rsidRDefault="00914E03" w:rsidP="00C86383">
      <w:pPr>
        <w:spacing w:after="0" w:line="240" w:lineRule="auto"/>
      </w:pPr>
      <w:r>
        <w:separator/>
      </w:r>
    </w:p>
  </w:endnote>
  <w:endnote w:type="continuationSeparator" w:id="0">
    <w:p w14:paraId="12465C9D" w14:textId="77777777" w:rsidR="00914E03" w:rsidRDefault="00914E03" w:rsidP="00C86383">
      <w:pPr>
        <w:spacing w:after="0" w:line="240" w:lineRule="auto"/>
      </w:pPr>
      <w:r>
        <w:continuationSeparator/>
      </w:r>
    </w:p>
  </w:endnote>
  <w:endnote w:type="continuationNotice" w:id="1">
    <w:p w14:paraId="06170EF2" w14:textId="77777777" w:rsidR="00FC0AEE" w:rsidRDefault="00FC0A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8455A" w14:textId="49367C2C" w:rsidR="00914E03" w:rsidRPr="00E7684C" w:rsidRDefault="00914E03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07261E55" w14:textId="77777777" w:rsidR="00914E03" w:rsidRDefault="00914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1E9BB" w14:textId="77777777" w:rsidR="00914E03" w:rsidRDefault="00914E03" w:rsidP="00C86383">
      <w:pPr>
        <w:spacing w:after="0" w:line="240" w:lineRule="auto"/>
      </w:pPr>
      <w:r>
        <w:separator/>
      </w:r>
    </w:p>
  </w:footnote>
  <w:footnote w:type="continuationSeparator" w:id="0">
    <w:p w14:paraId="07361FAC" w14:textId="77777777" w:rsidR="00914E03" w:rsidRDefault="00914E03" w:rsidP="00C86383">
      <w:pPr>
        <w:spacing w:after="0" w:line="240" w:lineRule="auto"/>
      </w:pPr>
      <w:r>
        <w:continuationSeparator/>
      </w:r>
    </w:p>
  </w:footnote>
  <w:footnote w:type="continuationNotice" w:id="1">
    <w:p w14:paraId="0E659BD3" w14:textId="77777777" w:rsidR="00FC0AEE" w:rsidRDefault="00FC0A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196C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08A8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536DC"/>
    <w:rsid w:val="00262768"/>
    <w:rsid w:val="00262C8A"/>
    <w:rsid w:val="00266214"/>
    <w:rsid w:val="00273A69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02D9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365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0404"/>
    <w:rsid w:val="006C2AEE"/>
    <w:rsid w:val="006D3004"/>
    <w:rsid w:val="006D6CF7"/>
    <w:rsid w:val="006E5794"/>
    <w:rsid w:val="006E62F0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06E1C"/>
    <w:rsid w:val="00913D17"/>
    <w:rsid w:val="00914E03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0DF4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410B2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248F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4923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0AEE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C24B47D6E40E486A22E3517C939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3375-8</Nr_x002e__x0020_akti>
    <Data_x0020_e_x0020_Krijimit xmlns="0e656187-b300-4fb0-8bf4-3a50f872073c">2025-11-11T12:16:31Z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Prokurorisë së Përgjithshme për vitin 2024</Titulli>
    <Modifikuesi xmlns="0e656187-b300-4fb0-8bf4-3a50f872073c">keisina.zace</Modifikuesi>
    <Nr_x002e__x0020_prot_x0020_QBZ xmlns="0e656187-b300-4fb0-8bf4-3a50f872073c">1880/21</Nr_x002e__x0020_prot_x0020_QBZ>
    <Data_x0020_e_x0020_Modifikimit xmlns="0e656187-b300-4fb0-8bf4-3a50f872073c">2025-11-12T11:44:19Z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C24B47D6E40E486A22E3517C939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54E42-D3F5-471C-8752-13AA8BC2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234C7C-9EEC-489D-9426-E5A85C7BF9F4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05710CE-D089-413E-A02E-B3226ECAA3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6CB965-CB8A-4F97-9F85-F8F2A35A2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CFCC1D-CC5C-4E67-B12E-583FA499B23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3F4F93-DDE5-4900-9A98-94B385C1C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133</cp:revision>
  <cp:lastPrinted>2025-11-04T09:41:00Z</cp:lastPrinted>
  <dcterms:created xsi:type="dcterms:W3CDTF">2019-04-04T07:08:00Z</dcterms:created>
  <dcterms:modified xsi:type="dcterms:W3CDTF">2025-11-12T10:59:00Z</dcterms:modified>
</cp:coreProperties>
</file>