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5E319D" w:rsidRDefault="000A0B41" w:rsidP="005E319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5E319D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5E319D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3C5839C2" w14:textId="77777777" w:rsidR="002D1C89" w:rsidRPr="005E319D" w:rsidRDefault="002D1C89" w:rsidP="005E319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10C4A986" w14:textId="557797D7" w:rsidR="002D1C89" w:rsidRPr="005E319D" w:rsidRDefault="002D1C89" w:rsidP="005E319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5E319D">
        <w:rPr>
          <w:rFonts w:ascii="Garamond" w:eastAsia="Times New Roman" w:hAnsi="Garamond" w:cs="Times New Roman"/>
          <w:b/>
          <w:sz w:val="24"/>
          <w:szCs w:val="24"/>
        </w:rPr>
        <w:t>PËR VLERËSIMIN E VEPRIMTARISË SË KOMISIONIT</w:t>
      </w:r>
    </w:p>
    <w:p w14:paraId="63A82A28" w14:textId="77777777" w:rsidR="002D1C89" w:rsidRPr="005E319D" w:rsidRDefault="002D1C89" w:rsidP="005E319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5E319D">
        <w:rPr>
          <w:rFonts w:ascii="Garamond" w:eastAsia="Times New Roman" w:hAnsi="Garamond" w:cs="Times New Roman"/>
          <w:b/>
          <w:sz w:val="24"/>
          <w:szCs w:val="24"/>
        </w:rPr>
        <w:t>TË PROKURIMIT PUBLIK PËR VITIN 2024</w:t>
      </w:r>
    </w:p>
    <w:p w14:paraId="3FC8D545" w14:textId="6808EC91" w:rsidR="002D1C89" w:rsidRPr="005E319D" w:rsidRDefault="002D1C89" w:rsidP="005E319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16AA9D99" w14:textId="77777777" w:rsidR="002D1C89" w:rsidRPr="005E319D" w:rsidRDefault="002D1C89" w:rsidP="005E319D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r w:rsidRPr="005E319D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Shqipërisë, </w:t>
      </w:r>
    </w:p>
    <w:p w14:paraId="2679EAFA" w14:textId="65FD1316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Duke e konsideruar Komisionin e Prokurimit Publik si organin më të lartë në fushën e prokurimeve, që shqyrton ankesat për procedurat e prokurimit në përputhje me kërkesat e përcaktuara në ligj;</w:t>
      </w:r>
    </w:p>
    <w:p w14:paraId="2E3834C4" w14:textId="716AA933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Duke e vlerësuar shumë të rëndësishme për KPP-në paanësinë në vendimmarrje, transparencën, efikasitetin dhe në mënyrë të veçantë mbrojtjen e interesit publik përmes një administrate të përgjegjshme, e cila mirëmenaxhon fondet publike, si dhe mbrojtjen e interesave të ligjshme të operatorëve ekonomikë nga veprimet ose mosveprimet e autoriteteve kontraktore;</w:t>
      </w:r>
    </w:p>
    <w:p w14:paraId="3D4D02AB" w14:textId="6028CEDB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Duke e vlerësuar shumë të rëndësishëm rolin që KPP-ja ka në rritjen e efikasitetit dhe të besueshmërisë në sistemin e prokurimit publik;</w:t>
      </w:r>
    </w:p>
    <w:p w14:paraId="4E6C2E31" w14:textId="3286A7CC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Duke e vlerësuar si një arritje tepër të rëndësishme implementimin e reformës së digjitalizimit të shërbimeve dhe menaxhimit të ankesave, me ndikim të drejtpërdrejtë në rritjen e transparencës dhe minimizimin e korrupsionit</w:t>
      </w:r>
      <w:r w:rsidR="008B127D" w:rsidRPr="005E319D">
        <w:rPr>
          <w:rFonts w:ascii="Garamond" w:eastAsia="Times New Roman" w:hAnsi="Garamond" w:cs="Times New Roman"/>
          <w:sz w:val="24"/>
          <w:szCs w:val="24"/>
        </w:rPr>
        <w:t>;</w:t>
      </w:r>
    </w:p>
    <w:p w14:paraId="44B04FCB" w14:textId="77777777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5E319D">
        <w:rPr>
          <w:rFonts w:ascii="Garamond" w:eastAsia="Times New Roman" w:hAnsi="Garamond" w:cs="Times New Roman"/>
          <w:b/>
          <w:sz w:val="24"/>
          <w:szCs w:val="24"/>
        </w:rPr>
        <w:t xml:space="preserve">Shqyrtoi veprimtarinë e Komisionit të Prokurimit Publik për vitin 2024 dhe vlerëson: </w:t>
      </w:r>
    </w:p>
    <w:p w14:paraId="6E2297F3" w14:textId="6386ED07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Rritjen me 32.9% të numrit të ankesave të shqyrtuara në krahasim me vitin 2023, çka dëshmon për rritjen e besueshmërisë së operatorëve ekonomikë dhe autoriteteve kontraktore në funksionimin e këtij institucioni.</w:t>
      </w:r>
    </w:p>
    <w:p w14:paraId="402C2F60" w14:textId="4A400B25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Nxjerrjen e vendimeve të themelit dhe vendime</w:t>
      </w:r>
      <w:r w:rsidR="008B127D" w:rsidRPr="005E319D">
        <w:rPr>
          <w:rFonts w:ascii="Garamond" w:eastAsia="Times New Roman" w:hAnsi="Garamond" w:cs="Times New Roman"/>
          <w:sz w:val="24"/>
          <w:szCs w:val="24"/>
        </w:rPr>
        <w:t>ve</w:t>
      </w:r>
      <w:r w:rsidRPr="005E319D">
        <w:rPr>
          <w:rFonts w:ascii="Garamond" w:eastAsia="Times New Roman" w:hAnsi="Garamond" w:cs="Times New Roman"/>
          <w:sz w:val="24"/>
          <w:szCs w:val="24"/>
        </w:rPr>
        <w:t xml:space="preserve"> interpretuese, të cilat kontribuojnë në unifikimin e praktikave administrative dhe në zgjidhjen efektive të mosmarrëveshjeve në fushën e prokurimit publik.</w:t>
      </w:r>
    </w:p>
    <w:p w14:paraId="7A225781" w14:textId="15F86FF9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Përshtatjen e proceseve drejt përdorimit të gjerë të sistemeve elektronike për dorëzimin dhe menaxhimin e ankesave</w:t>
      </w:r>
      <w:r w:rsidR="008B127D" w:rsidRPr="005E319D">
        <w:rPr>
          <w:rFonts w:ascii="Garamond" w:eastAsia="Times New Roman" w:hAnsi="Garamond" w:cs="Times New Roman"/>
          <w:sz w:val="24"/>
          <w:szCs w:val="24"/>
        </w:rPr>
        <w:t>,</w:t>
      </w:r>
      <w:r w:rsidRPr="005E319D">
        <w:rPr>
          <w:rFonts w:ascii="Garamond" w:eastAsia="Times New Roman" w:hAnsi="Garamond" w:cs="Times New Roman"/>
          <w:sz w:val="24"/>
          <w:szCs w:val="24"/>
        </w:rPr>
        <w:t xml:space="preserve"> i cili konsiderohet një përparim i rëndësishëm drejt modernizimit institucional dhe rritjes së aksesit për operatorët ekonomikë. </w:t>
      </w:r>
    </w:p>
    <w:p w14:paraId="1283E3B5" w14:textId="4B9E57C8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Përdorimin e nënshkrimit elektronik dhe përpjekjet për digjitalizimin e dokumentacionit si hapa thelbësorë për përmirësimin e efikasitetit dhe transparencës.</w:t>
      </w:r>
    </w:p>
    <w:p w14:paraId="68C34356" w14:textId="149A7F68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Organizimin e seancave dëgjimore me përdorimin e sistemeve bashkëkohore të regjistrimit audio</w:t>
      </w:r>
      <w:r w:rsidR="008B127D" w:rsidRPr="005E319D">
        <w:rPr>
          <w:rFonts w:ascii="Garamond" w:eastAsia="Times New Roman" w:hAnsi="Garamond" w:cs="Times New Roman"/>
          <w:sz w:val="24"/>
          <w:szCs w:val="24"/>
        </w:rPr>
        <w:t>,</w:t>
      </w:r>
      <w:r w:rsidRPr="005E319D">
        <w:rPr>
          <w:rFonts w:ascii="Garamond" w:eastAsia="Times New Roman" w:hAnsi="Garamond" w:cs="Times New Roman"/>
          <w:sz w:val="24"/>
          <w:szCs w:val="24"/>
        </w:rPr>
        <w:t xml:space="preserve"> të cilat përb</w:t>
      </w:r>
      <w:r w:rsidR="008B127D" w:rsidRPr="005E319D">
        <w:rPr>
          <w:rFonts w:ascii="Garamond" w:eastAsia="Times New Roman" w:hAnsi="Garamond" w:cs="Times New Roman"/>
          <w:sz w:val="24"/>
          <w:szCs w:val="24"/>
        </w:rPr>
        <w:t>ë</w:t>
      </w:r>
      <w:r w:rsidRPr="005E319D">
        <w:rPr>
          <w:rFonts w:ascii="Garamond" w:eastAsia="Times New Roman" w:hAnsi="Garamond" w:cs="Times New Roman"/>
          <w:sz w:val="24"/>
          <w:szCs w:val="24"/>
        </w:rPr>
        <w:t>jnë një avancim në standardet e transparencës dhe profesionalizmit në shqyrtimin e çështjeve.</w:t>
      </w:r>
    </w:p>
    <w:p w14:paraId="25FB1701" w14:textId="061673E7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Publikimin e historikut të vendimeve sipas standardeve ndërkombëtare, digjitalizimi i arkivave dhe zhvillimi i aplikacionit mobile për lehtësimin e procedurave</w:t>
      </w:r>
      <w:r w:rsidR="008B127D" w:rsidRPr="005E319D">
        <w:rPr>
          <w:rFonts w:ascii="Garamond" w:eastAsia="Times New Roman" w:hAnsi="Garamond" w:cs="Times New Roman"/>
          <w:sz w:val="24"/>
          <w:szCs w:val="24"/>
        </w:rPr>
        <w:t>,</w:t>
      </w:r>
      <w:r w:rsidRPr="005E319D">
        <w:rPr>
          <w:rFonts w:ascii="Garamond" w:eastAsia="Times New Roman" w:hAnsi="Garamond" w:cs="Times New Roman"/>
          <w:sz w:val="24"/>
          <w:szCs w:val="24"/>
        </w:rPr>
        <w:t xml:space="preserve"> të cilët përbëjnë hapa të rëndësishëm drejt rritjes së aksesit publik dhe transparencës. </w:t>
      </w:r>
    </w:p>
    <w:p w14:paraId="2CAE5642" w14:textId="26692476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Angazhimin aktiv institucional në aktivitetet kombëtare dhe ndërkombëtare, si dhe përpjekjet për forcimin e bashkëpunimit ndërinstitucional dhe ndërtimin e kapaciteteve përmes trajnimeve.</w:t>
      </w:r>
    </w:p>
    <w:p w14:paraId="2F04F63C" w14:textId="77777777" w:rsidR="002D1C89" w:rsidRPr="005E319D" w:rsidRDefault="002D1C89" w:rsidP="005E319D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r w:rsidRPr="005E319D">
        <w:rPr>
          <w:rFonts w:ascii="Garamond" w:eastAsia="Times New Roman" w:hAnsi="Garamond" w:cs="Times New Roman"/>
          <w:b/>
          <w:sz w:val="24"/>
          <w:szCs w:val="24"/>
        </w:rPr>
        <w:t xml:space="preserve">Kuvendi kërkon që Komisioni i Prokurimit Publik, në përmbushje të detyrave të ngarkuara me ligj, të angazhohet veçanërisht edhe në këto drejtime: </w:t>
      </w:r>
    </w:p>
    <w:p w14:paraId="4CBB5452" w14:textId="2AA8778B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1.Të vijojë përmirësimi i metodave të punës, analizimi dhe</w:t>
      </w:r>
      <w:r w:rsidR="00CB10F2" w:rsidRPr="005E319D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5E319D">
        <w:rPr>
          <w:rFonts w:ascii="Garamond" w:eastAsia="Times New Roman" w:hAnsi="Garamond" w:cs="Times New Roman"/>
          <w:sz w:val="24"/>
          <w:szCs w:val="24"/>
        </w:rPr>
        <w:t>adresimi i problematikave që dalin nga praktika, duke synuar një harmonizim më të plotë me standardet evropiane të kontrollit dhe ankimimit në fushën e prokurimeve publike, në përputhje me vlerësimet po</w:t>
      </w:r>
      <w:r w:rsidR="008B127D" w:rsidRPr="005E319D">
        <w:rPr>
          <w:rFonts w:ascii="Garamond" w:eastAsia="Times New Roman" w:hAnsi="Garamond" w:cs="Times New Roman"/>
          <w:sz w:val="24"/>
          <w:szCs w:val="24"/>
        </w:rPr>
        <w:t>zitive të pasqyruara në progres</w:t>
      </w:r>
      <w:r w:rsidRPr="005E319D">
        <w:rPr>
          <w:rFonts w:ascii="Garamond" w:eastAsia="Times New Roman" w:hAnsi="Garamond" w:cs="Times New Roman"/>
          <w:sz w:val="24"/>
          <w:szCs w:val="24"/>
        </w:rPr>
        <w:t>raportin e Bashkimit Evropian dhe të SIGMA-s.</w:t>
      </w:r>
    </w:p>
    <w:p w14:paraId="499EA621" w14:textId="1BFEDD93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 xml:space="preserve">2.Të intensifikohet bashkëpunimi me Kuvendin, me institucionet e tjera të pavarura dhe me mediat, me qëllim që qytetarët të informohen në mënyrë të vazhdueshme </w:t>
      </w:r>
      <w:r w:rsidR="008B127D" w:rsidRPr="005E319D">
        <w:rPr>
          <w:rFonts w:ascii="Garamond" w:eastAsia="Times New Roman" w:hAnsi="Garamond" w:cs="Times New Roman"/>
          <w:sz w:val="24"/>
          <w:szCs w:val="24"/>
        </w:rPr>
        <w:t>për</w:t>
      </w:r>
      <w:r w:rsidRPr="005E319D">
        <w:rPr>
          <w:rFonts w:ascii="Garamond" w:eastAsia="Times New Roman" w:hAnsi="Garamond" w:cs="Times New Roman"/>
          <w:sz w:val="24"/>
          <w:szCs w:val="24"/>
        </w:rPr>
        <w:t xml:space="preserve"> vendimmarrjet dhe ndikimin e tyre në mbrojtjen e interesit publik dhe të fondeve publike.</w:t>
      </w:r>
    </w:p>
    <w:p w14:paraId="66581FBF" w14:textId="1B870E39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3.Të realizojë përditësimin dhe përmirësimin e katër manualeve kryesore, (Procedurat e Ankesave të Prokurimit Publik për Operatorët Ekonomikë, Manuali mbi Ankimin Administrativ për Procedurat e Prokurimit Publik për Autoritetet/Entet Kontraktore, Manuali i Përdorimit - Për Ankesë, Argument nga Operatorët Ekonomikë, Manuali i Përdorimit-Portali kpp.al/Llogaria e Autoritetit Kontraktor).</w:t>
      </w:r>
    </w:p>
    <w:p w14:paraId="5DC6C178" w14:textId="27394E91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4.Të vijojë angazhimin në realizimin e seancave dëgjimore të hapura dhe transparente, me përfshirje të përfaqësuesve të operatorëve ekonomikë dhe organizatave të shoqërisë civile të fushës.</w:t>
      </w:r>
    </w:p>
    <w:p w14:paraId="2CF905B1" w14:textId="5C87CA72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lastRenderedPageBreak/>
        <w:t xml:space="preserve">5.Të vlerësojë mundësinë e ndërtimit të një platforme të identifikimit të risqeve </w:t>
      </w:r>
      <w:r w:rsidR="00CB10F2" w:rsidRPr="005E319D">
        <w:rPr>
          <w:rFonts w:ascii="Garamond" w:eastAsia="Times New Roman" w:hAnsi="Garamond" w:cs="Times New Roman"/>
          <w:sz w:val="24"/>
          <w:szCs w:val="24"/>
        </w:rPr>
        <w:t>për</w:t>
      </w:r>
      <w:r w:rsidRPr="005E319D">
        <w:rPr>
          <w:rFonts w:ascii="Garamond" w:eastAsia="Times New Roman" w:hAnsi="Garamond" w:cs="Times New Roman"/>
          <w:sz w:val="24"/>
          <w:szCs w:val="24"/>
        </w:rPr>
        <w:t xml:space="preserve"> integritetin e procesit te</w:t>
      </w:r>
      <w:r w:rsidRPr="005E319D">
        <w:rPr>
          <w:rFonts w:ascii="Times New Roman" w:eastAsia="Times New Roman" w:hAnsi="Times New Roman" w:cs="Times New Roman"/>
          <w:sz w:val="24"/>
          <w:szCs w:val="24"/>
        </w:rPr>
        <w:t>̈</w:t>
      </w:r>
      <w:r w:rsidRPr="005E319D">
        <w:rPr>
          <w:rFonts w:ascii="Garamond" w:eastAsia="Times New Roman" w:hAnsi="Garamond" w:cs="Times New Roman"/>
          <w:sz w:val="24"/>
          <w:szCs w:val="24"/>
        </w:rPr>
        <w:t xml:space="preserve"> prokurimit dhe te</w:t>
      </w:r>
      <w:r w:rsidRPr="005E319D">
        <w:rPr>
          <w:rFonts w:ascii="Times New Roman" w:eastAsia="Times New Roman" w:hAnsi="Times New Roman" w:cs="Times New Roman"/>
          <w:sz w:val="24"/>
          <w:szCs w:val="24"/>
        </w:rPr>
        <w:t>̈</w:t>
      </w:r>
      <w:r w:rsidRPr="005E319D">
        <w:rPr>
          <w:rFonts w:ascii="Garamond" w:eastAsia="Times New Roman" w:hAnsi="Garamond" w:cs="Times New Roman"/>
          <w:sz w:val="24"/>
          <w:szCs w:val="24"/>
        </w:rPr>
        <w:t xml:space="preserve"> vendimmarrjes n</w:t>
      </w:r>
      <w:r w:rsidRPr="005E319D">
        <w:rPr>
          <w:rFonts w:ascii="Garamond" w:eastAsia="Times New Roman" w:hAnsi="Garamond" w:cs="Garamond"/>
          <w:sz w:val="24"/>
          <w:szCs w:val="24"/>
        </w:rPr>
        <w:t>ë</w:t>
      </w:r>
      <w:r w:rsidRPr="005E319D">
        <w:rPr>
          <w:rFonts w:ascii="Garamond" w:eastAsia="Times New Roman" w:hAnsi="Garamond" w:cs="Times New Roman"/>
          <w:sz w:val="24"/>
          <w:szCs w:val="24"/>
        </w:rPr>
        <w:t xml:space="preserve"> bashk</w:t>
      </w:r>
      <w:r w:rsidRPr="005E319D">
        <w:rPr>
          <w:rFonts w:ascii="Garamond" w:eastAsia="Times New Roman" w:hAnsi="Garamond" w:cs="Garamond"/>
          <w:sz w:val="24"/>
          <w:szCs w:val="24"/>
        </w:rPr>
        <w:t>ë</w:t>
      </w:r>
      <w:r w:rsidRPr="005E319D">
        <w:rPr>
          <w:rFonts w:ascii="Garamond" w:eastAsia="Times New Roman" w:hAnsi="Garamond" w:cs="Times New Roman"/>
          <w:sz w:val="24"/>
          <w:szCs w:val="24"/>
        </w:rPr>
        <w:t>punim me partner</w:t>
      </w:r>
      <w:r w:rsidRPr="005E319D">
        <w:rPr>
          <w:rFonts w:ascii="Garamond" w:eastAsia="Times New Roman" w:hAnsi="Garamond" w:cs="Garamond"/>
          <w:sz w:val="24"/>
          <w:szCs w:val="24"/>
        </w:rPr>
        <w:t>ë</w:t>
      </w:r>
      <w:r w:rsidRPr="005E319D">
        <w:rPr>
          <w:rFonts w:ascii="Garamond" w:eastAsia="Times New Roman" w:hAnsi="Garamond" w:cs="Times New Roman"/>
          <w:sz w:val="24"/>
          <w:szCs w:val="24"/>
        </w:rPr>
        <w:t>t nd</w:t>
      </w:r>
      <w:r w:rsidRPr="005E319D">
        <w:rPr>
          <w:rFonts w:ascii="Garamond" w:eastAsia="Times New Roman" w:hAnsi="Garamond" w:cs="Garamond"/>
          <w:sz w:val="24"/>
          <w:szCs w:val="24"/>
        </w:rPr>
        <w:t>ë</w:t>
      </w:r>
      <w:r w:rsidRPr="005E319D">
        <w:rPr>
          <w:rFonts w:ascii="Garamond" w:eastAsia="Times New Roman" w:hAnsi="Garamond" w:cs="Times New Roman"/>
          <w:sz w:val="24"/>
          <w:szCs w:val="24"/>
        </w:rPr>
        <w:t>rkomb</w:t>
      </w:r>
      <w:r w:rsidRPr="005E319D">
        <w:rPr>
          <w:rFonts w:ascii="Garamond" w:eastAsia="Times New Roman" w:hAnsi="Garamond" w:cs="Garamond"/>
          <w:sz w:val="24"/>
          <w:szCs w:val="24"/>
        </w:rPr>
        <w:t>ë</w:t>
      </w:r>
      <w:r w:rsidRPr="005E319D">
        <w:rPr>
          <w:rFonts w:ascii="Garamond" w:eastAsia="Times New Roman" w:hAnsi="Garamond" w:cs="Times New Roman"/>
          <w:sz w:val="24"/>
          <w:szCs w:val="24"/>
        </w:rPr>
        <w:t>tar</w:t>
      </w:r>
      <w:r w:rsidRPr="005E319D">
        <w:rPr>
          <w:rFonts w:ascii="Garamond" w:eastAsia="Times New Roman" w:hAnsi="Garamond" w:cs="Garamond"/>
          <w:sz w:val="24"/>
          <w:szCs w:val="24"/>
        </w:rPr>
        <w:t>ë</w:t>
      </w:r>
      <w:r w:rsidRPr="005E319D">
        <w:rPr>
          <w:rFonts w:ascii="Garamond" w:eastAsia="Times New Roman" w:hAnsi="Garamond" w:cs="Times New Roman"/>
          <w:sz w:val="24"/>
          <w:szCs w:val="24"/>
        </w:rPr>
        <w:t>.</w:t>
      </w:r>
    </w:p>
    <w:p w14:paraId="685C1CC2" w14:textId="606E52FA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 xml:space="preserve">6.Të mundësohet publikimi në faqen zyrtare i analizave periodike </w:t>
      </w:r>
      <w:r w:rsidR="008B127D" w:rsidRPr="005E319D">
        <w:rPr>
          <w:rFonts w:ascii="Garamond" w:eastAsia="Times New Roman" w:hAnsi="Garamond" w:cs="Times New Roman"/>
          <w:sz w:val="24"/>
          <w:szCs w:val="24"/>
        </w:rPr>
        <w:t>për</w:t>
      </w:r>
      <w:r w:rsidRPr="005E319D">
        <w:rPr>
          <w:rFonts w:ascii="Garamond" w:eastAsia="Times New Roman" w:hAnsi="Garamond" w:cs="Times New Roman"/>
          <w:sz w:val="24"/>
          <w:szCs w:val="24"/>
        </w:rPr>
        <w:t xml:space="preserve"> vendimet e ankimuara në gjykatë, duke përfshirë identifikimin e faktorëve që kanë ndikuar në rezultatin e mbrojtjes ligjore. </w:t>
      </w:r>
    </w:p>
    <w:p w14:paraId="30C826EE" w14:textId="03721951" w:rsidR="002D1C89" w:rsidRPr="005E319D" w:rsidRDefault="008B127D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7.Të përfshijë në vijim</w:t>
      </w:r>
      <w:r w:rsidR="002D1C89" w:rsidRPr="005E319D">
        <w:rPr>
          <w:rFonts w:ascii="Garamond" w:eastAsia="Times New Roman" w:hAnsi="Garamond" w:cs="Times New Roman"/>
          <w:sz w:val="24"/>
          <w:szCs w:val="24"/>
        </w:rPr>
        <w:t xml:space="preserve"> një informacion në r</w:t>
      </w:r>
      <w:r w:rsidRPr="005E319D">
        <w:rPr>
          <w:rFonts w:ascii="Garamond" w:eastAsia="Times New Roman" w:hAnsi="Garamond" w:cs="Times New Roman"/>
          <w:sz w:val="24"/>
          <w:szCs w:val="24"/>
        </w:rPr>
        <w:t>aportin vjetor të institucionit</w:t>
      </w:r>
      <w:r w:rsidR="002D1C89" w:rsidRPr="005E319D">
        <w:rPr>
          <w:rFonts w:ascii="Garamond" w:eastAsia="Times New Roman" w:hAnsi="Garamond" w:cs="Times New Roman"/>
          <w:sz w:val="24"/>
          <w:szCs w:val="24"/>
        </w:rPr>
        <w:t xml:space="preserve"> nëse ka patur raste të deklarimit të konfliktit të interesit në vendimmarrje.</w:t>
      </w:r>
    </w:p>
    <w:p w14:paraId="098A33E2" w14:textId="4B41D965" w:rsidR="002D1C89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8.Të angazhohet në përmirësimin e publikimit të të dhënave bazuar në OCDS (Standardin e të Dhënave të Kontratave të Hapura).</w:t>
      </w:r>
    </w:p>
    <w:p w14:paraId="505BB66B" w14:textId="383DCE89" w:rsidR="0094122A" w:rsidRPr="005E319D" w:rsidRDefault="002D1C89" w:rsidP="005E31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E319D">
        <w:rPr>
          <w:rFonts w:ascii="Garamond" w:eastAsia="Times New Roman" w:hAnsi="Garamond" w:cs="Times New Roman"/>
          <w:sz w:val="24"/>
          <w:szCs w:val="24"/>
        </w:rPr>
        <w:t>9.Të vijojë me dhënien e kontributit në adresimin e problematikave të konstatuara në raporte të ndryshme të organizmave ndërkombëtar lidhur me aktivitetin e Komisionit.</w:t>
      </w:r>
    </w:p>
    <w:p w14:paraId="386D8E0B" w14:textId="77777777" w:rsidR="00556EBC" w:rsidRPr="005E319D" w:rsidRDefault="00556EBC" w:rsidP="005E31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5E8C785" w14:textId="0B977466" w:rsidR="005E319D" w:rsidRPr="005E319D" w:rsidRDefault="005E319D" w:rsidP="005E319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5E319D">
        <w:rPr>
          <w:rFonts w:ascii="Garamond" w:eastAsia="MS Mincho" w:hAnsi="Garamond" w:cs="Times New Roman"/>
          <w:sz w:val="24"/>
          <w:szCs w:val="24"/>
        </w:rPr>
        <w:t>KRYETAR</w:t>
      </w:r>
    </w:p>
    <w:p w14:paraId="2BC2328D" w14:textId="4C35701E" w:rsidR="005E319D" w:rsidRPr="005E319D" w:rsidRDefault="005E319D" w:rsidP="005E319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5E319D">
        <w:rPr>
          <w:rFonts w:ascii="Garamond" w:eastAsia="MS Mincho" w:hAnsi="Garamond" w:cs="Times New Roman"/>
          <w:b/>
          <w:bCs/>
          <w:sz w:val="24"/>
          <w:szCs w:val="24"/>
        </w:rPr>
        <w:t xml:space="preserve">Niko </w:t>
      </w:r>
      <w:r w:rsidRPr="005E319D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</w:p>
    <w:p w14:paraId="4FB9CCF9" w14:textId="77777777" w:rsidR="003C57D3" w:rsidRPr="005E319D" w:rsidRDefault="003C57D3" w:rsidP="005E31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3E5D4A58" w:rsidR="00EB62DE" w:rsidRPr="005E319D" w:rsidRDefault="00A755F6" w:rsidP="005E31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319D">
        <w:rPr>
          <w:rFonts w:ascii="Garamond" w:hAnsi="Garamond" w:cs="Times New Roman"/>
          <w:sz w:val="24"/>
          <w:szCs w:val="24"/>
        </w:rPr>
        <w:t xml:space="preserve">Miratuar në datën </w:t>
      </w:r>
      <w:r w:rsidR="002D1C89" w:rsidRPr="005E319D">
        <w:rPr>
          <w:rFonts w:ascii="Garamond" w:hAnsi="Garamond" w:cs="Times New Roman"/>
          <w:sz w:val="24"/>
          <w:szCs w:val="24"/>
        </w:rPr>
        <w:t>6.11</w:t>
      </w:r>
      <w:r w:rsidR="003C57D3" w:rsidRPr="005E319D">
        <w:rPr>
          <w:rFonts w:ascii="Garamond" w:hAnsi="Garamond" w:cs="Times New Roman"/>
          <w:sz w:val="24"/>
          <w:szCs w:val="24"/>
        </w:rPr>
        <w:t>.202</w:t>
      </w:r>
      <w:r w:rsidR="007427F3" w:rsidRPr="005E319D">
        <w:rPr>
          <w:rFonts w:ascii="Garamond" w:hAnsi="Garamond" w:cs="Times New Roman"/>
          <w:sz w:val="24"/>
          <w:szCs w:val="24"/>
        </w:rPr>
        <w:t>5</w:t>
      </w:r>
    </w:p>
    <w:p w14:paraId="2081D79A" w14:textId="11E252D0" w:rsidR="007A744F" w:rsidRPr="005E319D" w:rsidRDefault="007A744F" w:rsidP="005E319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bookmarkStart w:id="0" w:name="_GoBack"/>
      <w:bookmarkEnd w:id="0"/>
    </w:p>
    <w:sectPr w:rsidR="007A744F" w:rsidRPr="005E319D" w:rsidSect="0038570C">
      <w:pgSz w:w="11907" w:h="16840" w:code="9"/>
      <w:pgMar w:top="990" w:right="1440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19AFB" w14:textId="77777777" w:rsidR="00945D65" w:rsidRDefault="00945D65" w:rsidP="00C86383">
      <w:pPr>
        <w:spacing w:after="0" w:line="240" w:lineRule="auto"/>
      </w:pPr>
      <w:r>
        <w:separator/>
      </w:r>
    </w:p>
  </w:endnote>
  <w:endnote w:type="continuationSeparator" w:id="0">
    <w:p w14:paraId="08AB33D2" w14:textId="77777777" w:rsidR="00945D65" w:rsidRDefault="00945D65" w:rsidP="00C86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E797EA" w14:textId="77777777" w:rsidR="00945D65" w:rsidRDefault="00945D65" w:rsidP="00C86383">
      <w:pPr>
        <w:spacing w:after="0" w:line="240" w:lineRule="auto"/>
      </w:pPr>
      <w:r>
        <w:separator/>
      </w:r>
    </w:p>
  </w:footnote>
  <w:footnote w:type="continuationSeparator" w:id="0">
    <w:p w14:paraId="7A516B1F" w14:textId="77777777" w:rsidR="00945D65" w:rsidRDefault="00945D65" w:rsidP="00C86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1C89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8570C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6689"/>
    <w:rsid w:val="005D79C0"/>
    <w:rsid w:val="005E0B16"/>
    <w:rsid w:val="005E319D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0C5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127D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5D65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2F6D"/>
    <w:rsid w:val="00CA57B6"/>
    <w:rsid w:val="00CB10F2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4A9E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A8E3E-EB18-4AA1-8DDE-65E8C0244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Nevila Samarxhi</cp:lastModifiedBy>
  <cp:revision>129</cp:revision>
  <cp:lastPrinted>2025-11-12T08:25:00Z</cp:lastPrinted>
  <dcterms:created xsi:type="dcterms:W3CDTF">2019-04-04T07:08:00Z</dcterms:created>
  <dcterms:modified xsi:type="dcterms:W3CDTF">2025-11-13T13:37:00Z</dcterms:modified>
</cp:coreProperties>
</file>