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16E3F" w14:textId="77777777" w:rsidR="00572425" w:rsidRPr="00AA76C6" w:rsidRDefault="00572425" w:rsidP="00572425">
      <w:pPr>
        <w:spacing w:after="0" w:line="240" w:lineRule="auto"/>
        <w:ind w:firstLine="284"/>
        <w:jc w:val="center"/>
        <w:rPr>
          <w:rFonts w:ascii="Garamond" w:eastAsia="Times New Roman" w:hAnsi="Garamond" w:cs="Times New Roman"/>
          <w:b/>
          <w:sz w:val="24"/>
          <w:szCs w:val="24"/>
        </w:rPr>
      </w:pPr>
      <w:r w:rsidRPr="00AA76C6">
        <w:rPr>
          <w:rFonts w:ascii="Garamond" w:eastAsia="Times New Roman" w:hAnsi="Garamond" w:cs="Times New Roman"/>
          <w:b/>
          <w:sz w:val="24"/>
          <w:szCs w:val="24"/>
        </w:rPr>
        <w:t xml:space="preserve">REZOLUTË </w:t>
      </w:r>
    </w:p>
    <w:p w14:paraId="4DAF38B5" w14:textId="77777777" w:rsidR="00572425" w:rsidRPr="00AA76C6" w:rsidRDefault="00572425" w:rsidP="00572425">
      <w:pPr>
        <w:spacing w:after="0" w:line="240" w:lineRule="auto"/>
        <w:ind w:firstLine="284"/>
        <w:jc w:val="both"/>
        <w:rPr>
          <w:rFonts w:ascii="Garamond" w:eastAsia="Times New Roman" w:hAnsi="Garamond" w:cs="Times New Roman"/>
          <w:b/>
          <w:sz w:val="24"/>
          <w:szCs w:val="24"/>
        </w:rPr>
      </w:pPr>
    </w:p>
    <w:p w14:paraId="561F5F14" w14:textId="77777777" w:rsidR="00572425" w:rsidRPr="00AA76C6" w:rsidRDefault="00572425" w:rsidP="00572425">
      <w:pPr>
        <w:spacing w:after="0" w:line="240" w:lineRule="auto"/>
        <w:ind w:firstLine="284"/>
        <w:jc w:val="center"/>
        <w:rPr>
          <w:rFonts w:ascii="Garamond" w:eastAsia="Times New Roman" w:hAnsi="Garamond" w:cs="Times New Roman"/>
          <w:b/>
          <w:sz w:val="24"/>
          <w:szCs w:val="24"/>
        </w:rPr>
      </w:pPr>
      <w:r w:rsidRPr="00AA76C6">
        <w:rPr>
          <w:rFonts w:ascii="Garamond" w:eastAsia="Times New Roman" w:hAnsi="Garamond" w:cs="Times New Roman"/>
          <w:b/>
          <w:sz w:val="24"/>
          <w:szCs w:val="24"/>
        </w:rPr>
        <w:t xml:space="preserve">PËR SHPALLJEN E REPUBLIKËS ISLAMIKE TË IRANIT SI SHTET SPONSOR </w:t>
      </w:r>
    </w:p>
    <w:p w14:paraId="0C8F6E9E" w14:textId="77777777" w:rsidR="00572425" w:rsidRPr="00AA76C6" w:rsidRDefault="00572425" w:rsidP="00572425">
      <w:pPr>
        <w:spacing w:after="0" w:line="240" w:lineRule="auto"/>
        <w:ind w:firstLine="284"/>
        <w:jc w:val="center"/>
        <w:rPr>
          <w:rFonts w:ascii="Garamond" w:eastAsia="Times New Roman" w:hAnsi="Garamond" w:cs="Times New Roman"/>
          <w:b/>
          <w:sz w:val="24"/>
          <w:szCs w:val="24"/>
        </w:rPr>
      </w:pPr>
      <w:r w:rsidRPr="00AA76C6">
        <w:rPr>
          <w:rFonts w:ascii="Garamond" w:eastAsia="Times New Roman" w:hAnsi="Garamond" w:cs="Times New Roman"/>
          <w:b/>
          <w:sz w:val="24"/>
          <w:szCs w:val="24"/>
        </w:rPr>
        <w:t>I TERRORIZMIT DHE SHTET QË PËRDOR MJETE TERRORISTE</w:t>
      </w:r>
    </w:p>
    <w:p w14:paraId="0D7D29E3"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p>
    <w:p w14:paraId="15BC9C0B" w14:textId="4CB5AE1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 xml:space="preserve">Duke qenë se Republika e Shqipërisë është fuqimisht e përkushtuar ndaj parimeve të Kartës së Kombeve të Bashkuara, </w:t>
      </w:r>
      <w:r w:rsidR="0009335B">
        <w:rPr>
          <w:rFonts w:ascii="Garamond" w:eastAsia="Times New Roman" w:hAnsi="Garamond" w:cs="Times New Roman"/>
          <w:sz w:val="24"/>
          <w:szCs w:val="24"/>
        </w:rPr>
        <w:t>s</w:t>
      </w:r>
      <w:r w:rsidRPr="00AA76C6">
        <w:rPr>
          <w:rFonts w:ascii="Garamond" w:eastAsia="Times New Roman" w:hAnsi="Garamond" w:cs="Times New Roman"/>
          <w:sz w:val="24"/>
          <w:szCs w:val="24"/>
        </w:rPr>
        <w:t>ë drejtës ndërkombëtare dhe mbrojtjes së paqes dhe sigurisë ndërkombëtare;</w:t>
      </w:r>
    </w:p>
    <w:p w14:paraId="7FBB1CC5"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Duke qenë se terrorizmi në të gjitha format dhe shfaqjet e tij përbën një nga kërcënimet më serioze ndaj paqes ndërkombëtare, sigurisë dhe shoqërive demokratike;</w:t>
      </w:r>
    </w:p>
    <w:p w14:paraId="484BBC69"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 xml:space="preserve">Duke qenë se raporte të besueshme dhe vlerësime ndërkombëtare kanë dokumentuar në mënyrë të përsëritur përfshirjen e autoriteteve të Republikës Islamike të Iranit në financimin, trajnimin, armatosjen dhe drejtimin e grupeve dhe organizatave të armatosura </w:t>
      </w:r>
      <w:proofErr w:type="spellStart"/>
      <w:r w:rsidRPr="00AA76C6">
        <w:rPr>
          <w:rFonts w:ascii="Garamond" w:eastAsia="Times New Roman" w:hAnsi="Garamond" w:cs="Times New Roman"/>
          <w:sz w:val="24"/>
          <w:szCs w:val="24"/>
        </w:rPr>
        <w:t>joshtetërore</w:t>
      </w:r>
      <w:proofErr w:type="spellEnd"/>
      <w:r w:rsidRPr="00AA76C6">
        <w:rPr>
          <w:rFonts w:ascii="Garamond" w:eastAsia="Times New Roman" w:hAnsi="Garamond" w:cs="Times New Roman"/>
          <w:sz w:val="24"/>
          <w:szCs w:val="24"/>
        </w:rPr>
        <w:t xml:space="preserve"> të shpallura si entitete terroriste në disa rajone;</w:t>
      </w:r>
    </w:p>
    <w:p w14:paraId="1C87D1F4"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Duke qenë se Republika Islamike e Iranit përmes institucioneve të saj shtetërore, përfshirë Gardën Revolucionare Islamike (</w:t>
      </w:r>
      <w:proofErr w:type="spellStart"/>
      <w:r w:rsidRPr="00AA76C6">
        <w:rPr>
          <w:rFonts w:ascii="Garamond" w:eastAsia="Times New Roman" w:hAnsi="Garamond" w:cs="Times New Roman"/>
          <w:sz w:val="24"/>
          <w:szCs w:val="24"/>
        </w:rPr>
        <w:t>IRGC</w:t>
      </w:r>
      <w:proofErr w:type="spellEnd"/>
      <w:r w:rsidRPr="00AA76C6">
        <w:rPr>
          <w:rFonts w:ascii="Garamond" w:eastAsia="Times New Roman" w:hAnsi="Garamond" w:cs="Times New Roman"/>
          <w:sz w:val="24"/>
          <w:szCs w:val="24"/>
        </w:rPr>
        <w:t>) dhe strukturat e lidhura me të, ka mbështetur dhe koordinuar aktivitete që destabilizojnë vende në Lindjen e Mesme dhe më gjerë;</w:t>
      </w:r>
    </w:p>
    <w:p w14:paraId="218E2DE6"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 xml:space="preserve">Duke qenë se Republika e Shqipërisë ka qenë vetë objekt i veprimeve armiqësore në hapësirën kibernetike, përfshirë sulmin e rëndë </w:t>
      </w:r>
      <w:proofErr w:type="spellStart"/>
      <w:r w:rsidRPr="00AA76C6">
        <w:rPr>
          <w:rFonts w:ascii="Garamond" w:eastAsia="Times New Roman" w:hAnsi="Garamond" w:cs="Times New Roman"/>
          <w:sz w:val="24"/>
          <w:szCs w:val="24"/>
        </w:rPr>
        <w:t>kibernetik</w:t>
      </w:r>
      <w:proofErr w:type="spellEnd"/>
      <w:r w:rsidRPr="00AA76C6">
        <w:rPr>
          <w:rFonts w:ascii="Garamond" w:eastAsia="Times New Roman" w:hAnsi="Garamond" w:cs="Times New Roman"/>
          <w:sz w:val="24"/>
          <w:szCs w:val="24"/>
        </w:rPr>
        <w:t xml:space="preserve"> ndaj institucioneve shtetërore shqiptare në vitin 2022, i </w:t>
      </w:r>
      <w:proofErr w:type="spellStart"/>
      <w:r w:rsidRPr="00AA76C6">
        <w:rPr>
          <w:rFonts w:ascii="Garamond" w:eastAsia="Times New Roman" w:hAnsi="Garamond" w:cs="Times New Roman"/>
          <w:sz w:val="24"/>
          <w:szCs w:val="24"/>
        </w:rPr>
        <w:t>atribuar</w:t>
      </w:r>
      <w:proofErr w:type="spellEnd"/>
      <w:r w:rsidRPr="00AA76C6">
        <w:rPr>
          <w:rFonts w:ascii="Garamond" w:eastAsia="Times New Roman" w:hAnsi="Garamond" w:cs="Times New Roman"/>
          <w:sz w:val="24"/>
          <w:szCs w:val="24"/>
        </w:rPr>
        <w:t xml:space="preserve"> strukturave të lidhura me Republikën Islamike të Iranit, si dhe përpjekjet e ditëve të fundit për sulme kibernetike ndaj sistemeve të Kuvendit të Shqipërisë;</w:t>
      </w:r>
    </w:p>
    <w:p w14:paraId="66838321"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Duke qenë se aktet e dhunës dhe të agresionit, përfshirë sulmet kibernetike kundër institucioneve shtetërore, infrastrukturës kritike dhe shteteve sovrane përbëjnë shkelje të së drejtës ndërkombëtare dhe mund të përbëjnë forma të terrorizmit;</w:t>
      </w:r>
    </w:p>
    <w:p w14:paraId="5E4A7A21"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 xml:space="preserve">Duke qenë se përdorimi sistematik i frikësimit, i grupeve të armatosura </w:t>
      </w:r>
      <w:proofErr w:type="spellStart"/>
      <w:r w:rsidRPr="0009335B">
        <w:rPr>
          <w:rFonts w:ascii="Garamond" w:eastAsia="Times New Roman" w:hAnsi="Garamond" w:cs="Times New Roman"/>
          <w:i/>
          <w:iCs/>
          <w:sz w:val="24"/>
          <w:szCs w:val="24"/>
        </w:rPr>
        <w:t>proxy</w:t>
      </w:r>
      <w:proofErr w:type="spellEnd"/>
      <w:r w:rsidRPr="0009335B">
        <w:rPr>
          <w:rFonts w:ascii="Garamond" w:eastAsia="Times New Roman" w:hAnsi="Garamond" w:cs="Times New Roman"/>
          <w:i/>
          <w:iCs/>
          <w:sz w:val="24"/>
          <w:szCs w:val="24"/>
        </w:rPr>
        <w:t>,</w:t>
      </w:r>
      <w:r w:rsidRPr="00AA76C6">
        <w:rPr>
          <w:rFonts w:ascii="Garamond" w:eastAsia="Times New Roman" w:hAnsi="Garamond" w:cs="Times New Roman"/>
          <w:sz w:val="24"/>
          <w:szCs w:val="24"/>
        </w:rPr>
        <w:t xml:space="preserve"> si dhe i mjeteve hibride për të përhapur frikë dhe </w:t>
      </w:r>
      <w:proofErr w:type="spellStart"/>
      <w:r w:rsidRPr="00AA76C6">
        <w:rPr>
          <w:rFonts w:ascii="Garamond" w:eastAsia="Times New Roman" w:hAnsi="Garamond" w:cs="Times New Roman"/>
          <w:sz w:val="24"/>
          <w:szCs w:val="24"/>
        </w:rPr>
        <w:t>destabilizim</w:t>
      </w:r>
      <w:proofErr w:type="spellEnd"/>
      <w:r w:rsidRPr="00AA76C6">
        <w:rPr>
          <w:rFonts w:ascii="Garamond" w:eastAsia="Times New Roman" w:hAnsi="Garamond" w:cs="Times New Roman"/>
          <w:sz w:val="24"/>
          <w:szCs w:val="24"/>
        </w:rPr>
        <w:t xml:space="preserve"> është i papajtueshëm me normat e marrëdhënieve paqësore ndërkombëtare;</w:t>
      </w:r>
    </w:p>
    <w:p w14:paraId="6A3C2877"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Duke qenë se Republika e Shqipërisë, si anëtare e NATO-s dhe vend kandidat për anëtarësim në Bashkimin Evropian, ka në themel të politikës së saj të jashtme dhe të sigurisë parimet e solidaritetit demokratik, shtetit të së drejtës dhe mbrojtjes së paqes dhe stabilitetit ndërkombëtar;</w:t>
      </w:r>
    </w:p>
    <w:p w14:paraId="20E94D53"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Duke qenë se populli dhe institucionet shqiptare mbeten të përkushtuara në luftën kundër terrorizmit në të gjitha format e tij dhe në mbajtjen përgjegjës të atyre që sponsorizojnë ose kryejnë akte terrori,</w:t>
      </w:r>
    </w:p>
    <w:p w14:paraId="3D206B2C" w14:textId="77777777" w:rsidR="00572425" w:rsidRPr="00AA76C6" w:rsidRDefault="00572425" w:rsidP="00572425">
      <w:pPr>
        <w:spacing w:after="0" w:line="240" w:lineRule="auto"/>
        <w:ind w:firstLine="284"/>
        <w:jc w:val="both"/>
        <w:rPr>
          <w:rFonts w:ascii="Garamond" w:eastAsia="Times New Roman" w:hAnsi="Garamond" w:cs="Times New Roman"/>
          <w:b/>
          <w:sz w:val="24"/>
          <w:szCs w:val="24"/>
        </w:rPr>
      </w:pPr>
      <w:r w:rsidRPr="00AA76C6">
        <w:rPr>
          <w:rFonts w:ascii="Garamond" w:eastAsia="Times New Roman" w:hAnsi="Garamond" w:cs="Times New Roman"/>
          <w:b/>
          <w:sz w:val="24"/>
          <w:szCs w:val="24"/>
        </w:rPr>
        <w:t>Kuvendi i Shqipërisë:</w:t>
      </w:r>
    </w:p>
    <w:p w14:paraId="1894C7E2"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 xml:space="preserve">1. Dënon me termat më të ashpër veprimet e Qeverisë së Republikës Islamike të Iranit që mbështesin, mundësojnë ose kryejnë akte terrorizmi, operacione hibride dhe aktivitete </w:t>
      </w:r>
      <w:proofErr w:type="spellStart"/>
      <w:r w:rsidRPr="00AA76C6">
        <w:rPr>
          <w:rFonts w:ascii="Garamond" w:eastAsia="Times New Roman" w:hAnsi="Garamond" w:cs="Times New Roman"/>
          <w:sz w:val="24"/>
          <w:szCs w:val="24"/>
        </w:rPr>
        <w:t>destabilizuese</w:t>
      </w:r>
      <w:proofErr w:type="spellEnd"/>
      <w:r w:rsidRPr="00AA76C6">
        <w:rPr>
          <w:rFonts w:ascii="Garamond" w:eastAsia="Times New Roman" w:hAnsi="Garamond" w:cs="Times New Roman"/>
          <w:sz w:val="24"/>
          <w:szCs w:val="24"/>
        </w:rPr>
        <w:t xml:space="preserve"> në rajone të ndryshme të botës, si dhe shpreh solidaritetin e plotë me vendet mike të Gjirit Arabik dhe me Turqinë, të cilat janë </w:t>
      </w:r>
      <w:proofErr w:type="spellStart"/>
      <w:r w:rsidRPr="00AA76C6">
        <w:rPr>
          <w:rFonts w:ascii="Garamond" w:eastAsia="Times New Roman" w:hAnsi="Garamond" w:cs="Times New Roman"/>
          <w:sz w:val="24"/>
          <w:szCs w:val="24"/>
        </w:rPr>
        <w:t>shënjestuar</w:t>
      </w:r>
      <w:proofErr w:type="spellEnd"/>
      <w:r w:rsidRPr="00AA76C6">
        <w:rPr>
          <w:rFonts w:ascii="Garamond" w:eastAsia="Times New Roman" w:hAnsi="Garamond" w:cs="Times New Roman"/>
          <w:sz w:val="24"/>
          <w:szCs w:val="24"/>
        </w:rPr>
        <w:t xml:space="preserve"> nga aktiviteti terrorist i sponsorizuar nga Qeveria e Republikës Islamike të Iranit.</w:t>
      </w:r>
    </w:p>
    <w:p w14:paraId="1EC4F6E1"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2. Dënon sulmet kibernetike të kryera kundër institucioneve të Republikës së Shqipërisë, përfshirë sulmin e vitit 2022 ndaj infrastrukturës shtetërore dhe përpjekjet e fundit për ndërhyrje në sistemet e Kuvendit të Shqipërisë.</w:t>
      </w:r>
    </w:p>
    <w:p w14:paraId="053FDE0C"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3. Shpall Republikën Islamike të Iranit si shtet sponsor të terrorizmit dhe si shtet që përdor mjete terroriste në ndjekje të objektivave të tij të politikës së jashtme.</w:t>
      </w:r>
    </w:p>
    <w:p w14:paraId="7E3630B2"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4. Dënon aktivitetet e Gardës Revolucionare Islamike (</w:t>
      </w:r>
      <w:proofErr w:type="spellStart"/>
      <w:r w:rsidRPr="00AA76C6">
        <w:rPr>
          <w:rFonts w:ascii="Garamond" w:eastAsia="Times New Roman" w:hAnsi="Garamond" w:cs="Times New Roman"/>
          <w:sz w:val="24"/>
          <w:szCs w:val="24"/>
        </w:rPr>
        <w:t>IRGC</w:t>
      </w:r>
      <w:proofErr w:type="spellEnd"/>
      <w:r w:rsidRPr="00AA76C6">
        <w:rPr>
          <w:rFonts w:ascii="Garamond" w:eastAsia="Times New Roman" w:hAnsi="Garamond" w:cs="Times New Roman"/>
          <w:sz w:val="24"/>
          <w:szCs w:val="24"/>
        </w:rPr>
        <w:t xml:space="preserve">) dhe entiteteve të lidhura me të për rolin e tyre në mbështetjen e organizatave terroriste, forcave të armatosura përfaqësuese dhe operacioneve </w:t>
      </w:r>
      <w:proofErr w:type="spellStart"/>
      <w:r w:rsidRPr="00AA76C6">
        <w:rPr>
          <w:rFonts w:ascii="Garamond" w:eastAsia="Times New Roman" w:hAnsi="Garamond" w:cs="Times New Roman"/>
          <w:sz w:val="24"/>
          <w:szCs w:val="24"/>
        </w:rPr>
        <w:t>destabilizuese</w:t>
      </w:r>
      <w:proofErr w:type="spellEnd"/>
      <w:r w:rsidRPr="00AA76C6">
        <w:rPr>
          <w:rFonts w:ascii="Garamond" w:eastAsia="Times New Roman" w:hAnsi="Garamond" w:cs="Times New Roman"/>
          <w:sz w:val="24"/>
          <w:szCs w:val="24"/>
        </w:rPr>
        <w:t>.</w:t>
      </w:r>
    </w:p>
    <w:p w14:paraId="7FF721A9" w14:textId="1AABDC2B"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5. I bën thirrje qeverisë së Republikës së Shqipëris</w:t>
      </w:r>
      <w:r w:rsidR="00E453B7">
        <w:rPr>
          <w:rFonts w:ascii="Garamond" w:eastAsia="Times New Roman" w:hAnsi="Garamond" w:cs="Times New Roman"/>
          <w:sz w:val="24"/>
          <w:szCs w:val="24"/>
        </w:rPr>
        <w:t>ë</w:t>
      </w:r>
      <w:r w:rsidR="0009335B">
        <w:rPr>
          <w:rFonts w:ascii="Garamond" w:eastAsia="Times New Roman" w:hAnsi="Garamond" w:cs="Times New Roman"/>
          <w:sz w:val="24"/>
          <w:szCs w:val="24"/>
        </w:rPr>
        <w:t xml:space="preserve">, </w:t>
      </w:r>
      <w:r w:rsidRPr="00AA76C6">
        <w:rPr>
          <w:rFonts w:ascii="Garamond" w:eastAsia="Times New Roman" w:hAnsi="Garamond" w:cs="Times New Roman"/>
          <w:sz w:val="24"/>
          <w:szCs w:val="24"/>
        </w:rPr>
        <w:t>që:</w:t>
      </w:r>
      <w:bookmarkStart w:id="0" w:name="_GoBack"/>
      <w:bookmarkEnd w:id="0"/>
    </w:p>
    <w:p w14:paraId="46D33A1E"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 të forcojë masat kombëtare dhe ndërkombëtare për të luftuar terrorizmin e sponsorizuar nga shtetet dhe kërcënimet kibernetike;</w:t>
      </w:r>
    </w:p>
    <w:p w14:paraId="30697621"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lastRenderedPageBreak/>
        <w:t>- të bashkëpunojë ngushtë me vendet aleate dhe partnere në parandalimin dhe luftimin e financimit të terrorizmit dhe aktiviteteve të lidhura me strukturat shtetërore iraniane;</w:t>
      </w:r>
    </w:p>
    <w:p w14:paraId="58E592AC" w14:textId="5D6D610C"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 të mbështesë nismat në organizatat ndërkombëtare që synojnë përgjegjshmërinë për aktet e terrorizmit, sulmet kibernetike dhe shkeljet e së drejtës ndërkombëtare</w:t>
      </w:r>
      <w:r w:rsidR="0009335B">
        <w:rPr>
          <w:rFonts w:ascii="Garamond" w:eastAsia="Times New Roman" w:hAnsi="Garamond" w:cs="Times New Roman"/>
          <w:sz w:val="24"/>
          <w:szCs w:val="24"/>
        </w:rPr>
        <w:t>;</w:t>
      </w:r>
    </w:p>
    <w:p w14:paraId="7A38C3A5"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 të shpallë menjëherë Gardën Revolucionare Islamike (</w:t>
      </w:r>
      <w:proofErr w:type="spellStart"/>
      <w:r w:rsidRPr="00AA76C6">
        <w:rPr>
          <w:rFonts w:ascii="Garamond" w:eastAsia="Times New Roman" w:hAnsi="Garamond" w:cs="Times New Roman"/>
          <w:sz w:val="24"/>
          <w:szCs w:val="24"/>
        </w:rPr>
        <w:t>IRGC</w:t>
      </w:r>
      <w:proofErr w:type="spellEnd"/>
      <w:r w:rsidRPr="00AA76C6">
        <w:rPr>
          <w:rFonts w:ascii="Garamond" w:eastAsia="Times New Roman" w:hAnsi="Garamond" w:cs="Times New Roman"/>
          <w:sz w:val="24"/>
          <w:szCs w:val="24"/>
        </w:rPr>
        <w:t xml:space="preserve">) si organizatë terroriste, </w:t>
      </w:r>
    </w:p>
    <w:p w14:paraId="6EB6981C" w14:textId="14C73466"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 të shpallë</w:t>
      </w:r>
      <w:r w:rsidR="0009335B">
        <w:rPr>
          <w:rFonts w:ascii="Garamond" w:eastAsia="Times New Roman" w:hAnsi="Garamond" w:cs="Times New Roman"/>
          <w:sz w:val="24"/>
          <w:szCs w:val="24"/>
        </w:rPr>
        <w:t>,</w:t>
      </w:r>
      <w:r w:rsidRPr="00AA76C6">
        <w:rPr>
          <w:rFonts w:ascii="Garamond" w:eastAsia="Times New Roman" w:hAnsi="Garamond" w:cs="Times New Roman"/>
          <w:sz w:val="24"/>
          <w:szCs w:val="24"/>
        </w:rPr>
        <w:t xml:space="preserve"> gjithashtu</w:t>
      </w:r>
      <w:r w:rsidR="0009335B">
        <w:rPr>
          <w:rFonts w:ascii="Garamond" w:eastAsia="Times New Roman" w:hAnsi="Garamond" w:cs="Times New Roman"/>
          <w:sz w:val="24"/>
          <w:szCs w:val="24"/>
        </w:rPr>
        <w:t>,</w:t>
      </w:r>
      <w:r w:rsidRPr="00AA76C6">
        <w:rPr>
          <w:rFonts w:ascii="Garamond" w:eastAsia="Times New Roman" w:hAnsi="Garamond" w:cs="Times New Roman"/>
          <w:sz w:val="24"/>
          <w:szCs w:val="24"/>
        </w:rPr>
        <w:t xml:space="preserve"> </w:t>
      </w:r>
      <w:proofErr w:type="spellStart"/>
      <w:r w:rsidRPr="00AA76C6">
        <w:rPr>
          <w:rFonts w:ascii="Garamond" w:eastAsia="Times New Roman" w:hAnsi="Garamond" w:cs="Times New Roman"/>
          <w:sz w:val="24"/>
          <w:szCs w:val="24"/>
        </w:rPr>
        <w:t>Hezbollah</w:t>
      </w:r>
      <w:proofErr w:type="spellEnd"/>
      <w:r w:rsidRPr="00AA76C6">
        <w:rPr>
          <w:rFonts w:ascii="Garamond" w:eastAsia="Times New Roman" w:hAnsi="Garamond" w:cs="Times New Roman"/>
          <w:sz w:val="24"/>
          <w:szCs w:val="24"/>
        </w:rPr>
        <w:t xml:space="preserve"> si një organizatë terroriste </w:t>
      </w:r>
      <w:proofErr w:type="spellStart"/>
      <w:r w:rsidRPr="0009335B">
        <w:rPr>
          <w:rFonts w:ascii="Garamond" w:eastAsia="Times New Roman" w:hAnsi="Garamond" w:cs="Times New Roman"/>
          <w:i/>
          <w:iCs/>
          <w:sz w:val="24"/>
          <w:szCs w:val="24"/>
        </w:rPr>
        <w:t>proxy</w:t>
      </w:r>
      <w:proofErr w:type="spellEnd"/>
      <w:r w:rsidRPr="00AA76C6">
        <w:rPr>
          <w:rFonts w:ascii="Garamond" w:eastAsia="Times New Roman" w:hAnsi="Garamond" w:cs="Times New Roman"/>
          <w:sz w:val="24"/>
          <w:szCs w:val="24"/>
        </w:rPr>
        <w:t xml:space="preserve"> të Republikës Islamike të Iranit, duke iu bashkuar Shteteve të Bashkuara të Amerikës, Gjermanisë, Holandës dhe një numri shtetesh anëtare të BE-së, si dhe vende të tjera, të cilat e kanë ndërmarrë më parë këtë përcaktim.</w:t>
      </w:r>
    </w:p>
    <w:p w14:paraId="6DF65E15"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6. U bën thirrje vendeve demokratike, organizatave ndërkombëtare dhe partnerëve të Shqipërisë që të shqyrtojnë masa të koordinuara kundër terrorizmit të sponsorizuar nga shtetet dhe të forcojnë bashkëpunimin ndërkombëtar në luftën kundër këtyre kërcënimeve.</w:t>
      </w:r>
    </w:p>
    <w:p w14:paraId="1F844BD5"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 xml:space="preserve">7. </w:t>
      </w:r>
      <w:proofErr w:type="spellStart"/>
      <w:r w:rsidRPr="00AA76C6">
        <w:rPr>
          <w:rFonts w:ascii="Garamond" w:eastAsia="Times New Roman" w:hAnsi="Garamond" w:cs="Times New Roman"/>
          <w:sz w:val="24"/>
          <w:szCs w:val="24"/>
        </w:rPr>
        <w:t>Rikonfirmon</w:t>
      </w:r>
      <w:proofErr w:type="spellEnd"/>
      <w:r w:rsidRPr="00AA76C6">
        <w:rPr>
          <w:rFonts w:ascii="Garamond" w:eastAsia="Times New Roman" w:hAnsi="Garamond" w:cs="Times New Roman"/>
          <w:sz w:val="24"/>
          <w:szCs w:val="24"/>
        </w:rPr>
        <w:t xml:space="preserve"> përkushtimin e palëkundur të Shqipërisë ndaj paqes ndërkombëtare, vlerave demokratike dhe mbrojtjes së civilëve nga aktet e terrorit.</w:t>
      </w:r>
    </w:p>
    <w:p w14:paraId="315DFC20" w14:textId="77777777" w:rsidR="00572425" w:rsidRPr="00AA76C6" w:rsidRDefault="00572425" w:rsidP="00572425">
      <w:pPr>
        <w:spacing w:after="0" w:line="240" w:lineRule="auto"/>
        <w:ind w:firstLine="284"/>
        <w:jc w:val="both"/>
        <w:rPr>
          <w:rFonts w:ascii="Garamond" w:eastAsia="Times New Roman" w:hAnsi="Garamond" w:cs="Times New Roman"/>
          <w:sz w:val="24"/>
          <w:szCs w:val="24"/>
        </w:rPr>
      </w:pPr>
      <w:r w:rsidRPr="00AA76C6">
        <w:rPr>
          <w:rFonts w:ascii="Garamond" w:eastAsia="Times New Roman" w:hAnsi="Garamond" w:cs="Times New Roman"/>
          <w:sz w:val="24"/>
          <w:szCs w:val="24"/>
        </w:rPr>
        <w:t>8. Udhëzon që kjo rezolutë t’u përcillet qeverisë së Republikës së Shqipërisë, qeverive aleate, Organizatës së Kombeve të Bashkuara, Bashkimit Evropian dhe partnerëve të tjerë ndërkombëtarë përkatës.</w:t>
      </w:r>
    </w:p>
    <w:p w14:paraId="7D9E37FB" w14:textId="77777777" w:rsidR="00572425" w:rsidRPr="00AA76C6" w:rsidRDefault="00572425" w:rsidP="00572425">
      <w:pPr>
        <w:spacing w:after="0" w:line="240" w:lineRule="auto"/>
        <w:ind w:firstLine="284"/>
        <w:jc w:val="both"/>
        <w:rPr>
          <w:rFonts w:ascii="Garamond" w:eastAsia="Times New Roman" w:hAnsi="Garamond" w:cs="Times New Roman"/>
          <w:b/>
          <w:sz w:val="24"/>
          <w:szCs w:val="24"/>
        </w:rPr>
      </w:pPr>
    </w:p>
    <w:p w14:paraId="39D688A7" w14:textId="4E3B89C0" w:rsidR="00572425" w:rsidRPr="00AA76C6" w:rsidRDefault="00572425" w:rsidP="00572425">
      <w:pPr>
        <w:spacing w:after="0" w:line="240" w:lineRule="auto"/>
        <w:ind w:firstLine="284"/>
        <w:jc w:val="both"/>
        <w:rPr>
          <w:rFonts w:ascii="Garamond" w:hAnsi="Garamond" w:cs="Times New Roman"/>
          <w:sz w:val="24"/>
          <w:szCs w:val="24"/>
        </w:rPr>
      </w:pPr>
      <w:r w:rsidRPr="00AA76C6">
        <w:rPr>
          <w:rFonts w:ascii="Garamond" w:hAnsi="Garamond" w:cs="Times New Roman"/>
          <w:sz w:val="24"/>
          <w:szCs w:val="24"/>
        </w:rPr>
        <w:t>Miratuar në datën 17.3.2026</w:t>
      </w:r>
      <w:r w:rsidR="0009335B">
        <w:rPr>
          <w:rFonts w:ascii="Garamond" w:hAnsi="Garamond" w:cs="Times New Roman"/>
          <w:sz w:val="24"/>
          <w:szCs w:val="24"/>
        </w:rPr>
        <w:t>.</w:t>
      </w:r>
    </w:p>
    <w:p w14:paraId="76453ADE" w14:textId="77777777" w:rsidR="00572425" w:rsidRPr="00AA76C6" w:rsidRDefault="00572425" w:rsidP="00572425">
      <w:pPr>
        <w:spacing w:after="0" w:line="240" w:lineRule="auto"/>
        <w:ind w:firstLine="284"/>
        <w:jc w:val="both"/>
        <w:rPr>
          <w:rFonts w:ascii="Garamond" w:hAnsi="Garamond" w:cs="Times New Roman"/>
          <w:sz w:val="24"/>
          <w:szCs w:val="24"/>
        </w:rPr>
      </w:pPr>
    </w:p>
    <w:p w14:paraId="58F04C6F" w14:textId="77777777" w:rsidR="00572425" w:rsidRPr="00AA76C6" w:rsidRDefault="00572425" w:rsidP="00572425">
      <w:pPr>
        <w:spacing w:after="0" w:line="240" w:lineRule="auto"/>
        <w:ind w:firstLine="284"/>
        <w:jc w:val="right"/>
        <w:rPr>
          <w:rFonts w:ascii="Garamond" w:hAnsi="Garamond" w:cs="Times New Roman"/>
          <w:sz w:val="24"/>
          <w:szCs w:val="24"/>
        </w:rPr>
      </w:pPr>
      <w:r w:rsidRPr="00AA76C6">
        <w:rPr>
          <w:rFonts w:ascii="Garamond" w:hAnsi="Garamond" w:cs="Times New Roman"/>
          <w:sz w:val="24"/>
          <w:szCs w:val="24"/>
        </w:rPr>
        <w:t>KRYETAR</w:t>
      </w:r>
    </w:p>
    <w:p w14:paraId="15B12CD9" w14:textId="77777777" w:rsidR="00572425" w:rsidRPr="00572425" w:rsidRDefault="00572425" w:rsidP="00572425">
      <w:pPr>
        <w:spacing w:after="0" w:line="240" w:lineRule="auto"/>
        <w:ind w:firstLine="284"/>
        <w:jc w:val="right"/>
        <w:rPr>
          <w:rFonts w:ascii="Garamond" w:hAnsi="Garamond" w:cs="Times New Roman"/>
          <w:b/>
          <w:sz w:val="24"/>
          <w:szCs w:val="24"/>
        </w:rPr>
      </w:pPr>
      <w:proofErr w:type="spellStart"/>
      <w:r w:rsidRPr="00572425">
        <w:rPr>
          <w:rFonts w:ascii="Garamond" w:hAnsi="Garamond" w:cs="Times New Roman"/>
          <w:b/>
          <w:sz w:val="24"/>
          <w:szCs w:val="24"/>
        </w:rPr>
        <w:t>Niko</w:t>
      </w:r>
      <w:proofErr w:type="spellEnd"/>
      <w:r w:rsidRPr="00572425">
        <w:rPr>
          <w:rFonts w:ascii="Garamond" w:hAnsi="Garamond" w:cs="Times New Roman"/>
          <w:b/>
          <w:sz w:val="24"/>
          <w:szCs w:val="24"/>
        </w:rPr>
        <w:t xml:space="preserve"> </w:t>
      </w:r>
      <w:proofErr w:type="spellStart"/>
      <w:r w:rsidRPr="00572425">
        <w:rPr>
          <w:rFonts w:ascii="Garamond" w:hAnsi="Garamond" w:cs="Times New Roman"/>
          <w:b/>
          <w:sz w:val="24"/>
          <w:szCs w:val="24"/>
        </w:rPr>
        <w:t>Peleshi</w:t>
      </w:r>
      <w:proofErr w:type="spellEnd"/>
    </w:p>
    <w:p w14:paraId="4912313C" w14:textId="77777777" w:rsidR="00572425" w:rsidRPr="00AA76C6" w:rsidRDefault="00572425" w:rsidP="00572425">
      <w:pPr>
        <w:spacing w:after="0" w:line="240" w:lineRule="auto"/>
        <w:ind w:firstLine="284"/>
        <w:rPr>
          <w:rFonts w:ascii="Garamond" w:eastAsia="Times New Roman" w:hAnsi="Garamond" w:cs="Times New Roman"/>
          <w:sz w:val="20"/>
          <w:szCs w:val="20"/>
        </w:rPr>
      </w:pPr>
    </w:p>
    <w:p w14:paraId="59F7B1AC" w14:textId="77777777" w:rsidR="00572425" w:rsidRPr="00AA76C6" w:rsidRDefault="00572425" w:rsidP="00572425">
      <w:pPr>
        <w:spacing w:after="0" w:line="240" w:lineRule="auto"/>
        <w:ind w:firstLine="284"/>
        <w:jc w:val="both"/>
        <w:rPr>
          <w:rFonts w:ascii="Garamond" w:eastAsia="Times New Roman" w:hAnsi="Garamond" w:cs="Times New Roman"/>
          <w:sz w:val="20"/>
          <w:szCs w:val="20"/>
        </w:rPr>
      </w:pPr>
    </w:p>
    <w:p w14:paraId="3EF4ECCE" w14:textId="791201AA" w:rsidR="00C45AD1" w:rsidRPr="00680A63" w:rsidRDefault="00C45AD1" w:rsidP="00836B83">
      <w:pPr>
        <w:rPr>
          <w:lang w:val="en-US"/>
        </w:rPr>
      </w:pPr>
    </w:p>
    <w:p w14:paraId="36D03A56" w14:textId="7DE42458" w:rsidR="00E57538" w:rsidRPr="00836B83" w:rsidRDefault="00E57538" w:rsidP="00836B83"/>
    <w:sectPr w:rsidR="00E57538" w:rsidRPr="00836B8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A63"/>
    <w:rsid w:val="0009335B"/>
    <w:rsid w:val="000D4873"/>
    <w:rsid w:val="00141494"/>
    <w:rsid w:val="00171FA9"/>
    <w:rsid w:val="0019013A"/>
    <w:rsid w:val="001E5CE1"/>
    <w:rsid w:val="00247205"/>
    <w:rsid w:val="00277FD6"/>
    <w:rsid w:val="00302680"/>
    <w:rsid w:val="003259A8"/>
    <w:rsid w:val="00347996"/>
    <w:rsid w:val="003F2F76"/>
    <w:rsid w:val="00496F29"/>
    <w:rsid w:val="004D5CA6"/>
    <w:rsid w:val="004E1567"/>
    <w:rsid w:val="00520143"/>
    <w:rsid w:val="00565A95"/>
    <w:rsid w:val="00572425"/>
    <w:rsid w:val="00575748"/>
    <w:rsid w:val="005C4A10"/>
    <w:rsid w:val="005F5CD9"/>
    <w:rsid w:val="00600AC8"/>
    <w:rsid w:val="00613F93"/>
    <w:rsid w:val="00666311"/>
    <w:rsid w:val="006665ED"/>
    <w:rsid w:val="00680A63"/>
    <w:rsid w:val="006A2015"/>
    <w:rsid w:val="006E7CF8"/>
    <w:rsid w:val="00836B83"/>
    <w:rsid w:val="00923745"/>
    <w:rsid w:val="009274D6"/>
    <w:rsid w:val="009B52DF"/>
    <w:rsid w:val="009E0443"/>
    <w:rsid w:val="009E66DC"/>
    <w:rsid w:val="009E6E8E"/>
    <w:rsid w:val="00A87268"/>
    <w:rsid w:val="00AC4367"/>
    <w:rsid w:val="00B41531"/>
    <w:rsid w:val="00B456B2"/>
    <w:rsid w:val="00B74C8D"/>
    <w:rsid w:val="00BA404E"/>
    <w:rsid w:val="00C24A2E"/>
    <w:rsid w:val="00C45AD1"/>
    <w:rsid w:val="00C70E94"/>
    <w:rsid w:val="00D622E0"/>
    <w:rsid w:val="00DF3FEE"/>
    <w:rsid w:val="00E453B7"/>
    <w:rsid w:val="00E54C48"/>
    <w:rsid w:val="00E57538"/>
    <w:rsid w:val="00E76832"/>
    <w:rsid w:val="00EB339A"/>
    <w:rsid w:val="00EB5DC7"/>
    <w:rsid w:val="00EC557E"/>
    <w:rsid w:val="00FA04B8"/>
    <w:rsid w:val="00FA21E0"/>
    <w:rsid w:val="00FE21E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ECCE"/>
  <w15:chartTrackingRefBased/>
  <w15:docId w15:val="{D985BCBF-934B-4D55-B59F-DFD1DECF2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1233</Nr_x002e__x0020_akti>
    <Data_x0020_e_x0020_Krijimit xmlns="0e656187-b300-4fb0-8bf4-3a50f872073c">2026-03-24T16:03:36Z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2026-03-24T00:00:00Z</Date_x0020_protokolli>
    <Titulli xmlns="0e656187-b300-4fb0-8bf4-3a50f872073c">Rezolutë për shpalljen e Republikës Islamike të Iranit si shtet sponsor i terrorizimit dhe shtet që përdor mjete terroriste</Titulli>
    <Modifikuesi xmlns="0e656187-b300-4fb0-8bf4-3a50f872073c">ermira.bukaci</Modifikuesi>
    <Nr_x002e__x0020_prot_x0020_QBZ xmlns="0e656187-b300-4fb0-8bf4-3a50f872073c">575/4</Nr_x002e__x0020_prot_x0020_QBZ>
    <Data_x0020_e_x0020_Modifikimit xmlns="0e656187-b300-4fb0-8bf4-3a50f872073c">2026-03-25T10:29:28Z</Data_x0020_e_x0020_Modifikimit>
    <Dekretuar xmlns="0e656187-b300-4fb0-8bf4-3a50f872073c">false</Dekretuar>
    <Data xmlns="0e656187-b300-4fb0-8bf4-3a50f872073c">2026-03-17T00:00:00Z</Data>
    <Nr_x002e__x0020_protokolli_x0020_i_x0020_aktit xmlns="0e656187-b300-4fb0-8bf4-3a50f872073c">1233/1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BD1ABDDC945411999505788A35616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ABD1ABDDC945411999505788A35616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99B7D9-8D90-43C6-AF00-9D1C22EB4A1B}">
  <ds:schemaRefs>
    <ds:schemaRef ds:uri="http://schemas.microsoft.com/office/2006/documentManagement/types"/>
    <ds:schemaRef ds:uri="http://purl.org/dc/elements/1.1/"/>
    <ds:schemaRef ds:uri="http://www.w3.org/XML/1998/namespace"/>
    <ds:schemaRef ds:uri="http://schemas.microsoft.com/office/2006/metadata/properties"/>
    <ds:schemaRef ds:uri="0e656187-b300-4fb0-8bf4-3a50f872073c"/>
    <ds:schemaRef ds:uri="http://schemas.openxmlformats.org/package/2006/metadata/core-properties"/>
    <ds:schemaRef ds:uri="http://purl.org/dc/terms/"/>
    <ds:schemaRef ds:uri="http://purl.org/dc/dcmitype/"/>
  </ds:schemaRefs>
</ds:datastoreItem>
</file>

<file path=customXml/itemProps2.xml><?xml version="1.0" encoding="utf-8"?>
<ds:datastoreItem xmlns:ds="http://schemas.openxmlformats.org/officeDocument/2006/customXml" ds:itemID="{1DC8B7B1-D12B-4267-B5D8-607D592746E2}">
  <ds:schemaRefs>
    <ds:schemaRef ds:uri="http://schemas.microsoft.com/sharepoint/v3/contenttype/forms"/>
  </ds:schemaRefs>
</ds:datastoreItem>
</file>

<file path=customXml/itemProps3.xml><?xml version="1.0" encoding="utf-8"?>
<ds:datastoreItem xmlns:ds="http://schemas.openxmlformats.org/officeDocument/2006/customXml" ds:itemID="{1B482AD5-8707-43C7-A4BF-B2E7EE69E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294EFF5-0C25-49AC-B9FB-BF0D929BF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3CF5719-DFA5-4C84-9E3C-8BC232D441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Rezolutë për shpalljen e Republikës Islamike të Iranit si shtet sponsor i terrorizimit dhe shtet që përdor mjete terroriste</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Rezolutë për shpalljen e Republikës Islamike të Iranit si shtet sponsor i terrorizimit dhe shtet që përdor mjete terroriste</dc:title>
  <dc:creator>Entela Suli</dc:creator>
  <cp:lastModifiedBy>Alma Lisaku</cp:lastModifiedBy>
  <cp:revision>8</cp:revision>
  <dcterms:created xsi:type="dcterms:W3CDTF">2026-03-24T14:33:00Z</dcterms:created>
  <dcterms:modified xsi:type="dcterms:W3CDTF">2026-03-25T10:14:00Z</dcterms:modified>
</cp:coreProperties>
</file>