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2D91" w14:textId="45B04F62" w:rsidR="00493028" w:rsidRPr="00530F0E" w:rsidRDefault="0042060E" w:rsidP="00530F0E">
      <w:pPr>
        <w:spacing w:after="0" w:line="240" w:lineRule="auto"/>
        <w:ind w:firstLine="284"/>
        <w:jc w:val="center"/>
        <w:rPr>
          <w:rFonts w:ascii="Garamond" w:eastAsia="Times New Roman" w:hAnsi="Garamond" w:cs="Times New Roman"/>
          <w:b/>
          <w:sz w:val="24"/>
          <w:szCs w:val="24"/>
        </w:rPr>
      </w:pPr>
      <w:r w:rsidRPr="00530F0E">
        <w:rPr>
          <w:rFonts w:ascii="Garamond" w:eastAsia="Times New Roman" w:hAnsi="Garamond" w:cs="Times New Roman"/>
          <w:b/>
          <w:sz w:val="24"/>
          <w:szCs w:val="24"/>
        </w:rPr>
        <w:t>REZOLUT</w:t>
      </w:r>
      <w:r w:rsidR="007F1C28" w:rsidRPr="00530F0E">
        <w:rPr>
          <w:rFonts w:ascii="Garamond" w:eastAsia="Times New Roman" w:hAnsi="Garamond" w:cs="Times New Roman"/>
          <w:b/>
          <w:sz w:val="24"/>
          <w:szCs w:val="24"/>
        </w:rPr>
        <w:t>Ë</w:t>
      </w:r>
      <w:r w:rsidR="00493028" w:rsidRPr="00530F0E">
        <w:rPr>
          <w:rFonts w:ascii="Garamond" w:eastAsia="Times New Roman" w:hAnsi="Garamond" w:cs="Times New Roman"/>
          <w:b/>
          <w:sz w:val="24"/>
          <w:szCs w:val="24"/>
        </w:rPr>
        <w:t xml:space="preserve"> </w:t>
      </w:r>
    </w:p>
    <w:p w14:paraId="62EF648A" w14:textId="77777777" w:rsidR="007D42B2" w:rsidRPr="00530F0E" w:rsidRDefault="007D42B2" w:rsidP="00530F0E">
      <w:pPr>
        <w:spacing w:after="0" w:line="240" w:lineRule="auto"/>
        <w:ind w:firstLine="284"/>
        <w:jc w:val="center"/>
        <w:rPr>
          <w:rFonts w:ascii="Garamond" w:eastAsia="Times New Roman" w:hAnsi="Garamond" w:cs="Times New Roman"/>
          <w:b/>
          <w:sz w:val="24"/>
          <w:szCs w:val="24"/>
        </w:rPr>
      </w:pPr>
      <w:r w:rsidRPr="00530F0E">
        <w:rPr>
          <w:rFonts w:ascii="Garamond" w:eastAsia="Times New Roman" w:hAnsi="Garamond" w:cs="Times New Roman"/>
          <w:b/>
          <w:sz w:val="24"/>
          <w:szCs w:val="24"/>
        </w:rPr>
        <w:t>PËR VLERËSIMIN E VEPRIMTARISË SË KOMISIONERIT PËR MBIKËQYRJEN E SHËRBIMIT CIVIL PËR VITIN 2025 DHE REKOMANDIMET PËR VITIN 2026</w:t>
      </w:r>
    </w:p>
    <w:p w14:paraId="5DD03D8E" w14:textId="77777777" w:rsidR="00CB677D" w:rsidRPr="00530F0E" w:rsidRDefault="00CB677D" w:rsidP="00530F0E">
      <w:pPr>
        <w:spacing w:after="0" w:line="240" w:lineRule="auto"/>
        <w:ind w:firstLine="284"/>
        <w:jc w:val="both"/>
        <w:rPr>
          <w:rFonts w:ascii="Garamond" w:eastAsia="Times New Roman" w:hAnsi="Garamond" w:cs="Times New Roman"/>
          <w:bCs/>
          <w:sz w:val="24"/>
          <w:szCs w:val="24"/>
        </w:rPr>
      </w:pPr>
    </w:p>
    <w:p w14:paraId="79335A1B" w14:textId="1CB81A28" w:rsidR="007D42B2" w:rsidRPr="00530F0E" w:rsidRDefault="007D42B2" w:rsidP="00530F0E">
      <w:pPr>
        <w:spacing w:after="0" w:line="240" w:lineRule="auto"/>
        <w:ind w:firstLine="284"/>
        <w:jc w:val="both"/>
        <w:rPr>
          <w:rFonts w:ascii="Garamond" w:eastAsia="Times New Roman" w:hAnsi="Garamond" w:cs="Times New Roman"/>
          <w:b/>
          <w:sz w:val="24"/>
          <w:szCs w:val="24"/>
        </w:rPr>
      </w:pPr>
      <w:r w:rsidRPr="00530F0E">
        <w:rPr>
          <w:rFonts w:ascii="Garamond" w:eastAsia="Times New Roman" w:hAnsi="Garamond" w:cs="Times New Roman"/>
          <w:b/>
          <w:sz w:val="24"/>
          <w:szCs w:val="24"/>
        </w:rPr>
        <w:t>Kuvendi i Shqipërisë,</w:t>
      </w:r>
    </w:p>
    <w:p w14:paraId="3006D3A2" w14:textId="0A8ABE05"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Duke vlerësuar rolin e Komisionerit për Mbikëqyrjen e Shërbimit Civil në garantimin e zbatimit të legjislacionit të shërbimit civil dhe mbikëqyrjen e administrimit të shërbimit civil në institucionet publike;</w:t>
      </w:r>
    </w:p>
    <w:p w14:paraId="10F1B38A" w14:textId="65282514"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 xml:space="preserve"> Duke vlerësuar rëndësinë e funksionit mbikëqyrës të këtij institucioni në forcimin e ligjshmërisë, profesionalizmit, transparencës dhe qëndrueshmërisë së administratës publike;</w:t>
      </w:r>
    </w:p>
    <w:p w14:paraId="238165C3" w14:textId="7A5C603D"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 xml:space="preserve"> Duke vlerësuar veprimtarinë e institucionit në drejtim të evidentimit të problematikave që lidhen me zbatimin e procedurave të rekrutimit, masave disiplinore dhe ekzekutimit të vendimeve gjyqësore në shërbimin civil;</w:t>
      </w:r>
    </w:p>
    <w:p w14:paraId="3629BF42" w14:textId="1DC8F96F"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 xml:space="preserve"> Duke vlerësuar kontributin e institucionit në drejtim të rritjes së ndërgjegjësimit të institucioneve publike </w:t>
      </w:r>
      <w:r w:rsidR="0071778F" w:rsidRPr="00530F0E">
        <w:rPr>
          <w:rFonts w:ascii="Garamond" w:eastAsia="Times New Roman" w:hAnsi="Garamond" w:cs="Times New Roman"/>
          <w:bCs/>
          <w:sz w:val="24"/>
          <w:szCs w:val="24"/>
        </w:rPr>
        <w:t>për</w:t>
      </w:r>
      <w:r w:rsidR="007D42B2" w:rsidRPr="00530F0E">
        <w:rPr>
          <w:rFonts w:ascii="Garamond" w:eastAsia="Times New Roman" w:hAnsi="Garamond" w:cs="Times New Roman"/>
          <w:bCs/>
          <w:sz w:val="24"/>
          <w:szCs w:val="24"/>
        </w:rPr>
        <w:t xml:space="preserve"> detyrimet që burojnë nga legjislacioni i shërbimit civil dhe forcimit të standardeve të administrimit publik;</w:t>
      </w:r>
    </w:p>
    <w:p w14:paraId="7A9B2382" w14:textId="59B00508"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Duke vlerësuar bashkëpunimin institucional me Departamentin e Administratës Publike, njësitë e qeverisjes vendore dhe institucionet e tjera publike në funksion të përmirësimit të zbatimit të legjislacionit të shërbimit civil;</w:t>
      </w:r>
    </w:p>
    <w:p w14:paraId="2CAE3EF2" w14:textId="1F6694C2"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Duke vlerësuar rëndësinë e reformës në administratën publike në kuadër të procesit të integrimit evropian dhe nevojën për forcimin e mëtejshëm të mekanizmave të mbikëqyrjes dhe llogaridhënies administrative;</w:t>
      </w:r>
    </w:p>
    <w:p w14:paraId="3BDC2EB9" w14:textId="77777777" w:rsidR="007D42B2" w:rsidRPr="00530F0E" w:rsidRDefault="007D42B2" w:rsidP="00530F0E">
      <w:pPr>
        <w:spacing w:after="0" w:line="240" w:lineRule="auto"/>
        <w:ind w:firstLine="284"/>
        <w:jc w:val="both"/>
        <w:rPr>
          <w:rFonts w:ascii="Garamond" w:eastAsia="Times New Roman" w:hAnsi="Garamond" w:cs="Times New Roman"/>
          <w:b/>
          <w:sz w:val="24"/>
          <w:szCs w:val="24"/>
        </w:rPr>
      </w:pPr>
      <w:r w:rsidRPr="00530F0E">
        <w:rPr>
          <w:rFonts w:ascii="Garamond" w:eastAsia="Times New Roman" w:hAnsi="Garamond" w:cs="Times New Roman"/>
          <w:b/>
          <w:sz w:val="24"/>
          <w:szCs w:val="24"/>
        </w:rPr>
        <w:t>Shqyrtoi veprimtarinë e Komisionerit për Mbikëqyrjen e Shërbimit Civil për vitin 2025 dhe vlerëson:</w:t>
      </w:r>
    </w:p>
    <w:p w14:paraId="5F1ADB87" w14:textId="61350E2C"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Vijimin e ushtrimit të funksionit mbikëqyrës për zbatimin e legjislacionit të shërbimit civil në institucionet e administratës shtetërore dhe njësitë e qeverisjes vendore.</w:t>
      </w:r>
    </w:p>
    <w:p w14:paraId="2464C0F5" w14:textId="44A453F4"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Evidentimin e problematikave që lidhen me procedurat e rekrutimit, lëvizjes paralele, ngritjes në detyrë dhe administrimit të marrëdhënieve të shërbimit civil.</w:t>
      </w:r>
    </w:p>
    <w:p w14:paraId="484B3498" w14:textId="74549647"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Vijimin e monitorimit të zbatimit të vendimeve gjyqësore për rikthimin në detyrë të nëpunësve civilë gjyqfitues dhe evidentimin e problematikave të konstatuara gjatë këtyre proceseve.</w:t>
      </w:r>
    </w:p>
    <w:p w14:paraId="082D90E6" w14:textId="3EAD6580"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Angazhimin në drejtim të forcimit të ligjshmërisë në procedurat disiplinore dhe monitorimit të zbatimit korrekt të masave administrative në institucionet publike.</w:t>
      </w:r>
    </w:p>
    <w:p w14:paraId="571C8DB0" w14:textId="3369894C"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Bashkëpunimin institucional me Departamentin e Administratës Publike dhe institucionet e tjera përgjegjëse në funksion të përmirësimit të zbatimit të legjislacionit të shërbimit civil.</w:t>
      </w:r>
    </w:p>
    <w:p w14:paraId="7D74735F" w14:textId="08D3E049"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Evidentimin e nevojës për forcimin e planifikimit të burimeve njerëzore dhe reduktimin gradual të vendeve vakante në administratën publike.</w:t>
      </w:r>
    </w:p>
    <w:p w14:paraId="777B0CED" w14:textId="6D82B8A7"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Vijimin e rekomandimeve për përmirësimin e procedurave administrative dhe forcimin e standardeve të administrimit të shërbimit civil.</w:t>
      </w:r>
    </w:p>
    <w:p w14:paraId="46ABE565" w14:textId="629C1FE9"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Angazhimin në drejtim të rritjes së transparencës dhe llogaridhënies administrative në institucionet pjesë e shërbimit civil.</w:t>
      </w:r>
    </w:p>
    <w:p w14:paraId="4B8C32ED" w14:textId="67AC1C4E"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Evidentimin e nevojës për forcimin e kapaciteteve profesionale të administratës publike dhe zhvillimin e mëtejshëm të trajnimeve për nëpunësit civilë.</w:t>
      </w:r>
    </w:p>
    <w:p w14:paraId="5C8A82C4" w14:textId="75DCA4C3" w:rsidR="007D42B2" w:rsidRPr="00530F0E" w:rsidRDefault="00530F0E"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 xml:space="preserve"> </w:t>
      </w:r>
      <w:r w:rsidR="007D42B2" w:rsidRPr="00530F0E">
        <w:rPr>
          <w:rFonts w:ascii="Garamond" w:eastAsia="Times New Roman" w:hAnsi="Garamond" w:cs="Times New Roman"/>
          <w:bCs/>
          <w:sz w:val="24"/>
          <w:szCs w:val="24"/>
        </w:rPr>
        <w:t>Kontributin e institucionit në forcimin e administratës publike profesionale, të qëndrueshme dhe të bazuar në meritë, në përputhje me standardet e reformës së administratës publike dhe procesit të integrimit evropian.</w:t>
      </w:r>
    </w:p>
    <w:p w14:paraId="280AEDDB" w14:textId="77777777" w:rsidR="007D42B2" w:rsidRPr="00530F0E" w:rsidRDefault="007D42B2" w:rsidP="00530F0E">
      <w:pPr>
        <w:spacing w:after="0" w:line="240" w:lineRule="auto"/>
        <w:ind w:firstLine="284"/>
        <w:jc w:val="both"/>
        <w:rPr>
          <w:rFonts w:ascii="Garamond" w:eastAsia="Times New Roman" w:hAnsi="Garamond" w:cs="Times New Roman"/>
          <w:b/>
          <w:sz w:val="24"/>
          <w:szCs w:val="24"/>
        </w:rPr>
      </w:pPr>
      <w:r w:rsidRPr="00530F0E">
        <w:rPr>
          <w:rFonts w:ascii="Garamond" w:eastAsia="Times New Roman" w:hAnsi="Garamond" w:cs="Times New Roman"/>
          <w:b/>
          <w:sz w:val="24"/>
          <w:szCs w:val="24"/>
        </w:rPr>
        <w:t xml:space="preserve">Kuvendi i Shqipërisë kërkon që Komisioneri për Mbikëqyrjen e Shërbimit Civil për vitin 2026, në përmbushje të detyrave të ngarkuara me ligj, të angazhohet veçanërisht edhe në këto drejtime: </w:t>
      </w:r>
    </w:p>
    <w:p w14:paraId="16C4CD2D" w14:textId="35C3573D"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w:t>
      </w:r>
      <w:r w:rsidR="00396B32"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 xml:space="preserve">Të zhvillojë dhe konsolidojë mekanizma të monitorimit të vazhdueshëm dhe në kohë reale për zbatimin e ligjit nr. 152/2013 “Për nëpunësin civil”, </w:t>
      </w:r>
      <w:r w:rsidR="00901B32" w:rsidRPr="00530F0E">
        <w:rPr>
          <w:rFonts w:ascii="Garamond" w:eastAsia="Times New Roman" w:hAnsi="Garamond" w:cs="Times New Roman"/>
          <w:bCs/>
          <w:sz w:val="24"/>
          <w:szCs w:val="24"/>
        </w:rPr>
        <w:t>i</w:t>
      </w:r>
      <w:r w:rsidRPr="00530F0E">
        <w:rPr>
          <w:rFonts w:ascii="Garamond" w:eastAsia="Times New Roman" w:hAnsi="Garamond" w:cs="Times New Roman"/>
          <w:bCs/>
          <w:sz w:val="24"/>
          <w:szCs w:val="24"/>
        </w:rPr>
        <w:t xml:space="preserve"> ndryshuar, në institucionet e administratës shtetërore, njësitë e vetëqeverisjes vendore dhe institucionet e pavarura pjesë e sistemit të shërbimit civil.</w:t>
      </w:r>
    </w:p>
    <w:p w14:paraId="170005A7" w14:textId="7464BFB1"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2.</w:t>
      </w:r>
      <w:r w:rsidR="00396B32"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përfundojë ngritjen dhe funksionalizimin e platformave digjitale për monitorimin e treguesve të shërbimit civil, raportimin e shkeljeve, administrimin e ankesave dhe identifikimin e hershëm të rasteve të mosrespektimit të legjislacionit, duke mundësuar raportimin automatik të të dhënave nga institucionet publike.</w:t>
      </w:r>
    </w:p>
    <w:p w14:paraId="76E58406" w14:textId="1BE88AFE"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lastRenderedPageBreak/>
        <w:t>3.</w:t>
      </w:r>
      <w:r w:rsidR="00396B32"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 xml:space="preserve">Të hartojë dhe publikojë një raport vjetor analitik </w:t>
      </w:r>
      <w:r w:rsidR="00A23C7D" w:rsidRPr="00530F0E">
        <w:rPr>
          <w:rFonts w:ascii="Garamond" w:eastAsia="Times New Roman" w:hAnsi="Garamond" w:cs="Times New Roman"/>
          <w:bCs/>
          <w:sz w:val="24"/>
          <w:szCs w:val="24"/>
        </w:rPr>
        <w:t>për</w:t>
      </w:r>
      <w:r w:rsidRPr="00530F0E">
        <w:rPr>
          <w:rFonts w:ascii="Garamond" w:eastAsia="Times New Roman" w:hAnsi="Garamond" w:cs="Times New Roman"/>
          <w:bCs/>
          <w:sz w:val="24"/>
          <w:szCs w:val="24"/>
        </w:rPr>
        <w:t xml:space="preserve"> nivelin e zbatimit të legjislacionit të shërbimit civil, duke evidentuar institucionet me shkelje të përsëritura, masat e ndërmarra, rezultatet e arritura dhe rekomandimet përkatëse për institucionet përgjegjëse.</w:t>
      </w:r>
    </w:p>
    <w:p w14:paraId="5E06C866" w14:textId="2D0E9EC9"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4.</w:t>
      </w:r>
      <w:r w:rsidR="005866CC"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 xml:space="preserve">Të përmbyllë hartimin e raportit analitik </w:t>
      </w:r>
      <w:r w:rsidR="005866CC" w:rsidRPr="00530F0E">
        <w:rPr>
          <w:rFonts w:ascii="Garamond" w:eastAsia="Times New Roman" w:hAnsi="Garamond" w:cs="Times New Roman"/>
          <w:bCs/>
          <w:sz w:val="24"/>
          <w:szCs w:val="24"/>
        </w:rPr>
        <w:t>për</w:t>
      </w:r>
      <w:r w:rsidRPr="00530F0E">
        <w:rPr>
          <w:rFonts w:ascii="Garamond" w:eastAsia="Times New Roman" w:hAnsi="Garamond" w:cs="Times New Roman"/>
          <w:bCs/>
          <w:sz w:val="24"/>
          <w:szCs w:val="24"/>
        </w:rPr>
        <w:t xml:space="preserve"> kostot financiare që i shkaktohen buxhetit të shtetit nga emërimet në kundërshtim me ligjin dhe nga vendimet gjyqësore të paekzekutuara për institucionet e administratës shtetërore, njësitë e vetëqeverisjes vendore dhe institucionet e pavarura pjesë e sistemit të shërbimit civil.</w:t>
      </w:r>
    </w:p>
    <w:p w14:paraId="4542D263" w14:textId="4032BBD1"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5.</w:t>
      </w:r>
      <w:r w:rsidR="005866CC"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përdorë në mënyrë të plotë mekanizmat ligjorë për rastet e moszbatimit ose zbatimit të pjesshëm të vendimeve të Komisionerit, duke forcuar metodologjinë e mbikëqyrjes dhe duke rritur efektivitetin e kontrollit administrativ.</w:t>
      </w:r>
    </w:p>
    <w:p w14:paraId="2F8DF7EF" w14:textId="755C2195"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6.</w:t>
      </w:r>
      <w:r w:rsidR="005866CC"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rrisë efektivitetin e mbikëqyrjes përmes zgjerimit të inspektimeve të bazuara në analizën e riskut dhe identifikimin e sektorëve apo institucioneve me problematika të përsëritura në administrimin e shërbimit civil duke propozuar masa konkrete për parandalimin e përsëritjes së tyre.</w:t>
      </w:r>
    </w:p>
    <w:p w14:paraId="746D48BD" w14:textId="5B8BD25E"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7.</w:t>
      </w:r>
      <w:r w:rsidR="00AC3642"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marrë pjesë aktive në proceset e reformimit të administratës publike dhe në diskutimet për ndryshimet ligjore që prekin sistemin e shërbimit civil, duke paraqitur propozime konkrete për përmirësimin e mekanizmave të mbikëqyrjes dhe rritjen e nivelit të zbatimit të legjislacionit.</w:t>
      </w:r>
    </w:p>
    <w:p w14:paraId="1F8C6E5A" w14:textId="1FF3F280"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8.</w:t>
      </w:r>
      <w:r w:rsidR="007109B6"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 xml:space="preserve">Të finalizojë hartimin dhe miratimin e </w:t>
      </w:r>
      <w:r w:rsidR="007109B6" w:rsidRPr="00530F0E">
        <w:rPr>
          <w:rFonts w:ascii="Garamond" w:eastAsia="Times New Roman" w:hAnsi="Garamond" w:cs="Times New Roman"/>
          <w:bCs/>
          <w:sz w:val="24"/>
          <w:szCs w:val="24"/>
        </w:rPr>
        <w:t>s</w:t>
      </w:r>
      <w:r w:rsidRPr="00530F0E">
        <w:rPr>
          <w:rFonts w:ascii="Garamond" w:eastAsia="Times New Roman" w:hAnsi="Garamond" w:cs="Times New Roman"/>
          <w:bCs/>
          <w:sz w:val="24"/>
          <w:szCs w:val="24"/>
        </w:rPr>
        <w:t xml:space="preserve">trategjisë </w:t>
      </w:r>
      <w:r w:rsidR="007109B6" w:rsidRPr="00530F0E">
        <w:rPr>
          <w:rFonts w:ascii="Garamond" w:eastAsia="Times New Roman" w:hAnsi="Garamond" w:cs="Times New Roman"/>
          <w:bCs/>
          <w:sz w:val="24"/>
          <w:szCs w:val="24"/>
        </w:rPr>
        <w:t>a</w:t>
      </w:r>
      <w:r w:rsidRPr="00530F0E">
        <w:rPr>
          <w:rFonts w:ascii="Garamond" w:eastAsia="Times New Roman" w:hAnsi="Garamond" w:cs="Times New Roman"/>
          <w:bCs/>
          <w:sz w:val="24"/>
          <w:szCs w:val="24"/>
        </w:rPr>
        <w:t xml:space="preserve">fatmesme të </w:t>
      </w:r>
      <w:r w:rsidR="007109B6" w:rsidRPr="00530F0E">
        <w:rPr>
          <w:rFonts w:ascii="Garamond" w:eastAsia="Times New Roman" w:hAnsi="Garamond" w:cs="Times New Roman"/>
          <w:bCs/>
          <w:sz w:val="24"/>
          <w:szCs w:val="24"/>
        </w:rPr>
        <w:t>i</w:t>
      </w:r>
      <w:r w:rsidRPr="00530F0E">
        <w:rPr>
          <w:rFonts w:ascii="Garamond" w:eastAsia="Times New Roman" w:hAnsi="Garamond" w:cs="Times New Roman"/>
          <w:bCs/>
          <w:sz w:val="24"/>
          <w:szCs w:val="24"/>
        </w:rPr>
        <w:t>nstitucionit për periudhën 2026–2030, duke përcaktuar objektiva të matsh</w:t>
      </w:r>
      <w:r w:rsidR="007109B6" w:rsidRPr="00530F0E">
        <w:rPr>
          <w:rFonts w:ascii="Garamond" w:eastAsia="Times New Roman" w:hAnsi="Garamond" w:cs="Times New Roman"/>
          <w:bCs/>
          <w:sz w:val="24"/>
          <w:szCs w:val="24"/>
        </w:rPr>
        <w:t>ë</w:t>
      </w:r>
      <w:r w:rsidRPr="00530F0E">
        <w:rPr>
          <w:rFonts w:ascii="Garamond" w:eastAsia="Times New Roman" w:hAnsi="Garamond" w:cs="Times New Roman"/>
          <w:bCs/>
          <w:sz w:val="24"/>
          <w:szCs w:val="24"/>
        </w:rPr>
        <w:t>m dhe tregues performance për ushtrimin e funksioneve mbikëqyrëse.</w:t>
      </w:r>
    </w:p>
    <w:p w14:paraId="6972378D" w14:textId="1B526920"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9.</w:t>
      </w:r>
      <w:r w:rsidR="007109B6"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forcojë rolin e institucionit në unifikimin e praktikave administrative dhe hartimin e metodologjive standarde, me qëllim reduktimin e interpretimeve të ndryshme dhe garantimin e zbatimit të njëtrajtshëm të legjislacionit në të gjitha institucionet.</w:t>
      </w:r>
    </w:p>
    <w:p w14:paraId="5DCA19A7" w14:textId="0790E32A"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10.</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intensifikojë monitorimin e procedurave të rekrutimit në administratën publike, përfshirë monitorimin periodik të praktikave të ndjekura nga Departamenti i Administratës Publike dhe njësitë e vetëqeverisjes vendore, me qëllim rritjen e efikasitetit të procedurave dhe reduktimin e vendeve vakante.</w:t>
      </w:r>
    </w:p>
    <w:p w14:paraId="2D46F80E" w14:textId="0A1F07D3"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11.</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vijojë monitorimin e zbatimit të vendimeve gjyqësore për rikthimin në detyrë të nëpunësve civilë, veçanërisht në njësitë e vetëqeverisjes vendore, duke evidentuar rastet e përsëritura të moszbatimit ose vonesave në ekzekutim, ndikimin financiar që ato sjellin për buxhetin e shtetit, si dhe duke forcuar bashkëpunimin institucional për garantimin e zbatimit efektiv dhe në kohë të tyre.</w:t>
      </w:r>
    </w:p>
    <w:p w14:paraId="16A70981" w14:textId="207D7C92"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12.</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 xml:space="preserve">Të hartojë një raport përmbledhës </w:t>
      </w:r>
      <w:r w:rsidR="009D2910" w:rsidRPr="00530F0E">
        <w:rPr>
          <w:rFonts w:ascii="Garamond" w:eastAsia="Times New Roman" w:hAnsi="Garamond" w:cs="Times New Roman"/>
          <w:bCs/>
          <w:sz w:val="24"/>
          <w:szCs w:val="24"/>
        </w:rPr>
        <w:t>për</w:t>
      </w:r>
      <w:r w:rsidRPr="00530F0E">
        <w:rPr>
          <w:rFonts w:ascii="Garamond" w:eastAsia="Times New Roman" w:hAnsi="Garamond" w:cs="Times New Roman"/>
          <w:bCs/>
          <w:sz w:val="24"/>
          <w:szCs w:val="24"/>
        </w:rPr>
        <w:t xml:space="preserve"> problematikat që lidhen me përfundimin e marrëdhënieve të shërbimit civil për shkak të ligjit, përfshirë rastet e daljes në pension, duke evidentuar ndikimin e tyre në administrimin e burimeve njerëzore në institucionet publike.</w:t>
      </w:r>
    </w:p>
    <w:p w14:paraId="21245A3B" w14:textId="44E2CC4E"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13.</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Në bashkëpunim me Departamentin e Administratës Publike dhe institucionet e pushtetit vendor të organizojë programe trajnimi, aktivitete ndërgjegjësuese dhe shkëmbim praktikash më të mira për zbatimin e legjislacionit të shërbimit civil.</w:t>
      </w:r>
    </w:p>
    <w:p w14:paraId="0AA63E09" w14:textId="51B7C310"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14.</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konsolidojë monitorimet tematike para dhe pas periudhave zgjedhore, duke zbatuar metodologji të posaçme mbikëqyrjeje dhe duke marrë masa paraprake për informimin e institucioneve lidhur me detyrimet ligjore të nëpunësve civilë gjatë proceseve zgjedhore, me qëllim garantimin e paanshmërisë politike dhe profesionalizmit të administratës publike.</w:t>
      </w:r>
    </w:p>
    <w:p w14:paraId="26A6A661" w14:textId="054E6A93"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15.</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 xml:space="preserve">Të kryejë një analizë të plotë </w:t>
      </w:r>
      <w:r w:rsidR="00883016" w:rsidRPr="00530F0E">
        <w:rPr>
          <w:rFonts w:ascii="Garamond" w:eastAsia="Times New Roman" w:hAnsi="Garamond" w:cs="Times New Roman"/>
          <w:bCs/>
          <w:sz w:val="24"/>
          <w:szCs w:val="24"/>
        </w:rPr>
        <w:t>për</w:t>
      </w:r>
      <w:r w:rsidRPr="00530F0E">
        <w:rPr>
          <w:rFonts w:ascii="Garamond" w:eastAsia="Times New Roman" w:hAnsi="Garamond" w:cs="Times New Roman"/>
          <w:bCs/>
          <w:sz w:val="24"/>
          <w:szCs w:val="24"/>
        </w:rPr>
        <w:t xml:space="preserve"> efektivitetin e mekanizmave aktualë të shqyrtimit dhe zgjidhjes së mosmarrëveshjeve në fushën e shërbimit civil, duke paraqitur pranë Kuvendit rekomandime konkrete për përmirësime ligjore dhe institucionale.</w:t>
      </w:r>
    </w:p>
    <w:p w14:paraId="6249992C" w14:textId="4474A750"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16.</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vijoj</w:t>
      </w:r>
      <w:r w:rsidR="00883016" w:rsidRPr="00530F0E">
        <w:rPr>
          <w:rFonts w:ascii="Garamond" w:eastAsia="Times New Roman" w:hAnsi="Garamond" w:cs="Times New Roman"/>
          <w:bCs/>
          <w:sz w:val="24"/>
          <w:szCs w:val="24"/>
        </w:rPr>
        <w:t>ë</w:t>
      </w:r>
      <w:r w:rsidRPr="00530F0E">
        <w:rPr>
          <w:rFonts w:ascii="Garamond" w:eastAsia="Times New Roman" w:hAnsi="Garamond" w:cs="Times New Roman"/>
          <w:bCs/>
          <w:sz w:val="24"/>
          <w:szCs w:val="24"/>
        </w:rPr>
        <w:t xml:space="preserve"> t</w:t>
      </w:r>
      <w:r w:rsidR="00883016" w:rsidRPr="00530F0E">
        <w:rPr>
          <w:rFonts w:ascii="Garamond" w:eastAsia="Times New Roman" w:hAnsi="Garamond" w:cs="Times New Roman"/>
          <w:bCs/>
          <w:sz w:val="24"/>
          <w:szCs w:val="24"/>
        </w:rPr>
        <w:t>ë</w:t>
      </w:r>
      <w:r w:rsidRPr="00530F0E">
        <w:rPr>
          <w:rFonts w:ascii="Garamond" w:eastAsia="Times New Roman" w:hAnsi="Garamond" w:cs="Times New Roman"/>
          <w:bCs/>
          <w:sz w:val="24"/>
          <w:szCs w:val="24"/>
        </w:rPr>
        <w:t xml:space="preserve"> kryejë vlerësime periodike të strukturës organizative, burimeve njerëzore dhe kapaciteteve institucionale të Komisionerit të Mbikëqyrjes së Shërbimit Civil, duke paraqitur pranë institucioneve përgjegjëse propozime për riorganizim dhe fuqizim institucional sipas nevojave të evidentuara.</w:t>
      </w:r>
    </w:p>
    <w:p w14:paraId="3C862731" w14:textId="1C765A19"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17.</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Në bashkëpunim me Departamentin e Administratës Publike, institucionet e pushtetit vendor, institucionet e pavarura dhe ato të krijuara me ligj,</w:t>
      </w:r>
      <w:r w:rsidR="007E3777"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fillojnë punën për unifikimin e pozicioneve të shërbimit civil, duke evidentuar pengesat ekzistuese dhe duke propozuar masa konkrete ligjore për harmonizimin e tyre, me qëllim garantimin e lëvizshmërisë ndërinstitucionale  dhe administrimin e njëtrajtshëm të burimeve njerëzore në shërbimin civil.</w:t>
      </w:r>
    </w:p>
    <w:p w14:paraId="019A6676" w14:textId="44010A1C"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lastRenderedPageBreak/>
        <w:t>18.</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vijojë bashkëpunimin me partnerët ndërkombëtarë dhe institucionet homologe, me qëllim shkëmbimin e përvojave dhe përvetësimin e standardeve më të mira në fushën e mbikëqyrjes së shërbimit</w:t>
      </w:r>
    </w:p>
    <w:p w14:paraId="1B596050" w14:textId="14623B7C" w:rsidR="007D42B2"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19.</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Të forcojë transparencën dhe llogaridhënien institucionale përmes publikimit proaktiv dhe të përditësuar të informacionit publik, fuqizimit të kapaciteteve të strukturave përgjegjëse për të drejtën e informimit, si dhe promovimit të standardeve të të dhënave të hapura për të garantuar aksesueshmëri, ripërdorim dhe komunikim efektiv me publikun.</w:t>
      </w:r>
    </w:p>
    <w:p w14:paraId="18089A2B" w14:textId="26D4963B" w:rsidR="0042060E" w:rsidRPr="00530F0E" w:rsidRDefault="007D42B2" w:rsidP="00530F0E">
      <w:pPr>
        <w:spacing w:after="0" w:line="240" w:lineRule="auto"/>
        <w:ind w:firstLine="284"/>
        <w:jc w:val="both"/>
        <w:rPr>
          <w:rFonts w:ascii="Garamond" w:eastAsia="Times New Roman" w:hAnsi="Garamond" w:cs="Times New Roman"/>
          <w:bCs/>
          <w:sz w:val="24"/>
          <w:szCs w:val="24"/>
        </w:rPr>
      </w:pPr>
      <w:r w:rsidRPr="00530F0E">
        <w:rPr>
          <w:rFonts w:ascii="Garamond" w:eastAsia="Times New Roman" w:hAnsi="Garamond" w:cs="Times New Roman"/>
          <w:bCs/>
          <w:sz w:val="24"/>
          <w:szCs w:val="24"/>
        </w:rPr>
        <w:t>20.</w:t>
      </w:r>
      <w:r w:rsidR="00530F0E" w:rsidRPr="00530F0E">
        <w:rPr>
          <w:rFonts w:ascii="Garamond" w:eastAsia="Times New Roman" w:hAnsi="Garamond" w:cs="Times New Roman"/>
          <w:bCs/>
          <w:sz w:val="24"/>
          <w:szCs w:val="24"/>
        </w:rPr>
        <w:t xml:space="preserve"> </w:t>
      </w:r>
      <w:r w:rsidRPr="00530F0E">
        <w:rPr>
          <w:rFonts w:ascii="Garamond" w:eastAsia="Times New Roman" w:hAnsi="Garamond" w:cs="Times New Roman"/>
          <w:bCs/>
          <w:sz w:val="24"/>
          <w:szCs w:val="24"/>
        </w:rPr>
        <w:t xml:space="preserve">Të bashkëpunojë me strukturat përgjegjëse të Kuvendit të Shqipërisë për zhvillimin dhe konsolidimin e metodologjisë të standardizuar të treguesve kyç të perfomancës si bazë për monitorimin dhe vlerësimin  e zbatimit të rekomandimeve  të </w:t>
      </w:r>
      <w:r w:rsidR="001A46B3" w:rsidRPr="00530F0E">
        <w:rPr>
          <w:rFonts w:ascii="Garamond" w:eastAsia="Times New Roman" w:hAnsi="Garamond" w:cs="Times New Roman"/>
          <w:bCs/>
          <w:sz w:val="24"/>
          <w:szCs w:val="24"/>
        </w:rPr>
        <w:t>r</w:t>
      </w:r>
      <w:r w:rsidRPr="00530F0E">
        <w:rPr>
          <w:rFonts w:ascii="Garamond" w:eastAsia="Times New Roman" w:hAnsi="Garamond" w:cs="Times New Roman"/>
          <w:bCs/>
          <w:sz w:val="24"/>
          <w:szCs w:val="24"/>
        </w:rPr>
        <w:t xml:space="preserve">ezolutës </w:t>
      </w:r>
      <w:r w:rsidR="001A46B3" w:rsidRPr="00530F0E">
        <w:rPr>
          <w:rFonts w:ascii="Garamond" w:eastAsia="Times New Roman" w:hAnsi="Garamond" w:cs="Times New Roman"/>
          <w:bCs/>
          <w:sz w:val="24"/>
          <w:szCs w:val="24"/>
        </w:rPr>
        <w:t>s</w:t>
      </w:r>
      <w:r w:rsidRPr="00530F0E">
        <w:rPr>
          <w:rFonts w:ascii="Garamond" w:eastAsia="Times New Roman" w:hAnsi="Garamond" w:cs="Times New Roman"/>
          <w:bCs/>
          <w:sz w:val="24"/>
          <w:szCs w:val="24"/>
        </w:rPr>
        <w:t>ë Kuvendit  në funksion të llogaridhënies dhe mbikëqyrjes parlamentare. Ky angazhim të përmbushet brenda tremujorit të tretë të këtij viti.</w:t>
      </w:r>
    </w:p>
    <w:p w14:paraId="223E537C" w14:textId="77777777" w:rsidR="004F27C5" w:rsidRPr="00530F0E" w:rsidRDefault="004F27C5" w:rsidP="00530F0E">
      <w:pPr>
        <w:spacing w:after="0" w:line="240" w:lineRule="auto"/>
        <w:ind w:firstLine="284"/>
        <w:jc w:val="both"/>
        <w:rPr>
          <w:rFonts w:ascii="Garamond" w:hAnsi="Garamond" w:cs="Times New Roman"/>
          <w:sz w:val="24"/>
          <w:szCs w:val="24"/>
        </w:rPr>
      </w:pPr>
      <w:bookmarkStart w:id="0" w:name="_GoBack"/>
      <w:bookmarkEnd w:id="0"/>
    </w:p>
    <w:p w14:paraId="221649EC" w14:textId="7957394E" w:rsidR="00EB62DE" w:rsidRPr="00530F0E" w:rsidRDefault="00A755F6" w:rsidP="00530F0E">
      <w:pPr>
        <w:spacing w:after="0" w:line="240" w:lineRule="auto"/>
        <w:ind w:firstLine="284"/>
        <w:jc w:val="both"/>
        <w:rPr>
          <w:rFonts w:ascii="Garamond" w:hAnsi="Garamond" w:cs="Times New Roman"/>
          <w:sz w:val="24"/>
          <w:szCs w:val="24"/>
        </w:rPr>
      </w:pPr>
      <w:r w:rsidRPr="00530F0E">
        <w:rPr>
          <w:rFonts w:ascii="Garamond" w:hAnsi="Garamond" w:cs="Times New Roman"/>
          <w:sz w:val="24"/>
          <w:szCs w:val="24"/>
        </w:rPr>
        <w:t xml:space="preserve">Miratuar në datën </w:t>
      </w:r>
      <w:r w:rsidR="00D10C40" w:rsidRPr="00530F0E">
        <w:rPr>
          <w:rFonts w:ascii="Garamond" w:hAnsi="Garamond" w:cs="Times New Roman"/>
          <w:sz w:val="24"/>
          <w:szCs w:val="24"/>
        </w:rPr>
        <w:t>30.6</w:t>
      </w:r>
      <w:r w:rsidR="00181D50" w:rsidRPr="00530F0E">
        <w:rPr>
          <w:rFonts w:ascii="Garamond" w:hAnsi="Garamond" w:cs="Times New Roman"/>
          <w:sz w:val="24"/>
          <w:szCs w:val="24"/>
        </w:rPr>
        <w:t>.</w:t>
      </w:r>
      <w:r w:rsidR="003C57D3" w:rsidRPr="00530F0E">
        <w:rPr>
          <w:rFonts w:ascii="Garamond" w:hAnsi="Garamond" w:cs="Times New Roman"/>
          <w:sz w:val="24"/>
          <w:szCs w:val="24"/>
        </w:rPr>
        <w:t>202</w:t>
      </w:r>
      <w:r w:rsidR="00275863" w:rsidRPr="00530F0E">
        <w:rPr>
          <w:rFonts w:ascii="Garamond" w:hAnsi="Garamond" w:cs="Times New Roman"/>
          <w:sz w:val="24"/>
          <w:szCs w:val="24"/>
        </w:rPr>
        <w:t>6</w:t>
      </w:r>
    </w:p>
    <w:p w14:paraId="05A8005D" w14:textId="77777777" w:rsidR="00841A15" w:rsidRPr="00530F0E" w:rsidRDefault="00841A15" w:rsidP="00530F0E">
      <w:pPr>
        <w:spacing w:after="0" w:line="240" w:lineRule="auto"/>
        <w:ind w:firstLine="284"/>
        <w:rPr>
          <w:rFonts w:ascii="Garamond" w:eastAsia="Times New Roman" w:hAnsi="Garamond" w:cs="Times New Roman"/>
          <w:sz w:val="24"/>
          <w:szCs w:val="24"/>
        </w:rPr>
      </w:pPr>
    </w:p>
    <w:p w14:paraId="507F8089" w14:textId="77777777" w:rsidR="00530F0E" w:rsidRPr="00530F0E" w:rsidRDefault="00530F0E" w:rsidP="00530F0E">
      <w:pPr>
        <w:spacing w:after="0" w:line="240" w:lineRule="auto"/>
        <w:ind w:firstLine="284"/>
        <w:jc w:val="right"/>
        <w:rPr>
          <w:rFonts w:ascii="Garamond" w:eastAsia="MS Mincho" w:hAnsi="Garamond" w:cs="Times New Roman"/>
          <w:sz w:val="24"/>
          <w:szCs w:val="24"/>
        </w:rPr>
      </w:pPr>
      <w:r w:rsidRPr="00530F0E">
        <w:rPr>
          <w:rFonts w:ascii="Garamond" w:eastAsia="MS Mincho" w:hAnsi="Garamond" w:cs="Times New Roman"/>
          <w:sz w:val="24"/>
          <w:szCs w:val="24"/>
        </w:rPr>
        <w:t xml:space="preserve">KRYETAR </w:t>
      </w:r>
    </w:p>
    <w:p w14:paraId="4672DF96" w14:textId="77777777" w:rsidR="00530F0E" w:rsidRPr="00530F0E" w:rsidRDefault="00530F0E" w:rsidP="00530F0E">
      <w:pPr>
        <w:spacing w:after="0" w:line="240" w:lineRule="auto"/>
        <w:ind w:firstLine="284"/>
        <w:jc w:val="right"/>
        <w:rPr>
          <w:rFonts w:ascii="Garamond" w:eastAsia="MS Mincho" w:hAnsi="Garamond" w:cs="Times New Roman"/>
          <w:b/>
          <w:bCs/>
          <w:sz w:val="24"/>
          <w:szCs w:val="24"/>
        </w:rPr>
      </w:pPr>
      <w:r w:rsidRPr="00530F0E">
        <w:rPr>
          <w:rFonts w:ascii="Garamond" w:eastAsia="MS Mincho" w:hAnsi="Garamond" w:cs="Times New Roman"/>
          <w:b/>
          <w:bCs/>
          <w:sz w:val="24"/>
          <w:szCs w:val="24"/>
        </w:rPr>
        <w:t>Niko Peleshi</w:t>
      </w:r>
    </w:p>
    <w:p w14:paraId="1B441005" w14:textId="77777777" w:rsidR="00841A15" w:rsidRPr="00530F0E" w:rsidRDefault="00841A15" w:rsidP="00530F0E">
      <w:pPr>
        <w:spacing w:after="0" w:line="240" w:lineRule="auto"/>
        <w:ind w:firstLine="284"/>
        <w:rPr>
          <w:rFonts w:ascii="Garamond" w:eastAsia="Times New Roman" w:hAnsi="Garamond" w:cs="Times New Roman"/>
          <w:sz w:val="24"/>
          <w:szCs w:val="24"/>
        </w:rPr>
      </w:pPr>
    </w:p>
    <w:p w14:paraId="328FB015" w14:textId="77777777" w:rsidR="003C57D3" w:rsidRPr="00530F0E" w:rsidRDefault="003C57D3" w:rsidP="00530F0E">
      <w:pPr>
        <w:spacing w:after="0" w:line="240" w:lineRule="auto"/>
        <w:ind w:firstLine="284"/>
        <w:rPr>
          <w:rFonts w:ascii="Garamond" w:eastAsia="Times New Roman" w:hAnsi="Garamond" w:cs="Times New Roman"/>
          <w:sz w:val="24"/>
          <w:szCs w:val="24"/>
        </w:rPr>
      </w:pPr>
    </w:p>
    <w:p w14:paraId="3E9909DF" w14:textId="77777777" w:rsidR="0079748A" w:rsidRPr="00530F0E" w:rsidRDefault="0079748A" w:rsidP="00530F0E">
      <w:pPr>
        <w:spacing w:after="0" w:line="240" w:lineRule="auto"/>
        <w:ind w:firstLine="284"/>
        <w:rPr>
          <w:rFonts w:ascii="Garamond" w:eastAsia="Times New Roman" w:hAnsi="Garamond" w:cs="Times New Roman"/>
          <w:sz w:val="24"/>
          <w:szCs w:val="24"/>
        </w:rPr>
      </w:pPr>
    </w:p>
    <w:sectPr w:rsidR="0079748A" w:rsidRPr="00530F0E" w:rsidSect="00CD4623">
      <w:footerReference w:type="default" r:id="rId13"/>
      <w:pgSz w:w="11907" w:h="16840" w:code="9"/>
      <w:pgMar w:top="990" w:right="1440" w:bottom="2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D847B" w14:textId="77777777" w:rsidR="002B09F2" w:rsidRDefault="002B09F2" w:rsidP="00C86383">
      <w:pPr>
        <w:spacing w:after="0" w:line="240" w:lineRule="auto"/>
      </w:pPr>
      <w:r>
        <w:separator/>
      </w:r>
    </w:p>
  </w:endnote>
  <w:endnote w:type="continuationSeparator" w:id="0">
    <w:p w14:paraId="4BA69FAC" w14:textId="77777777" w:rsidR="002B09F2" w:rsidRDefault="002B09F2" w:rsidP="00C86383">
      <w:pPr>
        <w:spacing w:after="0" w:line="240" w:lineRule="auto"/>
      </w:pPr>
      <w:r>
        <w:continuationSeparator/>
      </w:r>
    </w:p>
  </w:endnote>
  <w:endnote w:type="continuationNotice" w:id="1">
    <w:p w14:paraId="4AC7C20A" w14:textId="77777777" w:rsidR="00A57C39" w:rsidRDefault="00A57C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315C39D" w:rsidR="002B09F2" w:rsidRPr="00E7684C" w:rsidRDefault="002B09F2">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2B09F2" w:rsidRDefault="002B0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1AFA66" w14:textId="77777777" w:rsidR="002B09F2" w:rsidRDefault="002B09F2" w:rsidP="00C86383">
      <w:pPr>
        <w:spacing w:after="0" w:line="240" w:lineRule="auto"/>
      </w:pPr>
      <w:r>
        <w:separator/>
      </w:r>
    </w:p>
  </w:footnote>
  <w:footnote w:type="continuationSeparator" w:id="0">
    <w:p w14:paraId="798CB757" w14:textId="77777777" w:rsidR="002B09F2" w:rsidRDefault="002B09F2" w:rsidP="00C86383">
      <w:pPr>
        <w:spacing w:after="0" w:line="240" w:lineRule="auto"/>
      </w:pPr>
      <w:r>
        <w:continuationSeparator/>
      </w:r>
    </w:p>
  </w:footnote>
  <w:footnote w:type="continuationNotice" w:id="1">
    <w:p w14:paraId="4DABBA55" w14:textId="77777777" w:rsidR="00A57C39" w:rsidRDefault="00A57C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3BBF"/>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37E73"/>
    <w:rsid w:val="00044096"/>
    <w:rsid w:val="00044C1F"/>
    <w:rsid w:val="00051513"/>
    <w:rsid w:val="00055B91"/>
    <w:rsid w:val="0005725B"/>
    <w:rsid w:val="00062B6C"/>
    <w:rsid w:val="00062F7F"/>
    <w:rsid w:val="00066E7F"/>
    <w:rsid w:val="0007298B"/>
    <w:rsid w:val="00073681"/>
    <w:rsid w:val="00082B98"/>
    <w:rsid w:val="00083230"/>
    <w:rsid w:val="00091EE7"/>
    <w:rsid w:val="000A08B2"/>
    <w:rsid w:val="000A0B41"/>
    <w:rsid w:val="000A2A7E"/>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1D50"/>
    <w:rsid w:val="00184409"/>
    <w:rsid w:val="001858C3"/>
    <w:rsid w:val="00191634"/>
    <w:rsid w:val="001A46B3"/>
    <w:rsid w:val="001A79AF"/>
    <w:rsid w:val="001B134B"/>
    <w:rsid w:val="001B6D41"/>
    <w:rsid w:val="001B7CF3"/>
    <w:rsid w:val="001C1147"/>
    <w:rsid w:val="001E2085"/>
    <w:rsid w:val="001E3542"/>
    <w:rsid w:val="001F4CD5"/>
    <w:rsid w:val="00201F43"/>
    <w:rsid w:val="00202011"/>
    <w:rsid w:val="0020553B"/>
    <w:rsid w:val="002063FE"/>
    <w:rsid w:val="002129CF"/>
    <w:rsid w:val="00215C02"/>
    <w:rsid w:val="002176D7"/>
    <w:rsid w:val="002202CB"/>
    <w:rsid w:val="00223BB0"/>
    <w:rsid w:val="0022618D"/>
    <w:rsid w:val="0023031A"/>
    <w:rsid w:val="002359AF"/>
    <w:rsid w:val="00237CB2"/>
    <w:rsid w:val="00240E91"/>
    <w:rsid w:val="00243068"/>
    <w:rsid w:val="00244B19"/>
    <w:rsid w:val="00244D0F"/>
    <w:rsid w:val="00262768"/>
    <w:rsid w:val="00262C8A"/>
    <w:rsid w:val="00266214"/>
    <w:rsid w:val="002720C3"/>
    <w:rsid w:val="00275863"/>
    <w:rsid w:val="00275F33"/>
    <w:rsid w:val="00283031"/>
    <w:rsid w:val="00286E87"/>
    <w:rsid w:val="0029415F"/>
    <w:rsid w:val="0029482C"/>
    <w:rsid w:val="002A1841"/>
    <w:rsid w:val="002A4484"/>
    <w:rsid w:val="002B09F2"/>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6B32"/>
    <w:rsid w:val="00397B89"/>
    <w:rsid w:val="003A2FD5"/>
    <w:rsid w:val="003A3D56"/>
    <w:rsid w:val="003C3B41"/>
    <w:rsid w:val="003C51DC"/>
    <w:rsid w:val="003C57D3"/>
    <w:rsid w:val="003D23B3"/>
    <w:rsid w:val="003D6B2B"/>
    <w:rsid w:val="003E08F3"/>
    <w:rsid w:val="003E193B"/>
    <w:rsid w:val="003E3131"/>
    <w:rsid w:val="003E334D"/>
    <w:rsid w:val="003E39E2"/>
    <w:rsid w:val="003E3F68"/>
    <w:rsid w:val="003E53A6"/>
    <w:rsid w:val="003E6C60"/>
    <w:rsid w:val="003F623E"/>
    <w:rsid w:val="003F66F6"/>
    <w:rsid w:val="004029FA"/>
    <w:rsid w:val="00402A6A"/>
    <w:rsid w:val="00413F47"/>
    <w:rsid w:val="0042060E"/>
    <w:rsid w:val="004215B2"/>
    <w:rsid w:val="00430EDA"/>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4F27C5"/>
    <w:rsid w:val="00501097"/>
    <w:rsid w:val="00502636"/>
    <w:rsid w:val="00505558"/>
    <w:rsid w:val="00505674"/>
    <w:rsid w:val="00513A51"/>
    <w:rsid w:val="00514B00"/>
    <w:rsid w:val="00520F52"/>
    <w:rsid w:val="005228B2"/>
    <w:rsid w:val="005228E2"/>
    <w:rsid w:val="00524B85"/>
    <w:rsid w:val="00526332"/>
    <w:rsid w:val="00530F0E"/>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866CC"/>
    <w:rsid w:val="00595D7E"/>
    <w:rsid w:val="00597F1B"/>
    <w:rsid w:val="005A4BF2"/>
    <w:rsid w:val="005A6A5B"/>
    <w:rsid w:val="005B4F54"/>
    <w:rsid w:val="005C0232"/>
    <w:rsid w:val="005C275E"/>
    <w:rsid w:val="005C5F4C"/>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5534"/>
    <w:rsid w:val="006A1126"/>
    <w:rsid w:val="006B27CE"/>
    <w:rsid w:val="006B2B4C"/>
    <w:rsid w:val="006B790D"/>
    <w:rsid w:val="006C2AEE"/>
    <w:rsid w:val="006C7DC8"/>
    <w:rsid w:val="006D3004"/>
    <w:rsid w:val="006D6CF7"/>
    <w:rsid w:val="006E5794"/>
    <w:rsid w:val="006F2FA3"/>
    <w:rsid w:val="006F6C44"/>
    <w:rsid w:val="00700DFF"/>
    <w:rsid w:val="00702A04"/>
    <w:rsid w:val="0070337B"/>
    <w:rsid w:val="00704D02"/>
    <w:rsid w:val="007064AB"/>
    <w:rsid w:val="00706557"/>
    <w:rsid w:val="00707C51"/>
    <w:rsid w:val="007109B6"/>
    <w:rsid w:val="00711F3E"/>
    <w:rsid w:val="007134F3"/>
    <w:rsid w:val="0071531C"/>
    <w:rsid w:val="0071778F"/>
    <w:rsid w:val="00717DD1"/>
    <w:rsid w:val="00721911"/>
    <w:rsid w:val="00721F94"/>
    <w:rsid w:val="00722A76"/>
    <w:rsid w:val="007259CC"/>
    <w:rsid w:val="007312D6"/>
    <w:rsid w:val="00731E82"/>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D42B2"/>
    <w:rsid w:val="007E3777"/>
    <w:rsid w:val="007F04D3"/>
    <w:rsid w:val="007F16F8"/>
    <w:rsid w:val="007F1C2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1A15"/>
    <w:rsid w:val="00847CF0"/>
    <w:rsid w:val="00851363"/>
    <w:rsid w:val="00851711"/>
    <w:rsid w:val="00852454"/>
    <w:rsid w:val="00854276"/>
    <w:rsid w:val="00856F1E"/>
    <w:rsid w:val="00857954"/>
    <w:rsid w:val="00863D55"/>
    <w:rsid w:val="008650FD"/>
    <w:rsid w:val="00867DF3"/>
    <w:rsid w:val="008713F3"/>
    <w:rsid w:val="00872A03"/>
    <w:rsid w:val="00881347"/>
    <w:rsid w:val="00883016"/>
    <w:rsid w:val="00883800"/>
    <w:rsid w:val="0088785E"/>
    <w:rsid w:val="00890D60"/>
    <w:rsid w:val="00892480"/>
    <w:rsid w:val="00897A30"/>
    <w:rsid w:val="008A7044"/>
    <w:rsid w:val="008B6833"/>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16D6"/>
    <w:rsid w:val="008F3C04"/>
    <w:rsid w:val="008F3C44"/>
    <w:rsid w:val="008F5EF5"/>
    <w:rsid w:val="008F668F"/>
    <w:rsid w:val="008F6781"/>
    <w:rsid w:val="00901B32"/>
    <w:rsid w:val="009051F4"/>
    <w:rsid w:val="00910BFE"/>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2910"/>
    <w:rsid w:val="009D3A41"/>
    <w:rsid w:val="009D5991"/>
    <w:rsid w:val="009D76B9"/>
    <w:rsid w:val="009E1F39"/>
    <w:rsid w:val="009E3C1B"/>
    <w:rsid w:val="009E6CA9"/>
    <w:rsid w:val="009E7F8D"/>
    <w:rsid w:val="009F1F17"/>
    <w:rsid w:val="009F5E40"/>
    <w:rsid w:val="00A07E25"/>
    <w:rsid w:val="00A14187"/>
    <w:rsid w:val="00A14640"/>
    <w:rsid w:val="00A14720"/>
    <w:rsid w:val="00A16B59"/>
    <w:rsid w:val="00A16E2C"/>
    <w:rsid w:val="00A215AB"/>
    <w:rsid w:val="00A22178"/>
    <w:rsid w:val="00A23C7D"/>
    <w:rsid w:val="00A241B8"/>
    <w:rsid w:val="00A3090A"/>
    <w:rsid w:val="00A503B4"/>
    <w:rsid w:val="00A5392D"/>
    <w:rsid w:val="00A558AE"/>
    <w:rsid w:val="00A564E2"/>
    <w:rsid w:val="00A57C39"/>
    <w:rsid w:val="00A67678"/>
    <w:rsid w:val="00A74915"/>
    <w:rsid w:val="00A755F6"/>
    <w:rsid w:val="00A854F0"/>
    <w:rsid w:val="00A86E2D"/>
    <w:rsid w:val="00A87823"/>
    <w:rsid w:val="00A92792"/>
    <w:rsid w:val="00A94DF9"/>
    <w:rsid w:val="00A96323"/>
    <w:rsid w:val="00A97D69"/>
    <w:rsid w:val="00AA09BC"/>
    <w:rsid w:val="00AA0C18"/>
    <w:rsid w:val="00AA33CA"/>
    <w:rsid w:val="00AA33DD"/>
    <w:rsid w:val="00AB318C"/>
    <w:rsid w:val="00AB4EBC"/>
    <w:rsid w:val="00AB50B7"/>
    <w:rsid w:val="00AC116E"/>
    <w:rsid w:val="00AC28C6"/>
    <w:rsid w:val="00AC3642"/>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4DA6"/>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42220"/>
    <w:rsid w:val="00C46623"/>
    <w:rsid w:val="00C50843"/>
    <w:rsid w:val="00C569D5"/>
    <w:rsid w:val="00C65542"/>
    <w:rsid w:val="00C829DC"/>
    <w:rsid w:val="00C86383"/>
    <w:rsid w:val="00C9434B"/>
    <w:rsid w:val="00C96F2B"/>
    <w:rsid w:val="00CA0814"/>
    <w:rsid w:val="00CA0EBE"/>
    <w:rsid w:val="00CA57B6"/>
    <w:rsid w:val="00CB1F79"/>
    <w:rsid w:val="00CB677D"/>
    <w:rsid w:val="00CC6F24"/>
    <w:rsid w:val="00CD31B5"/>
    <w:rsid w:val="00CD3633"/>
    <w:rsid w:val="00CD4623"/>
    <w:rsid w:val="00CD48BD"/>
    <w:rsid w:val="00CE032B"/>
    <w:rsid w:val="00CE0964"/>
    <w:rsid w:val="00CE0B9A"/>
    <w:rsid w:val="00CE5869"/>
    <w:rsid w:val="00CE6F13"/>
    <w:rsid w:val="00D05C90"/>
    <w:rsid w:val="00D0709B"/>
    <w:rsid w:val="00D10C40"/>
    <w:rsid w:val="00D121EC"/>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3AAA"/>
    <w:rsid w:val="00E34C07"/>
    <w:rsid w:val="00E36067"/>
    <w:rsid w:val="00E442DC"/>
    <w:rsid w:val="00E51DFA"/>
    <w:rsid w:val="00E51E75"/>
    <w:rsid w:val="00E62137"/>
    <w:rsid w:val="00E6555A"/>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31F6"/>
    <w:rsid w:val="00EB4EE4"/>
    <w:rsid w:val="00EB5365"/>
    <w:rsid w:val="00EB62DE"/>
    <w:rsid w:val="00EC0024"/>
    <w:rsid w:val="00ED4C45"/>
    <w:rsid w:val="00ED5AEE"/>
    <w:rsid w:val="00ED668D"/>
    <w:rsid w:val="00EE1FA6"/>
    <w:rsid w:val="00EE4C8B"/>
    <w:rsid w:val="00EE6A25"/>
    <w:rsid w:val="00EF4ABB"/>
    <w:rsid w:val="00EF6235"/>
    <w:rsid w:val="00F05169"/>
    <w:rsid w:val="00F0526E"/>
    <w:rsid w:val="00F05EA7"/>
    <w:rsid w:val="00F142C1"/>
    <w:rsid w:val="00F1525A"/>
    <w:rsid w:val="00F261B9"/>
    <w:rsid w:val="00F3246E"/>
    <w:rsid w:val="00F32B61"/>
    <w:rsid w:val="00F37FAF"/>
    <w:rsid w:val="00F4148E"/>
    <w:rsid w:val="00F42E3E"/>
    <w:rsid w:val="00F43580"/>
    <w:rsid w:val="00F454F1"/>
    <w:rsid w:val="00F45BC9"/>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DBE7F24327F42F6B0B084D97E47D4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2026-07-08T07:18:54Z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2026-07-07T00:00:00Z</Date_x0020_protokolli>
    <Titulli xmlns="0e656187-b300-4fb0-8bf4-3a50f872073c">Për vlerësimin e veprimtarisë së Komisionerit për Mbikëqyrjen e Shërbimit Civil për vitin 2025 dhe rekomandimet për vitin 2026</Titulli>
    <Modifikuesi xmlns="0e656187-b300-4fb0-8bf4-3a50f872073c">entela.suli</Modifikuesi>
    <Nr_x002e__x0020_prot_x0020_QBZ xmlns="0e656187-b300-4fb0-8bf4-3a50f872073c">1522/1</Nr_x002e__x0020_prot_x0020_QBZ>
    <Data_x0020_e_x0020_Modifikimit xmlns="0e656187-b300-4fb0-8bf4-3a50f872073c">2026-07-08T07:19:45Z</Data_x0020_e_x0020_Modifikimit>
    <Dekretuar xmlns="0e656187-b300-4fb0-8bf4-3a50f872073c">false</Dekretuar>
    <Data xmlns="0e656187-b300-4fb0-8bf4-3a50f872073c">2026-06-30T00:00:00Z</Data>
    <Nr_x002e__x0020_protokolli_x0020_i_x0020_aktit xmlns="0e656187-b300-4fb0-8bf4-3a50f872073c">3017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DBE7F24327F42F6B0B084D97E47D4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54DFA-1DC5-4A80-9D59-43154D704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B96C8AD-07D1-4CE4-B3AA-CD5668DE083B}">
  <ds:schemaRefs>
    <ds:schemaRef ds:uri="0e656187-b300-4fb0-8bf4-3a50f872073c"/>
    <ds:schemaRef ds:uri="http://schemas.microsoft.com/office/2006/documentManagement/types"/>
    <ds:schemaRef ds:uri="http://purl.org/dc/terms/"/>
    <ds:schemaRef ds:uri="http://purl.org/dc/dcmitype/"/>
    <ds:schemaRef ds:uri="http://schemas.microsoft.com/office/2006/metadata/properties"/>
    <ds:schemaRef ds:uri="http://www.w3.org/XML/1998/namespace"/>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EF17E9CB-4AAD-4B3A-BDED-09E38282C194}">
  <ds:schemaRefs>
    <ds:schemaRef ds:uri="http://schemas.microsoft.com/sharepoint/v3/contenttype/forms"/>
  </ds:schemaRefs>
</ds:datastoreItem>
</file>

<file path=customXml/itemProps4.xml><?xml version="1.0" encoding="utf-8"?>
<ds:datastoreItem xmlns:ds="http://schemas.openxmlformats.org/officeDocument/2006/customXml" ds:itemID="{BFCC4837-BCA5-4729-8686-C2AEE26A5BE6}">
  <ds:schemaRefs>
    <ds:schemaRef ds:uri="http://schemas.microsoft.com/sharepoint/v3/contenttype/forms"/>
  </ds:schemaRefs>
</ds:datastoreItem>
</file>

<file path=customXml/itemProps5.xml><?xml version="1.0" encoding="utf-8"?>
<ds:datastoreItem xmlns:ds="http://schemas.openxmlformats.org/officeDocument/2006/customXml" ds:itemID="{F0A12161-2A96-4877-973D-352D3BA5B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6CEE6A3-4459-4631-BA0C-303238E063A4}">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1406</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Ermira Bukaci</cp:lastModifiedBy>
  <cp:revision>4</cp:revision>
  <cp:lastPrinted>2026-07-02T10:00:00Z</cp:lastPrinted>
  <dcterms:created xsi:type="dcterms:W3CDTF">2026-07-08T07:31:00Z</dcterms:created>
  <dcterms:modified xsi:type="dcterms:W3CDTF">2026-07-08T08:00:00Z</dcterms:modified>
</cp:coreProperties>
</file>