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32D91" w14:textId="45B04F62" w:rsidR="00493028" w:rsidRPr="000C4109" w:rsidRDefault="0042060E" w:rsidP="000C410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0C4109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7F1C28" w:rsidRPr="000C4109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493028" w:rsidRPr="000C4109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629DA87A" w14:textId="77777777" w:rsidR="00493028" w:rsidRPr="000C4109" w:rsidRDefault="00493028" w:rsidP="000C410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0E58F6AA" w14:textId="138CB7E7" w:rsidR="00070B80" w:rsidRPr="000C4109" w:rsidRDefault="00070B80" w:rsidP="00FC528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0C4109">
        <w:rPr>
          <w:rFonts w:ascii="Garamond" w:eastAsia="Times New Roman" w:hAnsi="Garamond" w:cs="Times New Roman"/>
          <w:b/>
          <w:sz w:val="24"/>
          <w:szCs w:val="24"/>
        </w:rPr>
        <w:t>PËR VLERËSIMIN E VEPRIMTARISË SË KOMISIONIT TË PROKURIMIT PUBLIK PËR VITIN 2025 DHE REKOMANDIMET PËR VITIN 2026</w:t>
      </w:r>
    </w:p>
    <w:p w14:paraId="212CEB09" w14:textId="77777777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53418106" w14:textId="77777777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0C4109">
        <w:rPr>
          <w:rFonts w:ascii="Garamond" w:eastAsia="Times New Roman" w:hAnsi="Garamond" w:cs="Times New Roman"/>
          <w:b/>
          <w:sz w:val="24"/>
          <w:szCs w:val="24"/>
        </w:rPr>
        <w:t xml:space="preserve">Kuvendi i Shqipërisë, </w:t>
      </w:r>
    </w:p>
    <w:p w14:paraId="755CA1C9" w14:textId="77777777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>Duke e konsideruar Komisionin e Prokurimit Publik si organin më të lartë në fushën e prokurimeve, që shqyrton ankesat për procedurat e prokurimit në përputhje me kërkesat e përcaktuara në ligj;</w:t>
      </w:r>
    </w:p>
    <w:p w14:paraId="7DB787EA" w14:textId="0BE57DB4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Duke e vlerësuar shumë të rëndësishme për KPP-në paanësinë në vendimmarrje, transparencën, efikasitetin dhe në mënyrë të veçantë mbrojtjen e interesit publik përmes një administrate të përgjegjshme, e cila </w:t>
      </w:r>
      <w:proofErr w:type="spellStart"/>
      <w:r w:rsidRPr="000C4109">
        <w:rPr>
          <w:rFonts w:ascii="Garamond" w:eastAsia="Times New Roman" w:hAnsi="Garamond" w:cs="Times New Roman"/>
          <w:bCs/>
          <w:sz w:val="24"/>
          <w:szCs w:val="24"/>
        </w:rPr>
        <w:t>mirëmenaxhon</w:t>
      </w:r>
      <w:proofErr w:type="spellEnd"/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fondet publike, si dhe mbrojtjen e interesave të ligjsh</w:t>
      </w:r>
      <w:r w:rsidR="001F6B0A" w:rsidRPr="000C4109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m të operatorëve ekonomikë nga veprimet ose mosveprimet e autoriteteve </w:t>
      </w:r>
      <w:proofErr w:type="spellStart"/>
      <w:r w:rsidRPr="000C4109">
        <w:rPr>
          <w:rFonts w:ascii="Garamond" w:eastAsia="Times New Roman" w:hAnsi="Garamond" w:cs="Times New Roman"/>
          <w:bCs/>
          <w:sz w:val="24"/>
          <w:szCs w:val="24"/>
        </w:rPr>
        <w:t>kontraktore</w:t>
      </w:r>
      <w:proofErr w:type="spellEnd"/>
      <w:r w:rsidRPr="000C4109">
        <w:rPr>
          <w:rFonts w:ascii="Garamond" w:eastAsia="Times New Roman" w:hAnsi="Garamond" w:cs="Times New Roman"/>
          <w:bCs/>
          <w:sz w:val="24"/>
          <w:szCs w:val="24"/>
        </w:rPr>
        <w:t>;</w:t>
      </w:r>
    </w:p>
    <w:p w14:paraId="04E60B6E" w14:textId="77777777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>Duke e vlerësuar shumë të rëndësishëm rolin që KPP-ja ka në rritjen e efikasitetit dhe të besueshmërisë në sistemin e prokurimit publik;</w:t>
      </w:r>
    </w:p>
    <w:p w14:paraId="08513256" w14:textId="77777777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>Duke e vlerësuar si një arritje tepër të rëndësishme implementimin e reformës së digjitalizimit të shërbimeve dhe menaxhimit të ankesave, me ndikim të drejtpërdrejtë në rritjen e transparencës dhe minimizimin e korrupsionit;</w:t>
      </w:r>
    </w:p>
    <w:p w14:paraId="08B83521" w14:textId="77777777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0C4109">
        <w:rPr>
          <w:rFonts w:ascii="Garamond" w:eastAsia="Times New Roman" w:hAnsi="Garamond" w:cs="Times New Roman"/>
          <w:b/>
          <w:sz w:val="24"/>
          <w:szCs w:val="24"/>
        </w:rPr>
        <w:t xml:space="preserve">Shqyrtoi veprimtarinë e Komisionit të Prokurimit Publik për vitin 2025 dhe vlerëson: </w:t>
      </w:r>
    </w:p>
    <w:p w14:paraId="72F60752" w14:textId="77777777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>Rritjen e numrit të ankesave të paraqitura dhe të shqyrtuara, duke reflektuar intensifikimin e aktivitetit institucional dhe rritjen e përdorimit të mekanizmit administrativ të ankimit.</w:t>
      </w:r>
    </w:p>
    <w:p w14:paraId="6383C9D3" w14:textId="3840C993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>Pranimin e një pjese të konsiderueshme të ankesave, plotësisht ose pjesërisht, çka reflekton rolin aktiv të KPP</w:t>
      </w:r>
      <w:r w:rsidR="008D6402" w:rsidRPr="000C4109">
        <w:rPr>
          <w:rFonts w:ascii="Garamond" w:eastAsia="Times New Roman" w:hAnsi="Garamond" w:cs="Times New Roman"/>
          <w:bCs/>
          <w:sz w:val="24"/>
          <w:szCs w:val="24"/>
        </w:rPr>
        <w:t>-së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në korrigjimin e shkeljeve dhe garantimin e ligjshmërisë së procedurave të prokurimit. </w:t>
      </w:r>
    </w:p>
    <w:p w14:paraId="51E2995D" w14:textId="77777777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Përmirësimin e treguesve të kohës së shqyrtimit të ankesave dhe reduktimin e përqindjes së rasteve të trajtuara jashtë afatit ligjor, ndonëse mbeten ende raste të trajtuara jashtë afatit procedural. </w:t>
      </w:r>
    </w:p>
    <w:p w14:paraId="7D226C55" w14:textId="2D4906AC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>Qëndrueshmërinë e pjesës më të madhe të vendimeve të KPP</w:t>
      </w:r>
      <w:r w:rsidR="00AE509D" w:rsidRPr="000C4109">
        <w:rPr>
          <w:rFonts w:ascii="Garamond" w:eastAsia="Times New Roman" w:hAnsi="Garamond" w:cs="Times New Roman"/>
          <w:bCs/>
          <w:sz w:val="24"/>
          <w:szCs w:val="24"/>
        </w:rPr>
        <w:t>-së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në kontrollin gjyqësor, duke reflektuar konsistencë të praktikës administrative të institucionit. </w:t>
      </w:r>
    </w:p>
    <w:p w14:paraId="2CA2FA22" w14:textId="77777777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Identifikimin e problematikave të përsëritura në hartimin e dokumenteve të tenderit dhe në vlerësimin e ofertave, të cilat vijojnë të përbëjnë burimet kryesore të kontestimeve administrative. </w:t>
      </w:r>
    </w:p>
    <w:p w14:paraId="0362AA92" w14:textId="1E11B252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>Referimin e rasteve për hetim administrativ dhe në organet e ndjekjes penale duke reflektuar funksionin mbikëqyrës dhe evidentues të institucionit ndaj shkeljeve të konstatuara.</w:t>
      </w:r>
    </w:p>
    <w:p w14:paraId="7B3649B3" w14:textId="77777777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Zhvillimin e projekteve të rëndësishme të digjitalizimit dhe publikimit të </w:t>
      </w:r>
      <w:proofErr w:type="spellStart"/>
      <w:r w:rsidRPr="000C4109">
        <w:rPr>
          <w:rFonts w:ascii="Garamond" w:eastAsia="Times New Roman" w:hAnsi="Garamond" w:cs="Times New Roman"/>
          <w:bCs/>
          <w:sz w:val="24"/>
          <w:szCs w:val="24"/>
        </w:rPr>
        <w:t>të</w:t>
      </w:r>
      <w:proofErr w:type="spellEnd"/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dhënave sipas standardeve ndërkombëtare, duke kontribuar në rritjen e transparencës dhe </w:t>
      </w:r>
      <w:proofErr w:type="spellStart"/>
      <w:r w:rsidRPr="000C4109">
        <w:rPr>
          <w:rFonts w:ascii="Garamond" w:eastAsia="Times New Roman" w:hAnsi="Garamond" w:cs="Times New Roman"/>
          <w:bCs/>
          <w:sz w:val="24"/>
          <w:szCs w:val="24"/>
        </w:rPr>
        <w:t>aksesit</w:t>
      </w:r>
      <w:proofErr w:type="spellEnd"/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publik.</w:t>
      </w:r>
    </w:p>
    <w:p w14:paraId="6CB64DBD" w14:textId="77777777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Zgjerimin e përdorimit të sistemeve elektronike dhe mekanizmave digjitalë në procesin e shqyrtimit administrativ dhe komunikimit me operatorët ekonomikë. </w:t>
      </w:r>
    </w:p>
    <w:p w14:paraId="7CA95973" w14:textId="6591CC73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  <w:r w:rsidRPr="000C4109">
        <w:rPr>
          <w:rFonts w:ascii="Garamond" w:eastAsia="Times New Roman" w:hAnsi="Garamond" w:cs="Times New Roman"/>
          <w:b/>
          <w:sz w:val="24"/>
          <w:szCs w:val="24"/>
        </w:rPr>
        <w:t xml:space="preserve">Kuvendi kërkon që Komisioni i Prokurimit Publik gjatë vitit 2026, në përmbushje të detyrave të ngarkuara me ligj, të angazhohet veçanërisht edhe në këto drejtime: </w:t>
      </w:r>
    </w:p>
    <w:p w14:paraId="3D2F0673" w14:textId="6B56243E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1. Të vijojë përmirësimin e </w:t>
      </w:r>
      <w:proofErr w:type="spellStart"/>
      <w:r w:rsidRPr="000C4109">
        <w:rPr>
          <w:rFonts w:ascii="Garamond" w:eastAsia="Times New Roman" w:hAnsi="Garamond" w:cs="Times New Roman"/>
          <w:bCs/>
          <w:sz w:val="24"/>
          <w:szCs w:val="24"/>
        </w:rPr>
        <w:t>aksesueshmërisë</w:t>
      </w:r>
      <w:proofErr w:type="spellEnd"/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dhe efektivitetit të mekanizmave të ankimit administrativ, duke përfshirë në raportimet vjetore në vijim informacionin </w:t>
      </w:r>
      <w:r w:rsidR="00C17D88" w:rsidRPr="000C4109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masat e ndërmarra për reduktimin e rasteve të refuzimit të ankesave për shkaqe procedurale dhe për rritjen e përdorimit të shërbimeve elektronike nga operatorët ekonomikë.</w:t>
      </w:r>
    </w:p>
    <w:p w14:paraId="50174809" w14:textId="57114DD3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2. Të forcojë monitorimin dhe transparencën e procesit të zbatimit të vendimeve të Komisionit, duke raportuar periodikisht çdo 6-muaj në Kuvend </w:t>
      </w:r>
      <w:r w:rsidR="00C17D88"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për 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>nivelin e zbatimit, problematikat e evidentuara dhe zhvillimet kryesore të praktikës vendimmarrëse, përfshirë çështjet me interes të veçantë dhe interpretimet ligjore me ndikim në konsolidimin e praktikës administrative.</w:t>
      </w:r>
    </w:p>
    <w:p w14:paraId="28336E71" w14:textId="2253574C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>3. Të përmirësojë më tej respektimin e afateve ligjore për shqyrtimin e ankesave</w:t>
      </w:r>
      <w:r w:rsidR="00DA407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me qëllim rritjen e efikasitetit të veprimtarisë institucionale dhe të raportojë në Kuvend</w:t>
      </w:r>
      <w:r w:rsidR="00DA407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brenda muajit dhjetor</w:t>
      </w:r>
      <w:r w:rsidR="00DA407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787F68" w:rsidRPr="000C4109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faktorët që ndikojnë në tejkalimin e tyre.</w:t>
      </w:r>
    </w:p>
    <w:p w14:paraId="5820B17A" w14:textId="7432302B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4. Të rrisë rolin orientues dhe </w:t>
      </w:r>
      <w:proofErr w:type="spellStart"/>
      <w:r w:rsidRPr="000C4109">
        <w:rPr>
          <w:rFonts w:ascii="Garamond" w:eastAsia="Times New Roman" w:hAnsi="Garamond" w:cs="Times New Roman"/>
          <w:bCs/>
          <w:sz w:val="24"/>
          <w:szCs w:val="24"/>
        </w:rPr>
        <w:t>unifikues</w:t>
      </w:r>
      <w:proofErr w:type="spellEnd"/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të institucionit në sistemin e prokurimit publik përmes publikimit periodik të vendimeve interpretuese, praktikave të </w:t>
      </w:r>
      <w:proofErr w:type="spellStart"/>
      <w:r w:rsidRPr="000C4109">
        <w:rPr>
          <w:rFonts w:ascii="Garamond" w:eastAsia="Times New Roman" w:hAnsi="Garamond" w:cs="Times New Roman"/>
          <w:bCs/>
          <w:sz w:val="24"/>
          <w:szCs w:val="24"/>
        </w:rPr>
        <w:t>konsoliduara</w:t>
      </w:r>
      <w:proofErr w:type="spellEnd"/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dhe udhëzimeve orientuese, me synim garantimin e një zbatimi sa më të njëtrajtshëm të legjislacionit nga autoritetet </w:t>
      </w:r>
      <w:proofErr w:type="spellStart"/>
      <w:r w:rsidRPr="000C4109">
        <w:rPr>
          <w:rFonts w:ascii="Garamond" w:eastAsia="Times New Roman" w:hAnsi="Garamond" w:cs="Times New Roman"/>
          <w:bCs/>
          <w:sz w:val="24"/>
          <w:szCs w:val="24"/>
        </w:rPr>
        <w:t>kontraktore</w:t>
      </w:r>
      <w:proofErr w:type="spellEnd"/>
      <w:r w:rsidRPr="000C4109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794579A5" w14:textId="6A8000AE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lastRenderedPageBreak/>
        <w:t>5. Të ndërmarrë masa për forcimin e kapaciteteve institucionale dhe plotësimin e strukturës së miratuar organizative, duke raportuar në Kuvend</w:t>
      </w:r>
      <w:r w:rsidR="00DA407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brenda muajit dhjetor</w:t>
      </w:r>
      <w:r w:rsidR="00DA407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B70BE7" w:rsidRPr="000C4109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ecurinë e procesit të rekrutimit dhe ndikimin e tij në përballimin e ngarkesës së punës.</w:t>
      </w:r>
    </w:p>
    <w:p w14:paraId="7958B775" w14:textId="77777777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6. Të angazhohet për përmbushjen e plotë të standardeve të transparencës institucionale, në përputhje me Programin e Transparencës dhe rekomandimet e </w:t>
      </w:r>
      <w:proofErr w:type="spellStart"/>
      <w:r w:rsidRPr="000C4109">
        <w:rPr>
          <w:rFonts w:ascii="Garamond" w:eastAsia="Times New Roman" w:hAnsi="Garamond" w:cs="Times New Roman"/>
          <w:bCs/>
          <w:sz w:val="24"/>
          <w:szCs w:val="24"/>
        </w:rPr>
        <w:t>Komisionerit</w:t>
      </w:r>
      <w:proofErr w:type="spellEnd"/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për të Drejtën e Informimit dhe Mbrojtjen e të Dhënave Personale, duke siguruar publikimin sistematik dhe të përditësuar të informacionit me interes publik.</w:t>
      </w:r>
    </w:p>
    <w:p w14:paraId="5B8301E8" w14:textId="696CD4BC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>7. Të kryejë dhe t’i paraqesë Kuvendit</w:t>
      </w:r>
      <w:r w:rsidR="00DA407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brenda muajit dhjetor</w:t>
      </w:r>
      <w:r w:rsidR="00DA407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një analizë </w:t>
      </w:r>
      <w:r w:rsidR="00B70BE7" w:rsidRPr="000C4109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ndikimin e tarifave të ankimit në </w:t>
      </w:r>
      <w:proofErr w:type="spellStart"/>
      <w:r w:rsidRPr="000C4109">
        <w:rPr>
          <w:rFonts w:ascii="Garamond" w:eastAsia="Times New Roman" w:hAnsi="Garamond" w:cs="Times New Roman"/>
          <w:bCs/>
          <w:sz w:val="24"/>
          <w:szCs w:val="24"/>
        </w:rPr>
        <w:t>aksesin</w:t>
      </w:r>
      <w:proofErr w:type="spellEnd"/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efektiv të operatorëve ekonomikë në mekanizmat administrativë të mbrojtjes juridike, duke marrë në konsideratë praktikat e vendeve të rajonit, standardet e Bashkimit Evropian dhe rekomandimet e organizmave ndërkombëtarë.</w:t>
      </w:r>
    </w:p>
    <w:p w14:paraId="4BED0B9B" w14:textId="77777777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>8. Në raportimet vjetore në vijim, të analizojë në mënyrë më të detajuar të dhënat mbi të ardhurat e krijuara nga tarifat e ankimit, shumat e kthyera operatorëve ekonomikë, si dhe kontributin neto të këtyre të ardhurave në buxhetin e shtetit, me qëllim rritjen e transparencës financiare dhe të llogaridhënies institucionale.</w:t>
      </w:r>
    </w:p>
    <w:p w14:paraId="5FE3097B" w14:textId="39AE14B8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9. Të vijojë kontributin në procesin e harmonizimit të praktikës institucionale me </w:t>
      </w:r>
      <w:proofErr w:type="spellStart"/>
      <w:r w:rsidRPr="000C4109">
        <w:rPr>
          <w:rFonts w:ascii="Garamond" w:eastAsia="Times New Roman" w:hAnsi="Garamond" w:cs="Times New Roman"/>
          <w:bCs/>
          <w:i/>
          <w:iCs/>
          <w:sz w:val="24"/>
          <w:szCs w:val="24"/>
        </w:rPr>
        <w:t>acquis</w:t>
      </w:r>
      <w:proofErr w:type="spellEnd"/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të Bashkimit Evropian në fushën e prokurimit publik</w:t>
      </w:r>
      <w:r w:rsidR="005D5197" w:rsidRPr="000C4109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si dhe në raportimet vjetore në vijim të përfshijë informacionin </w:t>
      </w:r>
      <w:r w:rsidR="005D5197" w:rsidRPr="000C4109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masat e ndërmarra për adresimin e rekomandimeve të </w:t>
      </w:r>
      <w:proofErr w:type="spellStart"/>
      <w:r w:rsidR="005D5197" w:rsidRPr="000C4109">
        <w:rPr>
          <w:rFonts w:ascii="Garamond" w:eastAsia="Times New Roman" w:hAnsi="Garamond" w:cs="Times New Roman"/>
          <w:bCs/>
          <w:sz w:val="24"/>
          <w:szCs w:val="24"/>
        </w:rPr>
        <w:t>p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>rogres</w:t>
      </w:r>
      <w:r w:rsidR="005D5197" w:rsidRPr="000C4109">
        <w:rPr>
          <w:rFonts w:ascii="Garamond" w:eastAsia="Times New Roman" w:hAnsi="Garamond" w:cs="Times New Roman"/>
          <w:bCs/>
          <w:sz w:val="24"/>
          <w:szCs w:val="24"/>
        </w:rPr>
        <w:t>r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>aportit</w:t>
      </w:r>
      <w:proofErr w:type="spellEnd"/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të Komisionit Evropian dhe raporteve të SIGMA/OECD.</w:t>
      </w:r>
    </w:p>
    <w:p w14:paraId="23EF9B29" w14:textId="0F2A0D23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10. Të kryejë një analizë të detajuar </w:t>
      </w:r>
      <w:r w:rsidR="005D5197" w:rsidRPr="000C4109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faktorët që ndikojnë në nivelin e konkurrencës në procedurat e prokurimit publik, duke evidentuar veçanërisht rastet e procedurave me një ofertë të vetme. Gjithashtu, të raportojë </w:t>
      </w:r>
      <w:r w:rsidR="005F0A9B" w:rsidRPr="000C4109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masat e ndërmarra dhe rezultatet e arritura për rritjen e konkurrencës, zgjerimin e pjesëmarrjes së operatorëve ekonomikë dhe garantimin e përdorimit sa më efikas të fondeve publike, duke ia përcjellë këtë analizë Kuvendit</w:t>
      </w:r>
      <w:r w:rsidR="00DA407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brenda muajit tetor 2026.</w:t>
      </w:r>
    </w:p>
    <w:p w14:paraId="3A2047D1" w14:textId="79064625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11. Të bashkëpunojë me strukturat përgjegjëse të Kuvendit të Shqipërisë për zhvillimin dhe konsolidimin e metodologjisë së standardizuar të treguesve kyç të </w:t>
      </w:r>
      <w:proofErr w:type="spellStart"/>
      <w:r w:rsidRPr="000C4109">
        <w:rPr>
          <w:rFonts w:ascii="Garamond" w:eastAsia="Times New Roman" w:hAnsi="Garamond" w:cs="Times New Roman"/>
          <w:bCs/>
          <w:sz w:val="24"/>
          <w:szCs w:val="24"/>
        </w:rPr>
        <w:t>performancës</w:t>
      </w:r>
      <w:proofErr w:type="spellEnd"/>
      <w:r w:rsidRPr="000C4109">
        <w:rPr>
          <w:rFonts w:ascii="Garamond" w:eastAsia="Times New Roman" w:hAnsi="Garamond" w:cs="Times New Roman"/>
          <w:bCs/>
          <w:sz w:val="24"/>
          <w:szCs w:val="24"/>
        </w:rPr>
        <w:t>, si bazë për monitorimin dhe vlerësimin e zbatimit të rekomandimeve të rezolutës, në funksion të forcimit të llogaridhënies dhe mbikëqyrjes parlamentare. Ky angazhim të përmbushet brenda 3</w:t>
      </w:r>
      <w:r w:rsidR="005F0A9B" w:rsidRPr="000C4109">
        <w:rPr>
          <w:rFonts w:ascii="Garamond" w:eastAsia="Times New Roman" w:hAnsi="Garamond" w:cs="Times New Roman"/>
          <w:bCs/>
          <w:sz w:val="24"/>
          <w:szCs w:val="24"/>
        </w:rPr>
        <w:t>-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>mujorit të tretë të vitit 2026.</w:t>
      </w:r>
    </w:p>
    <w:p w14:paraId="036FE131" w14:textId="416FE4FB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>12. Të paraqesë pranë Kuvendit</w:t>
      </w:r>
      <w:r w:rsidR="00DA407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brenda dhjetorit 2026</w:t>
      </w:r>
      <w:r w:rsidR="00DA4071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një analizë të praktikës gjyqësore lidhur me vendimet e Komisionit të Prokurimit Publik, duke evidentuar përqindjen e vendimeve të lëna në fuqi, të ndryshuara ose të shfuqizuara, arsyet kryesore të kontrollit gjyqësor dhe masat e ndërmarra për përmirësimin e cilësisë dhe konsistencës së vendimmarrjes.</w:t>
      </w:r>
    </w:p>
    <w:p w14:paraId="761EB41E" w14:textId="77777777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13. Të konsolidojë mekanizmat e transparencës institucionale, duke forcuar funksionin e koordinatorit për të drejtën e informimit dhe duke garantuar publikimin e informacionit sipas standardeve të </w:t>
      </w:r>
      <w:proofErr w:type="spellStart"/>
      <w:r w:rsidRPr="000C4109">
        <w:rPr>
          <w:rFonts w:ascii="Garamond" w:eastAsia="Times New Roman" w:hAnsi="Garamond" w:cs="Times New Roman"/>
          <w:bCs/>
          <w:sz w:val="24"/>
          <w:szCs w:val="24"/>
        </w:rPr>
        <w:t>të</w:t>
      </w:r>
      <w:proofErr w:type="spellEnd"/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dhënave të hapura dhe ripërdorimit të informacionit të sektorit publik.</w:t>
      </w:r>
    </w:p>
    <w:p w14:paraId="12F0E042" w14:textId="08302973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>14. Të sigurojë zbatimin në kohë të rekomandimeve dhe vendimeve të institucioneve të pavarura, duke raportuar periodikisht çdo 4</w:t>
      </w:r>
      <w:r w:rsidR="00FE1C2F"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muaj në Kuvend </w:t>
      </w:r>
      <w:r w:rsidR="00BF09A7" w:rsidRPr="000C4109">
        <w:rPr>
          <w:rFonts w:ascii="Garamond" w:eastAsia="Times New Roman" w:hAnsi="Garamond" w:cs="Times New Roman"/>
          <w:bCs/>
          <w:sz w:val="24"/>
          <w:szCs w:val="24"/>
        </w:rPr>
        <w:t>për</w:t>
      </w: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masat e ndërmarra dhe statusin e zbatimit të tyre, në përmbushje të detyrimeve institucionale, si dhe standardeve evropiane.</w:t>
      </w:r>
    </w:p>
    <w:p w14:paraId="3DD7F31B" w14:textId="38854883" w:rsidR="00070B80" w:rsidRPr="000C4109" w:rsidRDefault="00070B80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15. Të pasqyrojë në mënyrë të veçantë në raportimet vjetore masat e ndërmarra për garantimin e barazisë dhe </w:t>
      </w:r>
      <w:proofErr w:type="spellStart"/>
      <w:r w:rsidRPr="000C4109">
        <w:rPr>
          <w:rFonts w:ascii="Garamond" w:eastAsia="Times New Roman" w:hAnsi="Garamond" w:cs="Times New Roman"/>
          <w:bCs/>
          <w:sz w:val="24"/>
          <w:szCs w:val="24"/>
        </w:rPr>
        <w:t>mosdiskriminimit</w:t>
      </w:r>
      <w:proofErr w:type="spellEnd"/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, rezultatet e arritura në zbatim të detyrimeve ligjore përkatëse, bashkëpunimin institucional me </w:t>
      </w:r>
      <w:proofErr w:type="spellStart"/>
      <w:r w:rsidRPr="000C4109">
        <w:rPr>
          <w:rFonts w:ascii="Garamond" w:eastAsia="Times New Roman" w:hAnsi="Garamond" w:cs="Times New Roman"/>
          <w:bCs/>
          <w:sz w:val="24"/>
          <w:szCs w:val="24"/>
        </w:rPr>
        <w:t>Komisionerin</w:t>
      </w:r>
      <w:proofErr w:type="spellEnd"/>
      <w:r w:rsidRPr="000C4109">
        <w:rPr>
          <w:rFonts w:ascii="Garamond" w:eastAsia="Times New Roman" w:hAnsi="Garamond" w:cs="Times New Roman"/>
          <w:bCs/>
          <w:sz w:val="24"/>
          <w:szCs w:val="24"/>
        </w:rPr>
        <w:t xml:space="preserve"> për Mbrojtjen nga Diskriminimi dhe zbatimin efektiv të vendimeve të tij.</w:t>
      </w:r>
    </w:p>
    <w:p w14:paraId="18089A2B" w14:textId="77777777" w:rsidR="0042060E" w:rsidRPr="000C4109" w:rsidRDefault="0042060E" w:rsidP="000C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</w:rPr>
      </w:pPr>
    </w:p>
    <w:p w14:paraId="221649EC" w14:textId="0F26FEB5" w:rsidR="00EB62DE" w:rsidRPr="000C4109" w:rsidRDefault="00A755F6" w:rsidP="000C410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C4109">
        <w:rPr>
          <w:rFonts w:ascii="Garamond" w:hAnsi="Garamond" w:cs="Times New Roman"/>
          <w:sz w:val="24"/>
          <w:szCs w:val="24"/>
        </w:rPr>
        <w:t xml:space="preserve">Miratuar në datën </w:t>
      </w:r>
      <w:r w:rsidR="00B97A92" w:rsidRPr="000C4109">
        <w:rPr>
          <w:rFonts w:ascii="Garamond" w:hAnsi="Garamond" w:cs="Times New Roman"/>
          <w:sz w:val="24"/>
          <w:szCs w:val="24"/>
        </w:rPr>
        <w:t>30.6</w:t>
      </w:r>
      <w:r w:rsidR="00181D50" w:rsidRPr="000C4109">
        <w:rPr>
          <w:rFonts w:ascii="Garamond" w:hAnsi="Garamond" w:cs="Times New Roman"/>
          <w:sz w:val="24"/>
          <w:szCs w:val="24"/>
        </w:rPr>
        <w:t>.</w:t>
      </w:r>
      <w:r w:rsidR="003C57D3" w:rsidRPr="000C4109">
        <w:rPr>
          <w:rFonts w:ascii="Garamond" w:hAnsi="Garamond" w:cs="Times New Roman"/>
          <w:sz w:val="24"/>
          <w:szCs w:val="24"/>
        </w:rPr>
        <w:t>202</w:t>
      </w:r>
      <w:r w:rsidR="00275863" w:rsidRPr="000C4109">
        <w:rPr>
          <w:rFonts w:ascii="Garamond" w:hAnsi="Garamond" w:cs="Times New Roman"/>
          <w:sz w:val="24"/>
          <w:szCs w:val="24"/>
        </w:rPr>
        <w:t>6</w:t>
      </w:r>
      <w:r w:rsidR="00FC5280">
        <w:rPr>
          <w:rFonts w:ascii="Garamond" w:hAnsi="Garamond" w:cs="Times New Roman"/>
          <w:sz w:val="24"/>
          <w:szCs w:val="24"/>
        </w:rPr>
        <w:t>.</w:t>
      </w:r>
    </w:p>
    <w:p w14:paraId="3E9909DF" w14:textId="160CBC6F" w:rsidR="00BF1037" w:rsidRPr="00D332B5" w:rsidRDefault="00BF1037" w:rsidP="00D332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14:paraId="387E37EE" w14:textId="17CFD536" w:rsidR="000C4109" w:rsidRPr="000C4109" w:rsidRDefault="000C4109" w:rsidP="000C410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0C4109">
        <w:rPr>
          <w:rFonts w:ascii="Garamond" w:eastAsia="MS Mincho" w:hAnsi="Garamond" w:cs="Times New Roman"/>
          <w:sz w:val="24"/>
          <w:szCs w:val="24"/>
        </w:rPr>
        <w:t>KRYETAR</w:t>
      </w:r>
    </w:p>
    <w:p w14:paraId="5D34806C" w14:textId="45592747" w:rsidR="000C4109" w:rsidRPr="000C4109" w:rsidRDefault="000C4109" w:rsidP="000C410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proofErr w:type="spellStart"/>
      <w:r w:rsidRPr="000C4109">
        <w:rPr>
          <w:rFonts w:ascii="Garamond" w:eastAsia="MS Mincho" w:hAnsi="Garamond" w:cs="Times New Roman"/>
          <w:b/>
          <w:bCs/>
          <w:sz w:val="24"/>
          <w:szCs w:val="24"/>
        </w:rPr>
        <w:t>Niko</w:t>
      </w:r>
      <w:proofErr w:type="spellEnd"/>
      <w:r w:rsidRPr="000C4109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proofErr w:type="spellStart"/>
      <w:r w:rsidRPr="000C4109">
        <w:rPr>
          <w:rFonts w:ascii="Garamond" w:eastAsia="MS Mincho" w:hAnsi="Garamond" w:cs="Times New Roman"/>
          <w:b/>
          <w:bCs/>
          <w:sz w:val="24"/>
          <w:szCs w:val="24"/>
        </w:rPr>
        <w:t>Peleshi</w:t>
      </w:r>
      <w:proofErr w:type="spellEnd"/>
    </w:p>
    <w:sectPr w:rsidR="000C4109" w:rsidRPr="000C4109" w:rsidSect="00275F33"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E2A342" w14:textId="77777777" w:rsidR="00840322" w:rsidRDefault="00840322" w:rsidP="00C86383">
      <w:pPr>
        <w:spacing w:after="0" w:line="240" w:lineRule="auto"/>
      </w:pPr>
      <w:r>
        <w:separator/>
      </w:r>
    </w:p>
  </w:endnote>
  <w:endnote w:type="continuationSeparator" w:id="0">
    <w:p w14:paraId="0D83AA93" w14:textId="77777777" w:rsidR="00840322" w:rsidRDefault="00840322" w:rsidP="00C86383">
      <w:pPr>
        <w:spacing w:after="0" w:line="240" w:lineRule="auto"/>
      </w:pPr>
      <w:r>
        <w:continuationSeparator/>
      </w:r>
    </w:p>
  </w:endnote>
  <w:endnote w:type="continuationNotice" w:id="1">
    <w:p w14:paraId="47F0F6E4" w14:textId="77777777" w:rsidR="00840322" w:rsidRDefault="008403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62E4A0" w14:textId="77777777" w:rsidR="00840322" w:rsidRDefault="00840322" w:rsidP="00C86383">
      <w:pPr>
        <w:spacing w:after="0" w:line="240" w:lineRule="auto"/>
      </w:pPr>
      <w:r>
        <w:separator/>
      </w:r>
    </w:p>
  </w:footnote>
  <w:footnote w:type="continuationSeparator" w:id="0">
    <w:p w14:paraId="63FE7B0F" w14:textId="77777777" w:rsidR="00840322" w:rsidRDefault="00840322" w:rsidP="00C86383">
      <w:pPr>
        <w:spacing w:after="0" w:line="240" w:lineRule="auto"/>
      </w:pPr>
      <w:r>
        <w:continuationSeparator/>
      </w:r>
    </w:p>
  </w:footnote>
  <w:footnote w:type="continuationNotice" w:id="1">
    <w:p w14:paraId="5793DD49" w14:textId="77777777" w:rsidR="00840322" w:rsidRDefault="008403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37E73"/>
    <w:rsid w:val="00044096"/>
    <w:rsid w:val="00044C1F"/>
    <w:rsid w:val="00051513"/>
    <w:rsid w:val="00055B91"/>
    <w:rsid w:val="0005725B"/>
    <w:rsid w:val="00062B6C"/>
    <w:rsid w:val="00062F7F"/>
    <w:rsid w:val="00070B80"/>
    <w:rsid w:val="0007298B"/>
    <w:rsid w:val="00073681"/>
    <w:rsid w:val="00073E0D"/>
    <w:rsid w:val="00082B98"/>
    <w:rsid w:val="00083230"/>
    <w:rsid w:val="00091EE7"/>
    <w:rsid w:val="000A08B2"/>
    <w:rsid w:val="000A0B41"/>
    <w:rsid w:val="000A668D"/>
    <w:rsid w:val="000C0CFC"/>
    <w:rsid w:val="000C1BC4"/>
    <w:rsid w:val="000C4109"/>
    <w:rsid w:val="000C7182"/>
    <w:rsid w:val="000D0397"/>
    <w:rsid w:val="000D1518"/>
    <w:rsid w:val="000D476A"/>
    <w:rsid w:val="000D5083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4B00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04AD"/>
    <w:rsid w:val="00176BBD"/>
    <w:rsid w:val="0018119B"/>
    <w:rsid w:val="00181B37"/>
    <w:rsid w:val="00181D50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1F6B0A"/>
    <w:rsid w:val="00202011"/>
    <w:rsid w:val="0020553B"/>
    <w:rsid w:val="002063FE"/>
    <w:rsid w:val="002129CF"/>
    <w:rsid w:val="00215C02"/>
    <w:rsid w:val="002176D7"/>
    <w:rsid w:val="002202CB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75863"/>
    <w:rsid w:val="00275F33"/>
    <w:rsid w:val="00283031"/>
    <w:rsid w:val="00283605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60CBD"/>
    <w:rsid w:val="003721D7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6B2B"/>
    <w:rsid w:val="003E08F3"/>
    <w:rsid w:val="003E193B"/>
    <w:rsid w:val="003E3131"/>
    <w:rsid w:val="003E334D"/>
    <w:rsid w:val="003E39E2"/>
    <w:rsid w:val="003E3F68"/>
    <w:rsid w:val="003E53A6"/>
    <w:rsid w:val="003E6C60"/>
    <w:rsid w:val="003F623E"/>
    <w:rsid w:val="003F66F6"/>
    <w:rsid w:val="003F6B43"/>
    <w:rsid w:val="003F7AE6"/>
    <w:rsid w:val="004029FA"/>
    <w:rsid w:val="00402A6A"/>
    <w:rsid w:val="00413F47"/>
    <w:rsid w:val="0042060E"/>
    <w:rsid w:val="004215B2"/>
    <w:rsid w:val="00430EDA"/>
    <w:rsid w:val="004331B5"/>
    <w:rsid w:val="004354FA"/>
    <w:rsid w:val="0043625A"/>
    <w:rsid w:val="00440837"/>
    <w:rsid w:val="00441F4D"/>
    <w:rsid w:val="004511B3"/>
    <w:rsid w:val="004530EE"/>
    <w:rsid w:val="0045672F"/>
    <w:rsid w:val="00457EDB"/>
    <w:rsid w:val="004615DB"/>
    <w:rsid w:val="00462270"/>
    <w:rsid w:val="00463738"/>
    <w:rsid w:val="0046513F"/>
    <w:rsid w:val="00472859"/>
    <w:rsid w:val="00477C33"/>
    <w:rsid w:val="00480E67"/>
    <w:rsid w:val="00480EEA"/>
    <w:rsid w:val="004819A5"/>
    <w:rsid w:val="004847B6"/>
    <w:rsid w:val="00485242"/>
    <w:rsid w:val="00493028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675CA"/>
    <w:rsid w:val="00583453"/>
    <w:rsid w:val="00595D7E"/>
    <w:rsid w:val="00597F1B"/>
    <w:rsid w:val="005A4BF2"/>
    <w:rsid w:val="005A6A5B"/>
    <w:rsid w:val="005B4F54"/>
    <w:rsid w:val="005C0232"/>
    <w:rsid w:val="005C275E"/>
    <w:rsid w:val="005C7FD6"/>
    <w:rsid w:val="005D008B"/>
    <w:rsid w:val="005D2C27"/>
    <w:rsid w:val="005D5197"/>
    <w:rsid w:val="005D79C0"/>
    <w:rsid w:val="005E0B16"/>
    <w:rsid w:val="005E3C64"/>
    <w:rsid w:val="005E4979"/>
    <w:rsid w:val="005F08C5"/>
    <w:rsid w:val="005F0A9B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2B4C"/>
    <w:rsid w:val="006B790D"/>
    <w:rsid w:val="006C2AEE"/>
    <w:rsid w:val="006D3004"/>
    <w:rsid w:val="006D6CF7"/>
    <w:rsid w:val="006E5794"/>
    <w:rsid w:val="006F2FA3"/>
    <w:rsid w:val="006F6C44"/>
    <w:rsid w:val="00700DFF"/>
    <w:rsid w:val="00702A04"/>
    <w:rsid w:val="0070337B"/>
    <w:rsid w:val="00704D02"/>
    <w:rsid w:val="007064AB"/>
    <w:rsid w:val="00706557"/>
    <w:rsid w:val="00707C51"/>
    <w:rsid w:val="007134F3"/>
    <w:rsid w:val="0071531C"/>
    <w:rsid w:val="00717DD1"/>
    <w:rsid w:val="00721911"/>
    <w:rsid w:val="00721F94"/>
    <w:rsid w:val="00722A76"/>
    <w:rsid w:val="007259CC"/>
    <w:rsid w:val="007312D6"/>
    <w:rsid w:val="007427F3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87F68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B7A9E"/>
    <w:rsid w:val="007C05DC"/>
    <w:rsid w:val="007C0DC8"/>
    <w:rsid w:val="007C1E4A"/>
    <w:rsid w:val="007C6F84"/>
    <w:rsid w:val="007F04D3"/>
    <w:rsid w:val="007F16F8"/>
    <w:rsid w:val="007F1C2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0322"/>
    <w:rsid w:val="00841A15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833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6402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1F3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46932"/>
    <w:rsid w:val="00A503B4"/>
    <w:rsid w:val="00A5392D"/>
    <w:rsid w:val="00A558AE"/>
    <w:rsid w:val="00A564E2"/>
    <w:rsid w:val="00A67678"/>
    <w:rsid w:val="00A74915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3AD9"/>
    <w:rsid w:val="00AE413A"/>
    <w:rsid w:val="00AE509D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4DA6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0BE7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97A92"/>
    <w:rsid w:val="00BA2D77"/>
    <w:rsid w:val="00BA7E66"/>
    <w:rsid w:val="00BB1D27"/>
    <w:rsid w:val="00BB4C3C"/>
    <w:rsid w:val="00BB5EC4"/>
    <w:rsid w:val="00BC1573"/>
    <w:rsid w:val="00BC2A76"/>
    <w:rsid w:val="00BD592D"/>
    <w:rsid w:val="00BD5A4B"/>
    <w:rsid w:val="00BF09A7"/>
    <w:rsid w:val="00BF0A3E"/>
    <w:rsid w:val="00BF1037"/>
    <w:rsid w:val="00BF1682"/>
    <w:rsid w:val="00BF3D89"/>
    <w:rsid w:val="00C011E1"/>
    <w:rsid w:val="00C01267"/>
    <w:rsid w:val="00C01362"/>
    <w:rsid w:val="00C15B46"/>
    <w:rsid w:val="00C17D88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1EF4"/>
    <w:rsid w:val="00CA57B6"/>
    <w:rsid w:val="00CB1F79"/>
    <w:rsid w:val="00CC1165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CE7985"/>
    <w:rsid w:val="00D02F75"/>
    <w:rsid w:val="00D05C90"/>
    <w:rsid w:val="00D0709B"/>
    <w:rsid w:val="00D121EC"/>
    <w:rsid w:val="00D16F63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3DD7"/>
    <w:rsid w:val="00DA4071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3AAA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945D4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05EA7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5BC9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5280"/>
    <w:rsid w:val="00FC6348"/>
    <w:rsid w:val="00FC7FD0"/>
    <w:rsid w:val="00FD2B25"/>
    <w:rsid w:val="00FD2BF4"/>
    <w:rsid w:val="00FD2D67"/>
    <w:rsid w:val="00FE1C2F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2026-07-08T07:18:55Z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2026-07-07T00:00:00Z</Date_x0020_protokolli>
    <Titulli xmlns="0e656187-b300-4fb0-8bf4-3a50f872073c">Për vlerësimin e veprimtarisë së Komisionit të Prokurimit Publik për vitin 2025 dhe rekomandimet për vitin 2026</Titulli>
    <Modifikuesi xmlns="0e656187-b300-4fb0-8bf4-3a50f872073c">alma.lisaku</Modifikuesi>
    <Nr_x002e__x0020_prot_x0020_QBZ xmlns="0e656187-b300-4fb0-8bf4-3a50f872073c">1522/5</Nr_x002e__x0020_prot_x0020_QBZ>
    <Data_x0020_e_x0020_Modifikimit xmlns="0e656187-b300-4fb0-8bf4-3a50f872073c">2026-07-08T08:26:02Z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3017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D0CDF646D147A89F8C4B0EDC7AFB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D0CDF646D147A89F8C4B0EDC7AFB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B8A86-4967-4662-B875-86BD5E83E42F}">
  <ds:schemaRefs>
    <ds:schemaRef ds:uri="0e656187-b300-4fb0-8bf4-3a50f872073c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0F6F4BE-CDC9-406F-BB7D-2FE114ADFD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E5F466-F8F6-44EC-AF6D-5F4736D45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4A8DFF-CAA8-4B55-9DE4-12542B59C7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E42098-C1C4-485A-9072-FB9F4D0AC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350D1F9-0D79-4AC5-8C90-9A2A4F89B02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1154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Komisionit të Prokurimit Publik për vitin 2025 dhe rekomandimet për vitin 2026</vt:lpstr>
    </vt:vector>
  </TitlesOfParts>
  <Company/>
  <LinksUpToDate>false</LinksUpToDate>
  <CharactersWithSpaces>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Komisionit të Prokurimit Publik për vitin 2025 dhe rekomandimet për vitin 2026</dc:title>
  <dc:creator>user</dc:creator>
  <cp:lastModifiedBy>Amarilda Muja</cp:lastModifiedBy>
  <cp:revision>6</cp:revision>
  <cp:lastPrinted>2026-07-01T10:43:00Z</cp:lastPrinted>
  <dcterms:created xsi:type="dcterms:W3CDTF">2026-07-08T07:28:00Z</dcterms:created>
  <dcterms:modified xsi:type="dcterms:W3CDTF">2026-07-08T09:37:00Z</dcterms:modified>
</cp:coreProperties>
</file>