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EE29E" w14:textId="73537C0F" w:rsidR="00274B6E" w:rsidRPr="002E6C70" w:rsidRDefault="0042060E" w:rsidP="002E6C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2E6C70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2E6C7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5B1FC62" w14:textId="77777777" w:rsidR="0092328A" w:rsidRPr="002E6C70" w:rsidRDefault="0092328A" w:rsidP="002E6C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C41A27B" w14:textId="77777777" w:rsidR="00552F8E" w:rsidRPr="002E6C70" w:rsidRDefault="00274B6E" w:rsidP="002E6C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PËR VLERËSIMIN E VEPRIMTARISË SË KOMISIONERIT </w:t>
      </w:r>
    </w:p>
    <w:p w14:paraId="2508A67C" w14:textId="342CDD4C" w:rsidR="00274B6E" w:rsidRPr="002E6C70" w:rsidRDefault="00274B6E" w:rsidP="002E6C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>PËR MBROJTJEN NGA DISKRIMINIMI</w:t>
      </w:r>
      <w:r w:rsidR="0082124E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 PËR VITIN 2025</w:t>
      </w:r>
    </w:p>
    <w:p w14:paraId="6D030C44" w14:textId="44637CD7" w:rsidR="00552F8E" w:rsidRPr="002E6C70" w:rsidRDefault="00552F8E" w:rsidP="002E6C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/>
          <w:b/>
          <w:sz w:val="24"/>
          <w:szCs w:val="24"/>
        </w:rPr>
        <w:t>DHE REKOMANDIMET PËR VITIN 2026</w:t>
      </w:r>
    </w:p>
    <w:p w14:paraId="6FF7241B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6D69231D" w14:textId="65D67944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>Kuvendi i Shqipërisë,</w:t>
      </w:r>
    </w:p>
    <w:p w14:paraId="7574F7FB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Duke njohur rolin e Komisionerit për Mbrojtjen nga Diskriminimi si autoriteti përgjegjës që siguron mbrojtjen efektive nga diskriminimi dhe nga çdo formë sjelljeje që nxit diskriminimin;</w:t>
      </w:r>
    </w:p>
    <w:p w14:paraId="235A607B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Duke vlerësuar rëndësinë e zbatimit të mekanizmave ligjorë kombëtarë dhe ndërkombëtarë për mbrojtjen e të drejtave të njeriut;</w:t>
      </w:r>
    </w:p>
    <w:p w14:paraId="5D3411BE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Duke mbajtur në konsideratë nevojën për forcimin e mekanizmave institucionalë të barazisë, mosdiskriminimit dhe mbrojtjes efektive të grupeve vulnerabël;</w:t>
      </w:r>
    </w:p>
    <w:p w14:paraId="319995AB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Duke vlerësuar rëndësinë e përafrimit të kuadrit ligjor dhe institucional për mosdiskriminimin me </w:t>
      </w:r>
      <w:r w:rsidRPr="002E6C70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të Bashkimit Evropian dhe standardet evropiane për organet e barazisë;</w:t>
      </w:r>
    </w:p>
    <w:p w14:paraId="6C0F8D52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Duke mbështetur bashkëpunimin e Komisionerit me institucionet publike në nivel qendror e vendor, shoqërinë civile, medien, publikun dhe partnerët ndërkombëtarë;</w:t>
      </w:r>
    </w:p>
    <w:p w14:paraId="2BAD7894" w14:textId="38327B96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>Vlerëson veprimtarinë e Komisionerit për Mbrojtjen nga Diskriminimi gjatë vitit 2025</w:t>
      </w:r>
      <w:r w:rsidR="0082124E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 në këto drejtime:</w:t>
      </w:r>
    </w:p>
    <w:p w14:paraId="38F78DEC" w14:textId="2FD571F6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Trajtimin e 424 çështjeve, nga të cilat 404 ankesa dhe 20 çështje </w:t>
      </w:r>
      <w:r w:rsidRPr="002E6C70">
        <w:rPr>
          <w:rFonts w:ascii="Garamond" w:eastAsia="Times New Roman" w:hAnsi="Garamond" w:cs="Times New Roman"/>
          <w:bCs/>
          <w:i/>
          <w:iCs/>
          <w:sz w:val="24"/>
          <w:szCs w:val="24"/>
        </w:rPr>
        <w:t>ex-officio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; dhënien e 284 vendimeve dhe 3 rekomandimeve; adresimin e 64 rekomandimeve ndaj institucioneve të tjera; si dhe dhënien e 8 rekomandimeve dhe opinioneve ligjore, me iniciativën e tij apo me kërkesë të institucioneve.</w:t>
      </w:r>
    </w:p>
    <w:p w14:paraId="0C0C6D81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Rritjen e ndërgjegjësimit dhe raportimit të rasteve të diskriminimit, veçanërisht në fushën e të mirave dhe shërbimeve, punësimit dhe arsimit, duke evidentuar njëkohësisht sfida të vazhdueshme në garantimin efektiv të barazisë.</w:t>
      </w:r>
    </w:p>
    <w:p w14:paraId="53D1AE60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Trajtimin e çështjeve që lidhen me të drejtat e fëmijëve, gjuhën e urrejtjes dhe mbrojtjen e shtetasve të huaj, si fusha me rëndësi të veçantë për mbrojtjen e grupeve në situatë vulnerabël dhe për përputhjen me standardet ndërkombëtare të të drejtave të njeriut.</w:t>
      </w:r>
    </w:p>
    <w:p w14:paraId="2E1B81C7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Ushtrimin e kompetencës për nisjen e çështjeve </w:t>
      </w:r>
      <w:r w:rsidRPr="002E6C70">
        <w:rPr>
          <w:rFonts w:ascii="Garamond" w:eastAsia="Times New Roman" w:hAnsi="Garamond" w:cs="Times New Roman"/>
          <w:bCs/>
          <w:i/>
          <w:iCs/>
          <w:sz w:val="24"/>
          <w:szCs w:val="24"/>
        </w:rPr>
        <w:t>ex officio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, si tregues i rolit proaktiv të Komisionerit në identifikimin dhe adresimin e rasteve të diskriminimit përtej ankesave individuale.</w:t>
      </w:r>
    </w:p>
    <w:p w14:paraId="704E6E28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Dhënien e rekomandimeve dhe opinioneve ligjore për projektakte, përfshirë projektligje dhe projektvendime që lidhen me barazinë gjinore, vullnetarizmin, shërbimet, Avokatin e Popullit, dhunën ndaj grave dhe dhunën në familje, Kodin Penal dhe draftin e Kodit të ri Penal.</w:t>
      </w:r>
    </w:p>
    <w:p w14:paraId="0BE4DD96" w14:textId="03BBEE35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 </w:t>
      </w:r>
      <w:r w:rsidR="00C94A07" w:rsidRPr="002E6C70">
        <w:rPr>
          <w:rFonts w:ascii="Garamond" w:eastAsia="Times New Roman" w:hAnsi="Garamond" w:cs="Times New Roman"/>
          <w:b/>
          <w:sz w:val="24"/>
          <w:szCs w:val="24"/>
        </w:rPr>
        <w:t>rekomandon</w:t>
      </w: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 që Komisioneri për Mbrojtjen nga Diskriminimi</w:t>
      </w:r>
      <w:r w:rsidR="0082124E">
        <w:rPr>
          <w:rFonts w:ascii="Garamond" w:eastAsia="Times New Roman" w:hAnsi="Garamond" w:cs="Times New Roman"/>
          <w:b/>
          <w:sz w:val="24"/>
          <w:szCs w:val="24"/>
        </w:rPr>
        <w:t>,</w:t>
      </w:r>
      <w:r w:rsidRPr="002E6C70">
        <w:rPr>
          <w:rFonts w:ascii="Garamond" w:eastAsia="Times New Roman" w:hAnsi="Garamond" w:cs="Times New Roman"/>
          <w:b/>
          <w:sz w:val="24"/>
          <w:szCs w:val="24"/>
        </w:rPr>
        <w:t xml:space="preserve"> për vitin 2026:</w:t>
      </w:r>
    </w:p>
    <w:p w14:paraId="66156A14" w14:textId="6D9BE8A5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1. Të përmirësojë raportimin vjetor, duke paraqitur të dhëna për numrin dhe tipologjinë e ankesave, bazat e diskriminimit, grupet e prekura, afatet e shqyrtimit, vendimmarrjet, masat administrative, zbatimin e rekomandimeve dhe rezultatet e ndërhyrjeve të institucionit, si dhe të publikojë informacionin me interes publik, në përmbushje të </w:t>
      </w:r>
      <w:r w:rsidR="002232C2" w:rsidRPr="002E6C70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tandardeve të Programit të Transparencës dhe të drejtës për informim.</w:t>
      </w:r>
    </w:p>
    <w:p w14:paraId="5E937002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2. Të forcojë rolin institucional në garantimin e mbrojtjes efektive nga diskriminimi, në përputhje me </w:t>
      </w:r>
      <w:r w:rsidRPr="002E6C70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të Bashkimit Evropian dhe standardet evropiane për organet e barazisë.</w:t>
      </w:r>
    </w:p>
    <w:p w14:paraId="593CE866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3. Të rrisë eficiencën në trajtimin e ankesave, duke përmirësuar afatet, cilësinë dhe transparencën e procedurave administrative, me qëllim garantimin e një mbrojtjeje më efektive për qytetarët.</w:t>
      </w:r>
    </w:p>
    <w:p w14:paraId="10AC6B92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4. Të forcojë veprimtarinë monitoruese për përmirësimin dhe zbatimin e legjislacionit kundër diskriminimit, duke evidentuar problematikat e përsëritura dhe duke ndjekur zbatimin e rekomandimeve të dhëna ndaj institucioneve publike.</w:t>
      </w:r>
    </w:p>
    <w:p w14:paraId="41A783B3" w14:textId="2E31BFFE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5. Të rrisë dhe të konsolidojë praktikën e shqyrtimit me veti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niciativë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(</w:t>
      </w:r>
      <w:r w:rsidRPr="002E6C70">
        <w:rPr>
          <w:rFonts w:ascii="Garamond" w:eastAsia="Times New Roman" w:hAnsi="Garamond" w:cs="Times New Roman"/>
          <w:bCs/>
          <w:i/>
          <w:iCs/>
          <w:sz w:val="24"/>
          <w:szCs w:val="24"/>
        </w:rPr>
        <w:t>ex officio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) të çështjeve, si mekanizëm për identifikimin dhe adresimin e rasteve të diskriminimit, veçanërisht në rastet me karakter sistemik ose me ndikim mbi grupe vulnerabël.</w:t>
      </w:r>
    </w:p>
    <w:p w14:paraId="527444B1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lastRenderedPageBreak/>
        <w:t>6. Të forcojë bashkëpunimin me institucionet publike dhe organizatat e shoqërisë civile, me qëllim rritjen e ndërgjegjësimit dhe kapaciteteve për trajtimin efektiv të rasteve që lidhen me diskriminimin, gjuhën e urrejtjes dhe krimet e urrejtjes.</w:t>
      </w:r>
    </w:p>
    <w:p w14:paraId="517C0BE6" w14:textId="22749902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7. Të forcojë mekanizmat për identifikimin, raportimin dhe adresimin e diskriminimit, gjuhës së urrejtjes në mjedisin publik dhe </w:t>
      </w:r>
      <w:r w:rsidRPr="0082124E">
        <w:rPr>
          <w:rFonts w:ascii="Garamond" w:eastAsia="Times New Roman" w:hAnsi="Garamond" w:cs="Times New Roman"/>
          <w:bCs/>
          <w:i/>
          <w:sz w:val="24"/>
          <w:szCs w:val="24"/>
        </w:rPr>
        <w:t>online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, veçanërisht ndaj grave dhe vajzave, personave LGBTI, fëmijëve, pakicave etnike, personave me aftësi të kufizuara dhe grupeve të tjera vulnerabël, në përputhje me gjetjet e IBAR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-it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dhe rekomandimet e BE-së. Të nxisë edukimin digjital, mbrojtjen efektive të fëmijëve dhe koordinimin institucional për adresimin e diskriminimit dhe gjuhës së urrejtjes në hapësirën digjitale.</w:t>
      </w:r>
    </w:p>
    <w:p w14:paraId="1EE148FA" w14:textId="74C3593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8. Të zhvillojë sistemin e mbledhjes, përpunimit dhe analizimit të të dhënave </w:t>
      </w:r>
      <w:r w:rsidR="009E04DE" w:rsidRPr="002E6C70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diskriminimin, gjuhën e urrejtjes dhe krimet e urrejtjes, me qëllim krijimin e një baze për vlerësimin e situatës dhe orientimin e politikave publike.</w:t>
      </w:r>
    </w:p>
    <w:p w14:paraId="43B9712B" w14:textId="7777777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9. Të rrisë ndërgjegjësimin publik për të drejtat në fushën e barazisë dhe mosdiskriminimit, kompetencat e Komisionerit dhe procedurat e ankimimit, përmes fushatave informuese dhe aktiviteteve edukative, me fokus të veçantë në zonat rurale, zonat e largëta, institucionet arsimore dhe komunitetet në nevojë.</w:t>
      </w:r>
    </w:p>
    <w:p w14:paraId="3C374A00" w14:textId="7DEEC85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10. Të kryejë sondazhe </w:t>
      </w:r>
      <w:r w:rsidR="00BB4E6D" w:rsidRPr="002E6C70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BB4E6D" w:rsidRPr="002E6C70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diskriminimin sipas përcaktimeve të nenit 32, shkronja “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e”, të ligjit nr. 10 221, datë 4.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2.2010, “Për mbrojtjen nga diskriminimi”, </w:t>
      </w:r>
      <w:r w:rsidR="00BB4E6D" w:rsidRPr="002E6C70">
        <w:rPr>
          <w:rFonts w:ascii="Garamond" w:eastAsia="Times New Roman" w:hAnsi="Garamond" w:cs="Times New Roman"/>
          <w:bCs/>
          <w:sz w:val="24"/>
          <w:szCs w:val="24"/>
        </w:rPr>
        <w:t>i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ndryshuar.</w:t>
      </w:r>
    </w:p>
    <w:p w14:paraId="301EB180" w14:textId="773B5FED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11. Të kryejë një vlerësim të strukturuar </w:t>
      </w:r>
      <w:r w:rsidR="00BB4E6D" w:rsidRPr="002E6C70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ndikimin e përdorimit të teknologjisë në ofrimin e shërbimeve publike bazë, përfshirë shërbimet arsimore, sociale dhe shërbime të tjera të domosdoshme, me qëllim evidentimin e pasojave diskriminuese ndaj shtresave në nevojë dhe personave në kushte vështirësie ekonomike dhe ta përcjellë këtë vlerësim pranë Kuvendit të Shqipërisë brenda muajit dhjetor 2026.</w:t>
      </w:r>
    </w:p>
    <w:p w14:paraId="248C4AA0" w14:textId="6E6086A3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12. Të forcojë kapacitetet profesionale të punonjësve të Zyrës së Komisionerit përmes trajnimeve në fushën e diskriminimit të shumëfishtë, gjuhës së urrejtjes, krimeve të urrejtjes, barazisë gjinore dhe mbrojtjes së grupeve vulnerabël.</w:t>
      </w:r>
    </w:p>
    <w:p w14:paraId="3517AEC6" w14:textId="5E53B7CD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13. Të forcojë bashkëpunimin ndërinstitucional me institucione të tjera</w:t>
      </w:r>
      <w:r w:rsidR="0034526D" w:rsidRPr="002E6C7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si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: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Avokati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e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Popullit, AMA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-n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, KLSH</w:t>
      </w:r>
      <w:r w:rsidR="0082124E">
        <w:rPr>
          <w:rFonts w:ascii="Garamond" w:eastAsia="Times New Roman" w:hAnsi="Garamond" w:cs="Times New Roman"/>
          <w:bCs/>
          <w:sz w:val="24"/>
          <w:szCs w:val="24"/>
        </w:rPr>
        <w:t>-n</w:t>
      </w:r>
      <w:r w:rsidR="0082124E" w:rsidRPr="002E6C7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dhe shoqërinë civile, si kusht për përmbushjen e standardeve të Bashkimit </w:t>
      </w:r>
      <w:r w:rsidR="001439CC" w:rsidRPr="002E6C70">
        <w:rPr>
          <w:rFonts w:ascii="Garamond" w:eastAsia="Times New Roman" w:hAnsi="Garamond" w:cs="Times New Roman"/>
          <w:bCs/>
          <w:sz w:val="24"/>
          <w:szCs w:val="24"/>
        </w:rPr>
        <w:t>Evropian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 në fushën e mbrojtjes nga diskriminimi, barazisë dhe respektimit të të drejtave të njeriut.</w:t>
      </w:r>
    </w:p>
    <w:p w14:paraId="6898A2D1" w14:textId="474AB84E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14. Të bashkëpunojë me strukturat përgjegjëse të Kuvendit të Shqipërisë për zhvillimin dhe konsolidimin e metodologjisë së standardizuar të treguesve kyç të performancës, si bazë për monitorimin dhe vlerësimin e zbatimit të rekomandimeve të rezolutës, në funksion të forcimit të llogaridhënies dhe mbikëqyrjes parlamentare. Ky angazhim të përmbushet brenda tremujorit të tretë të vitit 2026.</w:t>
      </w:r>
    </w:p>
    <w:p w14:paraId="42AB114E" w14:textId="0E9F6E97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15. Të sigurojë zbatimin në kohë të rekomandimeve dhe vendimeve të institucioneve të pavarura, duke raportuar periodikisht çdo katër muaj në Kuvend </w:t>
      </w:r>
      <w:r w:rsidR="007E7E28" w:rsidRPr="002E6C70">
        <w:rPr>
          <w:rFonts w:ascii="Garamond" w:eastAsia="Times New Roman" w:hAnsi="Garamond" w:cs="Times New Roman"/>
          <w:bCs/>
          <w:sz w:val="24"/>
          <w:szCs w:val="24"/>
        </w:rPr>
        <w:t xml:space="preserve">për </w:t>
      </w:r>
      <w:r w:rsidRPr="002E6C70">
        <w:rPr>
          <w:rFonts w:ascii="Garamond" w:eastAsia="Times New Roman" w:hAnsi="Garamond" w:cs="Times New Roman"/>
          <w:bCs/>
          <w:sz w:val="24"/>
          <w:szCs w:val="24"/>
        </w:rPr>
        <w:t>masat e ndërmarra dhe statusin e zbatimit të tyre në përmbushje të detyrimeve institucionale, si dhe standardeve evropiane.</w:t>
      </w:r>
    </w:p>
    <w:p w14:paraId="37C3ADF6" w14:textId="15624A7C" w:rsidR="00274B6E" w:rsidRPr="002E6C70" w:rsidRDefault="00274B6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2E6C70">
        <w:rPr>
          <w:rFonts w:ascii="Garamond" w:eastAsia="Times New Roman" w:hAnsi="Garamond" w:cs="Times New Roman"/>
          <w:bCs/>
          <w:sz w:val="24"/>
          <w:szCs w:val="24"/>
        </w:rPr>
        <w:t>16. Të parashikojë në planifikimin buxhetor afatmesëm fondet e nevojshme për projektimin, ngritjen, zhvillimin dhe mirëmbajtjen e një sistemi të integruar elektronik për menaxhimin e ankesave, administrimin e çështjeve, monitorimin e zbatimit të rekomandimeve dhe raportimin institucional.</w:t>
      </w:r>
    </w:p>
    <w:p w14:paraId="686F6AAE" w14:textId="77777777" w:rsidR="0042060E" w:rsidRPr="002E6C70" w:rsidRDefault="0042060E" w:rsidP="002E6C7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4CBF1029" w:rsidR="00EB62DE" w:rsidRPr="002E6C70" w:rsidRDefault="00A755F6" w:rsidP="002E6C7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E6C70">
        <w:rPr>
          <w:rFonts w:ascii="Garamond" w:hAnsi="Garamond" w:cs="Times New Roman"/>
          <w:sz w:val="24"/>
          <w:szCs w:val="24"/>
        </w:rPr>
        <w:t xml:space="preserve">Miratuar në datën </w:t>
      </w:r>
      <w:r w:rsidR="00391820" w:rsidRPr="002E6C70">
        <w:rPr>
          <w:rFonts w:ascii="Garamond" w:hAnsi="Garamond" w:cs="Times New Roman"/>
          <w:sz w:val="24"/>
          <w:szCs w:val="24"/>
        </w:rPr>
        <w:t>2.7</w:t>
      </w:r>
      <w:r w:rsidR="00181D50" w:rsidRPr="002E6C70">
        <w:rPr>
          <w:rFonts w:ascii="Garamond" w:hAnsi="Garamond" w:cs="Times New Roman"/>
          <w:sz w:val="24"/>
          <w:szCs w:val="24"/>
        </w:rPr>
        <w:t>.</w:t>
      </w:r>
      <w:r w:rsidR="003C57D3" w:rsidRPr="002E6C70">
        <w:rPr>
          <w:rFonts w:ascii="Garamond" w:hAnsi="Garamond" w:cs="Times New Roman"/>
          <w:sz w:val="24"/>
          <w:szCs w:val="24"/>
        </w:rPr>
        <w:t>202</w:t>
      </w:r>
      <w:r w:rsidR="00275863" w:rsidRPr="002E6C70">
        <w:rPr>
          <w:rFonts w:ascii="Garamond" w:hAnsi="Garamond" w:cs="Times New Roman"/>
          <w:sz w:val="24"/>
          <w:szCs w:val="24"/>
        </w:rPr>
        <w:t>6</w:t>
      </w:r>
      <w:r w:rsidR="001439CC">
        <w:rPr>
          <w:rFonts w:ascii="Garamond" w:hAnsi="Garamond" w:cs="Times New Roman"/>
          <w:sz w:val="24"/>
          <w:szCs w:val="24"/>
        </w:rPr>
        <w:t>.</w:t>
      </w:r>
    </w:p>
    <w:p w14:paraId="05A8005D" w14:textId="77777777" w:rsidR="00841A15" w:rsidRPr="002E6C70" w:rsidRDefault="00841A15" w:rsidP="002E6C7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28FB015" w14:textId="36D25832" w:rsidR="003C57D3" w:rsidRPr="002E6C70" w:rsidRDefault="001439CC" w:rsidP="002E6C7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  <w:bookmarkStart w:id="0" w:name="_GoBack"/>
      <w:bookmarkEnd w:id="0"/>
    </w:p>
    <w:p w14:paraId="5D2B02DA" w14:textId="399AEEAB" w:rsidR="002E6C70" w:rsidRPr="002E6C70" w:rsidRDefault="002E6C70" w:rsidP="002E6C7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2E6C70">
        <w:rPr>
          <w:rFonts w:ascii="Garamond" w:eastAsia="Times New Roman" w:hAnsi="Garamond" w:cs="Times New Roman"/>
          <w:b/>
          <w:sz w:val="24"/>
          <w:szCs w:val="24"/>
        </w:rPr>
        <w:t>Niko Peleshi</w:t>
      </w:r>
    </w:p>
    <w:sectPr w:rsidR="002E6C70" w:rsidRPr="002E6C70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4CD93" w14:textId="77777777" w:rsidR="002E6C70" w:rsidRDefault="002E6C70" w:rsidP="00C86383">
      <w:pPr>
        <w:spacing w:after="0" w:line="240" w:lineRule="auto"/>
      </w:pPr>
      <w:r>
        <w:separator/>
      </w:r>
    </w:p>
  </w:endnote>
  <w:endnote w:type="continuationSeparator" w:id="0">
    <w:p w14:paraId="60B01AC1" w14:textId="77777777" w:rsidR="002E6C70" w:rsidRDefault="002E6C70" w:rsidP="00C86383">
      <w:pPr>
        <w:spacing w:after="0" w:line="240" w:lineRule="auto"/>
      </w:pPr>
      <w:r>
        <w:continuationSeparator/>
      </w:r>
    </w:p>
  </w:endnote>
  <w:endnote w:type="continuationNotice" w:id="1">
    <w:p w14:paraId="374E3276" w14:textId="77777777" w:rsidR="006C640E" w:rsidRDefault="006C64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F05D6" w14:textId="77777777" w:rsidR="002E6C70" w:rsidRDefault="002E6C70" w:rsidP="00C86383">
      <w:pPr>
        <w:spacing w:after="0" w:line="240" w:lineRule="auto"/>
      </w:pPr>
      <w:r>
        <w:separator/>
      </w:r>
    </w:p>
  </w:footnote>
  <w:footnote w:type="continuationSeparator" w:id="0">
    <w:p w14:paraId="05C11DC7" w14:textId="77777777" w:rsidR="002E6C70" w:rsidRDefault="002E6C70" w:rsidP="00C86383">
      <w:pPr>
        <w:spacing w:after="0" w:line="240" w:lineRule="auto"/>
      </w:pPr>
      <w:r>
        <w:continuationSeparator/>
      </w:r>
    </w:p>
  </w:footnote>
  <w:footnote w:type="continuationNotice" w:id="1">
    <w:p w14:paraId="5DC5AFE9" w14:textId="77777777" w:rsidR="006C640E" w:rsidRDefault="006C64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D78B5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9CC"/>
    <w:rsid w:val="00143A0C"/>
    <w:rsid w:val="001501FF"/>
    <w:rsid w:val="0016140E"/>
    <w:rsid w:val="00162EC4"/>
    <w:rsid w:val="00176BBD"/>
    <w:rsid w:val="00177EE7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02CB"/>
    <w:rsid w:val="002232C2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4B6E"/>
    <w:rsid w:val="0027586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E6C70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26D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20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4029FA"/>
    <w:rsid w:val="00402A6A"/>
    <w:rsid w:val="00413F47"/>
    <w:rsid w:val="0042060E"/>
    <w:rsid w:val="004215B2"/>
    <w:rsid w:val="00430EDA"/>
    <w:rsid w:val="004354FA"/>
    <w:rsid w:val="0043625A"/>
    <w:rsid w:val="00440837"/>
    <w:rsid w:val="00441F4D"/>
    <w:rsid w:val="004530EE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2F8E"/>
    <w:rsid w:val="00555F66"/>
    <w:rsid w:val="00556003"/>
    <w:rsid w:val="00556EBC"/>
    <w:rsid w:val="00564D41"/>
    <w:rsid w:val="00566A66"/>
    <w:rsid w:val="00567336"/>
    <w:rsid w:val="005675CA"/>
    <w:rsid w:val="00595D7E"/>
    <w:rsid w:val="00597F1B"/>
    <w:rsid w:val="005A4BF2"/>
    <w:rsid w:val="005A694F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46E8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C640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31E82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E7E28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065E4"/>
    <w:rsid w:val="00810DBF"/>
    <w:rsid w:val="00813AD7"/>
    <w:rsid w:val="00814941"/>
    <w:rsid w:val="0082124E"/>
    <w:rsid w:val="00821505"/>
    <w:rsid w:val="0082316D"/>
    <w:rsid w:val="00824042"/>
    <w:rsid w:val="00824A4B"/>
    <w:rsid w:val="008258AB"/>
    <w:rsid w:val="00827BC7"/>
    <w:rsid w:val="00831CD1"/>
    <w:rsid w:val="00833B9B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42EE"/>
    <w:rsid w:val="0088785E"/>
    <w:rsid w:val="00890D60"/>
    <w:rsid w:val="00892480"/>
    <w:rsid w:val="00897A30"/>
    <w:rsid w:val="008A35C8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E3F76"/>
    <w:rsid w:val="008F0F64"/>
    <w:rsid w:val="008F16D6"/>
    <w:rsid w:val="008F3C04"/>
    <w:rsid w:val="008F3C44"/>
    <w:rsid w:val="008F5EF5"/>
    <w:rsid w:val="008F668F"/>
    <w:rsid w:val="008F6781"/>
    <w:rsid w:val="009051F4"/>
    <w:rsid w:val="0092328A"/>
    <w:rsid w:val="0092415F"/>
    <w:rsid w:val="009256DD"/>
    <w:rsid w:val="0094122A"/>
    <w:rsid w:val="00946655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04DE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281F"/>
    <w:rsid w:val="00A241B8"/>
    <w:rsid w:val="00A3090A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37F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4E6D"/>
    <w:rsid w:val="00BB5EC4"/>
    <w:rsid w:val="00BC2A76"/>
    <w:rsid w:val="00BD592D"/>
    <w:rsid w:val="00BD5A4B"/>
    <w:rsid w:val="00BE4B67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4A07"/>
    <w:rsid w:val="00C96F2B"/>
    <w:rsid w:val="00CA0814"/>
    <w:rsid w:val="00CA0EBE"/>
    <w:rsid w:val="00CA198E"/>
    <w:rsid w:val="00CA2DA6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0740A"/>
    <w:rsid w:val="00D121EC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0FF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101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2026-07-08T07:18:54Z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Komisionerit për Mbrojtjen nga Diskriminimi për vitin 2025 dhe rekomandimet për vitin 2026</Titulli>
    <Modifikuesi xmlns="0e656187-b300-4fb0-8bf4-3a50f872073c">keisina.zace</Modifikuesi>
    <Nr_x002e__x0020_prot_x0020_QBZ xmlns="0e656187-b300-4fb0-8bf4-3a50f872073c">1522/9</Nr_x002e__x0020_prot_x0020_QBZ>
    <Data_x0020_e_x0020_Modifikimit xmlns="0e656187-b300-4fb0-8bf4-3a50f872073c">2026-07-08T08:07:59Z</Data_x0020_e_x0020_Modifikimit>
    <Dekretuar xmlns="0e656187-b300-4fb0-8bf4-3a50f872073c">false</Dekretuar>
    <Data xmlns="0e656187-b300-4fb0-8bf4-3a50f872073c">2026-07-02T00:00:00Z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5E6F3E83244F13A546623F999D29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26E2D-2134-4793-B85C-A25EEBE5F2D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101D1F-78C4-4597-BBBD-97068CEA5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E6B309-366B-46C9-A728-0AC4296BF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A85EF8-F983-44D6-A321-5F7021A381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Mbrojtjen nga Diskriminimi për vitin 2025 dhe rekomandimet për vitin 2026</dc:title>
  <dc:creator>user</dc:creator>
  <cp:lastModifiedBy>fjora.cahani</cp:lastModifiedBy>
  <cp:revision>6</cp:revision>
  <cp:lastPrinted>2026-07-03T10:17:00Z</cp:lastPrinted>
  <dcterms:created xsi:type="dcterms:W3CDTF">2026-07-08T07:29:00Z</dcterms:created>
  <dcterms:modified xsi:type="dcterms:W3CDTF">2026-07-08T08:38:00Z</dcterms:modified>
</cp:coreProperties>
</file>