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32D91" w14:textId="45B04F62" w:rsidR="00493028" w:rsidRPr="006A1D1C" w:rsidRDefault="0042060E" w:rsidP="006A1D1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6A1D1C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7F1C28" w:rsidRPr="006A1D1C">
        <w:rPr>
          <w:rFonts w:ascii="Garamond" w:eastAsia="Times New Roman" w:hAnsi="Garamond" w:cs="Times New Roman"/>
          <w:b/>
          <w:sz w:val="24"/>
          <w:szCs w:val="24"/>
        </w:rPr>
        <w:t>Ë</w:t>
      </w:r>
      <w:r w:rsidR="00493028" w:rsidRPr="006A1D1C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</w:p>
    <w:p w14:paraId="43CF1C83" w14:textId="77777777" w:rsidR="004C21B8" w:rsidRPr="006A1D1C" w:rsidRDefault="0052278D" w:rsidP="006A1D1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6A1D1C">
        <w:rPr>
          <w:rFonts w:ascii="Garamond" w:eastAsia="Times New Roman" w:hAnsi="Garamond" w:cs="Times New Roman"/>
          <w:b/>
          <w:sz w:val="24"/>
          <w:szCs w:val="24"/>
        </w:rPr>
        <w:t xml:space="preserve">PËR VLERËSIMIN E VEPRIMTARISË SË ENTIT RREGULLATOR TË UJIT </w:t>
      </w:r>
    </w:p>
    <w:p w14:paraId="6DCBCEE3" w14:textId="3F6293DB" w:rsidR="0052278D" w:rsidRPr="006A1D1C" w:rsidRDefault="0052278D" w:rsidP="006A1D1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6A1D1C">
        <w:rPr>
          <w:rFonts w:ascii="Garamond" w:eastAsia="Times New Roman" w:hAnsi="Garamond" w:cs="Times New Roman"/>
          <w:b/>
          <w:sz w:val="24"/>
          <w:szCs w:val="24"/>
        </w:rPr>
        <w:t>PËR VITIN 2025 DHE REKOMANDIMET PËR VITIN 2026</w:t>
      </w:r>
    </w:p>
    <w:p w14:paraId="3ECCC0E4" w14:textId="77777777" w:rsidR="0052278D" w:rsidRPr="006A1D1C" w:rsidRDefault="0052278D" w:rsidP="006A1D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</w:p>
    <w:p w14:paraId="5010D05B" w14:textId="605C81E1" w:rsidR="0052278D" w:rsidRPr="006A1D1C" w:rsidRDefault="0052278D" w:rsidP="006A1D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6A1D1C">
        <w:rPr>
          <w:rFonts w:ascii="Garamond" w:eastAsia="Times New Roman" w:hAnsi="Garamond" w:cs="Times New Roman"/>
          <w:b/>
          <w:sz w:val="24"/>
          <w:szCs w:val="24"/>
        </w:rPr>
        <w:t>Kuvendi i Shqipërisë,</w:t>
      </w:r>
    </w:p>
    <w:p w14:paraId="59AEBD14" w14:textId="4A743ED9" w:rsidR="0052278D" w:rsidRPr="006A1D1C" w:rsidRDefault="006A1D1C" w:rsidP="006A1D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>Duke njohur Entin Rregullator të Ujit si një institucion të pavarur publik, përgjegjës për rregullimin dhe mbikëqyrjen e sektorit të furnizimit me ujë dhe largimit e përpunimit të ujërave të ndotura në nivel kombëtar</w:t>
      </w:r>
      <w:r w:rsidR="00041D04" w:rsidRPr="006A1D1C">
        <w:rPr>
          <w:rFonts w:ascii="Garamond" w:eastAsia="Times New Roman" w:hAnsi="Garamond" w:cs="Times New Roman"/>
          <w:bCs/>
          <w:sz w:val="24"/>
          <w:szCs w:val="24"/>
        </w:rPr>
        <w:t>;</w:t>
      </w:r>
    </w:p>
    <w:p w14:paraId="1F988A93" w14:textId="34ED6748" w:rsidR="0052278D" w:rsidRPr="006A1D1C" w:rsidRDefault="006A1D1C" w:rsidP="006A1D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>Duke theksuar se</w:t>
      </w:r>
      <w:r w:rsidR="00406801" w:rsidRPr="006A1D1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përveç rolit rregullator dhe </w:t>
      </w:r>
      <w:proofErr w:type="spellStart"/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>asistues</w:t>
      </w:r>
      <w:proofErr w:type="spellEnd"/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të ERRU-së, është e nevojshme që çështjet </w:t>
      </w:r>
      <w:proofErr w:type="spellStart"/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>rregullatore</w:t>
      </w:r>
      <w:proofErr w:type="spellEnd"/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dhe të qëndrueshmërisë financiare të shoqërive të jenë në vëmendje të vazhdueshme edhe të institucioneve përgjegjëse të linjës, </w:t>
      </w:r>
      <w:proofErr w:type="spellStart"/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>AKUK</w:t>
      </w:r>
      <w:proofErr w:type="spellEnd"/>
      <w:r w:rsidR="00406801" w:rsidRPr="006A1D1C">
        <w:rPr>
          <w:rFonts w:ascii="Garamond" w:eastAsia="Times New Roman" w:hAnsi="Garamond" w:cs="Times New Roman"/>
          <w:bCs/>
          <w:sz w:val="24"/>
          <w:szCs w:val="24"/>
        </w:rPr>
        <w:t>-</w:t>
      </w:r>
      <w:r w:rsidR="009817B3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së</w:t>
      </w:r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dhe njësive të vetëqeverisjes vendore, në cilësinë e </w:t>
      </w:r>
      <w:r w:rsidR="007F3D97" w:rsidRPr="006A1D1C">
        <w:rPr>
          <w:rFonts w:ascii="Garamond" w:eastAsia="Times New Roman" w:hAnsi="Garamond" w:cs="Times New Roman"/>
          <w:bCs/>
          <w:sz w:val="24"/>
          <w:szCs w:val="24"/>
        </w:rPr>
        <w:t>aksionarëve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të shoqërive</w:t>
      </w:r>
      <w:r w:rsidR="0015450E" w:rsidRPr="006A1D1C">
        <w:rPr>
          <w:rFonts w:ascii="Garamond" w:eastAsia="Times New Roman" w:hAnsi="Garamond" w:cs="Times New Roman"/>
          <w:bCs/>
          <w:sz w:val="24"/>
          <w:szCs w:val="24"/>
        </w:rPr>
        <w:t>;</w:t>
      </w:r>
    </w:p>
    <w:p w14:paraId="3A08E8DE" w14:textId="1E8CE18B" w:rsidR="0052278D" w:rsidRPr="006A1D1C" w:rsidRDefault="006A1D1C" w:rsidP="006A1D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Duke vlerësuar si shumë të rëndësishëm forcimin e stabilitetit </w:t>
      </w:r>
      <w:proofErr w:type="spellStart"/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>menaxherial</w:t>
      </w:r>
      <w:proofErr w:type="spellEnd"/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në </w:t>
      </w:r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shoqëritë </w:t>
      </w:r>
      <w:proofErr w:type="spellStart"/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UK</w:t>
      </w:r>
      <w:proofErr w:type="spellEnd"/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, si një faktor që kontribuon në përmirësimin gradual të </w:t>
      </w:r>
      <w:proofErr w:type="spellStart"/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performancës</w:t>
      </w:r>
      <w:proofErr w:type="spellEnd"/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dhe në qëndrueshmërinë afatgjatë të shërbimeve</w:t>
      </w:r>
      <w:r w:rsidR="00F44DC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;</w:t>
      </w:r>
    </w:p>
    <w:p w14:paraId="02DA60B9" w14:textId="4FB923E5" w:rsidR="0052278D" w:rsidRPr="006A1D1C" w:rsidRDefault="006A1D1C" w:rsidP="006A1D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Duke theksuar faktin se sfidat e sektorit </w:t>
      </w:r>
      <w:proofErr w:type="spellStart"/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UK</w:t>
      </w:r>
      <w:proofErr w:type="spellEnd"/>
      <w:r w:rsidR="00F44DC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,</w:t>
      </w:r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si dhe reforma e ndërmarrë nga qeveria në 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>këtë sektor</w:t>
      </w:r>
      <w:r w:rsidR="00F44DCD" w:rsidRPr="006A1D1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e bëjnë të domosdoshëm miratimin sa më parë të ligjit të ri</w:t>
      </w:r>
      <w:r w:rsidR="00D90AFA" w:rsidRPr="006A1D1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duke i dhënë ERRU</w:t>
      </w:r>
      <w:r w:rsidR="00D90AFA" w:rsidRPr="006A1D1C">
        <w:rPr>
          <w:rFonts w:ascii="Garamond" w:eastAsia="Times New Roman" w:hAnsi="Garamond" w:cs="Times New Roman"/>
          <w:bCs/>
          <w:sz w:val="24"/>
          <w:szCs w:val="24"/>
        </w:rPr>
        <w:t>-së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kompetencat e nevojshme të rregullatorit të sektorit</w:t>
      </w:r>
      <w:r w:rsidR="00D90AFA" w:rsidRPr="006A1D1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si dhe duke rritur pavarësinë e tij institucionale</w:t>
      </w:r>
      <w:r w:rsidR="00D90AFA" w:rsidRPr="006A1D1C">
        <w:rPr>
          <w:rFonts w:ascii="Garamond" w:eastAsia="Times New Roman" w:hAnsi="Garamond" w:cs="Times New Roman"/>
          <w:bCs/>
          <w:sz w:val="24"/>
          <w:szCs w:val="24"/>
        </w:rPr>
        <w:t>;</w:t>
      </w:r>
    </w:p>
    <w:p w14:paraId="0E0E7471" w14:textId="1B9AE631" w:rsidR="0052278D" w:rsidRPr="006A1D1C" w:rsidRDefault="0052278D" w:rsidP="006A1D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6A1D1C">
        <w:rPr>
          <w:rFonts w:ascii="Garamond" w:eastAsia="Times New Roman" w:hAnsi="Garamond" w:cs="Times New Roman"/>
          <w:b/>
          <w:sz w:val="24"/>
          <w:szCs w:val="24"/>
        </w:rPr>
        <w:t>Shqyrtoi veprimtarinë e Entit Rregullator të Ujit për vitin 2025 dhe</w:t>
      </w:r>
      <w:r w:rsidR="00E957BE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E957BE" w:rsidRPr="006A1D1C">
        <w:rPr>
          <w:rFonts w:ascii="Garamond" w:eastAsia="Times New Roman" w:hAnsi="Garamond" w:cs="Times New Roman"/>
          <w:b/>
          <w:sz w:val="24"/>
          <w:szCs w:val="24"/>
        </w:rPr>
        <w:t>vlerëson</w:t>
      </w:r>
      <w:r w:rsidRPr="006A1D1C">
        <w:rPr>
          <w:rFonts w:ascii="Garamond" w:eastAsia="Times New Roman" w:hAnsi="Garamond" w:cs="Times New Roman"/>
          <w:b/>
          <w:sz w:val="24"/>
          <w:szCs w:val="24"/>
        </w:rPr>
        <w:t>:</w:t>
      </w:r>
    </w:p>
    <w:p w14:paraId="1F0FF6A3" w14:textId="5EDD490D" w:rsidR="0052278D" w:rsidRPr="006A1D1C" w:rsidRDefault="006A1D1C" w:rsidP="006A1D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E957BE" w:rsidRPr="006A1D1C">
        <w:rPr>
          <w:rFonts w:ascii="Garamond" w:eastAsia="Times New Roman" w:hAnsi="Garamond" w:cs="Times New Roman"/>
          <w:bCs/>
          <w:sz w:val="24"/>
          <w:szCs w:val="24"/>
        </w:rPr>
        <w:t>P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unën e bërë për miratimin dhe zbatimin e Planit të Biznesit 5-vjeçar për shoqëritë rajonale, si një instrument që krijon lidhje të drejtpërdrejtë ndërmjet strukturës tarifore, objektivave të </w:t>
      </w:r>
      <w:proofErr w:type="spellStart"/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>performancës</w:t>
      </w:r>
      <w:proofErr w:type="spellEnd"/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, programeve të investimeve dhe menaxhimit të </w:t>
      </w:r>
      <w:proofErr w:type="spellStart"/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>aseteve</w:t>
      </w:r>
      <w:proofErr w:type="spellEnd"/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dhe në të njëjtën kohë bën të mundur </w:t>
      </w:r>
      <w:r w:rsidR="001C7DAA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të analizohen</w:t>
      </w:r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tarifat 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>në kuadër të një plani të integruar zhvillimi afatmesëm, duke forcuar përgjegjshmërinë e operatorëve dhe transparencën në përdorimin e burimeve financiare.</w:t>
      </w:r>
    </w:p>
    <w:p w14:paraId="42757F5D" w14:textId="77648554" w:rsidR="0052278D" w:rsidRPr="006A1D1C" w:rsidRDefault="006A1D1C" w:rsidP="006A1D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806D49" w:rsidRPr="006A1D1C">
        <w:rPr>
          <w:rFonts w:ascii="Garamond" w:eastAsia="Times New Roman" w:hAnsi="Garamond" w:cs="Times New Roman"/>
          <w:bCs/>
          <w:sz w:val="24"/>
          <w:szCs w:val="24"/>
        </w:rPr>
        <w:t>P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unën e bërë </w:t>
      </w:r>
      <w:r w:rsidR="00806D49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për </w:t>
      </w:r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rekomandimet konkrete drejtuar shoqërive </w:t>
      </w:r>
      <w:proofErr w:type="spellStart"/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UK</w:t>
      </w:r>
      <w:proofErr w:type="spellEnd"/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, për kryerjen 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e analizave të detajuara të </w:t>
      </w:r>
      <w:r w:rsidR="0024529F" w:rsidRPr="006A1D1C">
        <w:rPr>
          <w:rFonts w:ascii="Garamond" w:eastAsia="Times New Roman" w:hAnsi="Garamond" w:cs="Times New Roman"/>
          <w:bCs/>
          <w:sz w:val="24"/>
          <w:szCs w:val="24"/>
        </w:rPr>
        <w:t>eficiencës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së energjisë, identifikimin e pajisjeve dhe sistemeve me konsum të lartë, si dhe ndërmarrjen e masave për uljen e konsumit, përfshirë investimet në pajisje me </w:t>
      </w:r>
      <w:proofErr w:type="spellStart"/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>eficiencë</w:t>
      </w:r>
      <w:proofErr w:type="spellEnd"/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të lartë dhe përdorimin e burimeve alternative të </w:t>
      </w:r>
      <w:proofErr w:type="spellStart"/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>rinovueshme</w:t>
      </w:r>
      <w:proofErr w:type="spellEnd"/>
      <w:r w:rsidR="00032EAF" w:rsidRPr="006A1D1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dhe inkurajon ERRU</w:t>
      </w:r>
      <w:r w:rsidR="00650B14" w:rsidRPr="006A1D1C">
        <w:rPr>
          <w:rFonts w:ascii="Garamond" w:eastAsia="Times New Roman" w:hAnsi="Garamond" w:cs="Times New Roman"/>
          <w:bCs/>
          <w:sz w:val="24"/>
          <w:szCs w:val="24"/>
        </w:rPr>
        <w:t>-në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t</w:t>
      </w:r>
      <w:r w:rsidR="00032EAF" w:rsidRPr="006A1D1C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vijojë t</w:t>
      </w:r>
      <w:r w:rsidR="00032EAF" w:rsidRPr="006A1D1C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kërkojë rritjen e </w:t>
      </w:r>
      <w:r w:rsidR="00032EAF" w:rsidRPr="006A1D1C">
        <w:rPr>
          <w:rFonts w:ascii="Garamond" w:eastAsia="Times New Roman" w:hAnsi="Garamond" w:cs="Times New Roman"/>
          <w:bCs/>
          <w:sz w:val="24"/>
          <w:szCs w:val="24"/>
        </w:rPr>
        <w:t>eficiencës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s</w:t>
      </w:r>
      <w:r w:rsidR="00032EAF" w:rsidRPr="006A1D1C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energjisë nga ana e </w:t>
      </w:r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shoqërive </w:t>
      </w:r>
      <w:proofErr w:type="spellStart"/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UK</w:t>
      </w:r>
      <w:proofErr w:type="spellEnd"/>
      <w:r w:rsidR="00032EAF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,</w:t>
      </w:r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pasi kostoja e energjisë elektrike mbetet një nga zërat kryesorë të kostove operative.</w:t>
      </w:r>
    </w:p>
    <w:p w14:paraId="30A3FCCF" w14:textId="6F39EB23" w:rsidR="0052278D" w:rsidRPr="006A1D1C" w:rsidRDefault="006A1D1C" w:rsidP="006A1D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="00806D49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P</w:t>
      </w:r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unën e bërë </w:t>
      </w:r>
      <w:r w:rsidR="000C346C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për</w:t>
      </w:r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zbatimin e metodologjisë së tarifave dhe inkurajon ERRU</w:t>
      </w:r>
      <w:r w:rsidR="007B3246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-</w:t>
      </w:r>
      <w:r w:rsidR="000033DC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në</w:t>
      </w:r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që përgjatë vitit 2026</w:t>
      </w:r>
      <w:r w:rsidR="005F7B06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,</w:t>
      </w:r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ku kemi për herë të parë shoqëri të cila</w:t>
      </w:r>
      <w:r w:rsidR="005F7B06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ve u</w:t>
      </w:r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mbaron periudha </w:t>
      </w:r>
      <w:proofErr w:type="spellStart"/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rregullatore</w:t>
      </w:r>
      <w:proofErr w:type="spellEnd"/>
      <w:r w:rsidR="005F7B06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,</w:t>
      </w:r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të aplikojë me rigorozitet “Pikët e vlerësimit të </w:t>
      </w:r>
      <w:proofErr w:type="spellStart"/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performancës</w:t>
      </w:r>
      <w:proofErr w:type="spellEnd"/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” kur shoqëria </w:t>
      </w:r>
      <w:proofErr w:type="spellStart"/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UK</w:t>
      </w:r>
      <w:proofErr w:type="spellEnd"/>
      <w:r w:rsidR="0052278D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>vjen për herë të dytë për aplikim tarifor.</w:t>
      </w:r>
    </w:p>
    <w:p w14:paraId="1E266BDD" w14:textId="4326E987" w:rsidR="0052278D" w:rsidRPr="006A1D1C" w:rsidRDefault="006A1D1C" w:rsidP="006A1D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806D49" w:rsidRPr="006A1D1C">
        <w:rPr>
          <w:rFonts w:ascii="Garamond" w:eastAsia="Times New Roman" w:hAnsi="Garamond" w:cs="Times New Roman"/>
          <w:bCs/>
          <w:sz w:val="24"/>
          <w:szCs w:val="24"/>
        </w:rPr>
        <w:t>P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unën e bërë </w:t>
      </w:r>
      <w:r w:rsidR="006F7AD6" w:rsidRPr="006A1D1C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masat e marra që faqja e ERRU-së në internet apo edhe faqet e ERRU-së në rrjetet sociale të kenë në fokus konsumatorin</w:t>
      </w:r>
      <w:r w:rsidR="000C7F4B" w:rsidRPr="006A1D1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duke vendosur në faqen kryesore </w:t>
      </w:r>
      <w:proofErr w:type="spellStart"/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>linkun</w:t>
      </w:r>
      <w:proofErr w:type="spellEnd"/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ku konsumatorët mund të paraqesin ankesë në ERRU </w:t>
      </w:r>
      <w:r w:rsidR="009F54B4" w:rsidRPr="006A1D1C">
        <w:rPr>
          <w:rFonts w:ascii="Garamond" w:eastAsia="Times New Roman" w:hAnsi="Garamond" w:cs="Times New Roman"/>
          <w:bCs/>
          <w:sz w:val="24"/>
          <w:szCs w:val="24"/>
        </w:rPr>
        <w:t>ose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publikime</w:t>
      </w:r>
      <w:r w:rsidR="00884D9D" w:rsidRPr="006A1D1C">
        <w:rPr>
          <w:rFonts w:ascii="Garamond" w:eastAsia="Times New Roman" w:hAnsi="Garamond" w:cs="Times New Roman"/>
          <w:bCs/>
          <w:sz w:val="24"/>
          <w:szCs w:val="24"/>
        </w:rPr>
        <w:t>t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në </w:t>
      </w:r>
      <w:proofErr w:type="spellStart"/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>postimet</w:t>
      </w:r>
      <w:proofErr w:type="spellEnd"/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në rrjetet sociale të institucionit q</w:t>
      </w:r>
      <w:r w:rsidR="00343D9D" w:rsidRPr="006A1D1C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lidhen me konsumatorin</w:t>
      </w:r>
      <w:r w:rsidR="009F54B4" w:rsidRPr="006A1D1C">
        <w:rPr>
          <w:rFonts w:ascii="Garamond" w:eastAsia="Times New Roman" w:hAnsi="Garamond" w:cs="Times New Roman"/>
          <w:bCs/>
          <w:sz w:val="24"/>
          <w:szCs w:val="24"/>
        </w:rPr>
        <w:t>.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9F54B4" w:rsidRPr="006A1D1C">
        <w:rPr>
          <w:rFonts w:ascii="Garamond" w:eastAsia="Times New Roman" w:hAnsi="Garamond" w:cs="Times New Roman"/>
          <w:bCs/>
          <w:sz w:val="24"/>
          <w:szCs w:val="24"/>
        </w:rPr>
        <w:t>T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>ë gjitha këto masa nga njëra anë ndikojnë në rritjen e ndërgjegjësimit të konsumatorëve për të drejtat dhe detyrimet e tyre dhe nga ana tjetër forcojnë besimin e konsumatorit te rregullatori.</w:t>
      </w:r>
      <w:r w:rsidR="007F3D97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</w:p>
    <w:p w14:paraId="4304CEE2" w14:textId="25764298" w:rsidR="0052278D" w:rsidRPr="006A1D1C" w:rsidRDefault="006A1D1C" w:rsidP="006A1D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806D49" w:rsidRPr="006A1D1C">
        <w:rPr>
          <w:rFonts w:ascii="Garamond" w:eastAsia="Times New Roman" w:hAnsi="Garamond" w:cs="Times New Roman"/>
          <w:bCs/>
          <w:sz w:val="24"/>
          <w:szCs w:val="24"/>
        </w:rPr>
        <w:t>P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>unën e bërë si pjesë raportuese e Grupit Ndërinstitucional të Punës për Integrimin Evropian (</w:t>
      </w:r>
      <w:proofErr w:type="spellStart"/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>GNPIE</w:t>
      </w:r>
      <w:proofErr w:type="spellEnd"/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>)</w:t>
      </w:r>
      <w:r w:rsidR="00567505" w:rsidRPr="006A1D1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në raportimet periodike dhe në përgatitjet paraprake të Planit Kombëtar të Përafrimit me </w:t>
      </w:r>
      <w:proofErr w:type="spellStart"/>
      <w:r w:rsidR="00003736" w:rsidRPr="006A1D1C">
        <w:rPr>
          <w:rFonts w:ascii="Garamond" w:eastAsia="Times New Roman" w:hAnsi="Garamond" w:cs="Times New Roman"/>
          <w:bCs/>
          <w:i/>
          <w:iCs/>
          <w:sz w:val="24"/>
          <w:szCs w:val="24"/>
        </w:rPr>
        <w:t>a</w:t>
      </w:r>
      <w:r w:rsidR="0052278D" w:rsidRPr="006A1D1C">
        <w:rPr>
          <w:rFonts w:ascii="Garamond" w:eastAsia="Times New Roman" w:hAnsi="Garamond" w:cs="Times New Roman"/>
          <w:bCs/>
          <w:i/>
          <w:iCs/>
          <w:sz w:val="24"/>
          <w:szCs w:val="24"/>
        </w:rPr>
        <w:t>cquis</w:t>
      </w:r>
      <w:proofErr w:type="spellEnd"/>
      <w:r w:rsidR="00806D49" w:rsidRPr="006A1D1C">
        <w:rPr>
          <w:rFonts w:ascii="Garamond" w:eastAsia="Times New Roman" w:hAnsi="Garamond" w:cs="Times New Roman"/>
          <w:bCs/>
          <w:i/>
          <w:iCs/>
          <w:sz w:val="24"/>
          <w:szCs w:val="24"/>
        </w:rPr>
        <w:t>-n e</w:t>
      </w:r>
      <w:r w:rsidR="0052278D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BE-së 2026–2027</w:t>
      </w:r>
      <w:r w:rsidR="00806D49" w:rsidRPr="006A1D1C">
        <w:rPr>
          <w:rFonts w:ascii="Garamond" w:eastAsia="Times New Roman" w:hAnsi="Garamond" w:cs="Times New Roman"/>
          <w:bCs/>
          <w:sz w:val="24"/>
          <w:szCs w:val="24"/>
        </w:rPr>
        <w:t>.</w:t>
      </w:r>
    </w:p>
    <w:p w14:paraId="46129507" w14:textId="00B5E80B" w:rsidR="0052278D" w:rsidRPr="006A1D1C" w:rsidRDefault="0052278D" w:rsidP="006A1D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6A1D1C">
        <w:rPr>
          <w:rFonts w:ascii="Garamond" w:eastAsia="Times New Roman" w:hAnsi="Garamond" w:cs="Times New Roman"/>
          <w:b/>
          <w:sz w:val="24"/>
          <w:szCs w:val="24"/>
        </w:rPr>
        <w:t xml:space="preserve">Kuvendi i Shqipërisë </w:t>
      </w:r>
      <w:r w:rsidR="000033DC" w:rsidRPr="006A1D1C">
        <w:rPr>
          <w:rFonts w:ascii="Garamond" w:eastAsia="Times New Roman" w:hAnsi="Garamond" w:cs="Times New Roman"/>
          <w:b/>
          <w:sz w:val="24"/>
          <w:szCs w:val="24"/>
        </w:rPr>
        <w:t>rekomandon</w:t>
      </w:r>
      <w:r w:rsidRPr="006A1D1C">
        <w:rPr>
          <w:rFonts w:ascii="Garamond" w:eastAsia="Times New Roman" w:hAnsi="Garamond" w:cs="Times New Roman"/>
          <w:b/>
          <w:sz w:val="24"/>
          <w:szCs w:val="24"/>
        </w:rPr>
        <w:t xml:space="preserve"> që Enti Rregullator i Ujit për vitin 2026 në përmbushje të detyrave të ngarkuara me ligj të angazhohet veçanërisht edhe në këto drejtime: </w:t>
      </w:r>
    </w:p>
    <w:p w14:paraId="64B9453B" w14:textId="5382AF7F" w:rsidR="0052278D" w:rsidRPr="006A1D1C" w:rsidRDefault="0052278D" w:rsidP="006A1D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  <w:r w:rsidRPr="006A1D1C">
        <w:rPr>
          <w:rFonts w:ascii="Garamond" w:eastAsia="Times New Roman" w:hAnsi="Garamond" w:cs="Times New Roman"/>
          <w:bCs/>
          <w:sz w:val="24"/>
          <w:szCs w:val="24"/>
        </w:rPr>
        <w:t>1.</w:t>
      </w:r>
      <w:r w:rsidR="006D0146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1F3328" w:rsidRPr="006A1D1C">
        <w:rPr>
          <w:rFonts w:ascii="Garamond" w:eastAsia="Times New Roman" w:hAnsi="Garamond" w:cs="Times New Roman"/>
          <w:bCs/>
          <w:sz w:val="24"/>
          <w:szCs w:val="24"/>
        </w:rPr>
        <w:t>T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>ë kërkojë një planifikim</w:t>
      </w:r>
      <w:r w:rsidRPr="006A1D1C">
        <w:rPr>
          <w:rFonts w:ascii="Garamond" w:eastAsia="Times New Roman" w:hAnsi="Garamond" w:cs="Times New Roman"/>
          <w:bCs/>
          <w:color w:val="EE0000"/>
          <w:sz w:val="24"/>
          <w:szCs w:val="24"/>
        </w:rPr>
        <w:t xml:space="preserve"> </w:t>
      </w:r>
      <w:r w:rsidR="0004344C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të</w:t>
      </w:r>
      <w:r w:rsidRPr="006A1D1C">
        <w:rPr>
          <w:rFonts w:ascii="Garamond" w:eastAsia="Times New Roman" w:hAnsi="Garamond" w:cs="Times New Roman"/>
          <w:bCs/>
          <w:color w:val="EE0000"/>
          <w:sz w:val="24"/>
          <w:szCs w:val="24"/>
        </w:rPr>
        <w:t xml:space="preserve"> 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dedikuar financiar për investime të strukturuara dhe sistematike për instalimin e ujëmatësve në prodhim dhe në të </w:t>
      </w:r>
      <w:r w:rsidR="0004344C" w:rsidRPr="006A1D1C">
        <w:rPr>
          <w:rFonts w:ascii="Garamond" w:eastAsia="Times New Roman" w:hAnsi="Garamond" w:cs="Times New Roman"/>
          <w:bCs/>
          <w:sz w:val="24"/>
          <w:szCs w:val="24"/>
        </w:rPr>
        <w:t>njëjtën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kohë të inkurajojë 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shoqëritë </w:t>
      </w:r>
      <w:proofErr w:type="spellStart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UK</w:t>
      </w:r>
      <w:proofErr w:type="spellEnd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për aplikimin e tarifave me blloqe për të bërë të mundur uljen e konsumit mbi normë të ujit nga konsumatorët, veçanërisht në zonat rurale dhe konsumatorët </w:t>
      </w:r>
      <w:proofErr w:type="spellStart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jofamiljarë</w:t>
      </w:r>
      <w:proofErr w:type="spellEnd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.</w:t>
      </w:r>
    </w:p>
    <w:p w14:paraId="06CB7962" w14:textId="49EF2A52" w:rsidR="0052278D" w:rsidRPr="006A1D1C" w:rsidRDefault="0052278D" w:rsidP="006A1D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2.</w:t>
      </w:r>
      <w:r w:rsidR="00003736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Me gjithë trendin e ngadaltë pozitiv gjatë vitit 2025, duke pa</w:t>
      </w:r>
      <w:r w:rsidR="00A42B85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s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ur parasysh që Uji </w:t>
      </w:r>
      <w:r w:rsidR="007F3D97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pa 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të Ardhura vijon të mbetet në nivele të larta, të mos kufizohet vetëm në rekomandime drejtuar shoqërive </w:t>
      </w:r>
      <w:proofErr w:type="spellStart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UK</w:t>
      </w:r>
      <w:proofErr w:type="spellEnd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="001F3328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për 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rritjen e matjes në burim dhe konsum, përmirësimin e faturimit, evidentimin e humbjeve reale dhe administrative, por të caktojë objektiva dhe afate konkrete për përmbushjen e tyre nga 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shoqëritë </w:t>
      </w:r>
      <w:proofErr w:type="spellStart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UK</w:t>
      </w:r>
      <w:proofErr w:type="spellEnd"/>
      <w:r w:rsidR="00DB517E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,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veçanërisht kur bëhet fjalë për pajisjen e konsumatorëve 100% me matës, si </w:t>
      </w:r>
      <w:r w:rsidR="00DB517E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një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kusht i </w:t>
      </w:r>
      <w:r w:rsidR="00DB517E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domosdoshëm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="00DB517E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lastRenderedPageBreak/>
        <w:t>për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monitorimin e realizimit t</w:t>
      </w:r>
      <w:r w:rsidR="00B80AF7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ë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objektivit t</w:t>
      </w:r>
      <w:r w:rsidR="00B80AF7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ë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Ujit pa t</w:t>
      </w:r>
      <w:r w:rsidR="000751BA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ë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Ardhura. Brenda 3</w:t>
      </w:r>
      <w:r w:rsidR="00B80AF7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-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mujorit të </w:t>
      </w:r>
      <w:r w:rsidR="00B80AF7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tre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të të vitit të informojë me shkrim Kuvendin e Shqipërisë për rekomandimet që </w:t>
      </w:r>
      <w:r w:rsidR="00B80AF7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u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ka dhënë shoqërive </w:t>
      </w:r>
      <w:proofErr w:type="spellStart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UK</w:t>
      </w:r>
      <w:proofErr w:type="spellEnd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.</w:t>
      </w:r>
    </w:p>
    <w:p w14:paraId="5BCE51C9" w14:textId="7195E7CA" w:rsidR="0052278D" w:rsidRPr="006A1D1C" w:rsidRDefault="0052278D" w:rsidP="006A1D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3.</w:t>
      </w:r>
      <w:r w:rsidR="006D0146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Duke qenë se në </w:t>
      </w:r>
      <w:r w:rsidR="00B80AF7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4 vjetët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e fundit treguesi i </w:t>
      </w:r>
      <w:proofErr w:type="spellStart"/>
      <w:r w:rsidR="00B80AF7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performancës</w:t>
      </w:r>
      <w:proofErr w:type="spellEnd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“Ankesat e </w:t>
      </w:r>
      <w:r w:rsidR="000751BA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k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lientëve”</w:t>
      </w:r>
      <w:r w:rsidR="00547E87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,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trajtuar n</w:t>
      </w:r>
      <w:r w:rsidR="00547E87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ë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ERRU</w:t>
      </w:r>
      <w:r w:rsidR="00547E87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,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nuk është </w:t>
      </w:r>
      <w:r w:rsidR="00547E87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përmirësuar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, duhet të rritet angazhimi si rregullator në </w:t>
      </w:r>
      <w:r w:rsidR="00547E87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mënyrë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="00547E87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të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="00547E87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drejtpërdrejtë,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por edhe n</w:t>
      </w:r>
      <w:r w:rsidR="00547E87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ë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koordinim me </w:t>
      </w:r>
      <w:proofErr w:type="spellStart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AKUK</w:t>
      </w:r>
      <w:proofErr w:type="spellEnd"/>
      <w:r w:rsidR="00547E87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-në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për të adresuar me procedura të përmirësuara dhe me ndjekje rigoroze të procesit të shqyrtimit të ankesave. Në frymë dhe me objektivin për të forcuar dhe unifikuar procedurat e brendshme të trajtimit të ankesave, të kërkohet të raportohen zgjidhje konkrete dhe në kohë nga shoqëritë </w:t>
      </w:r>
      <w:proofErr w:type="spellStart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UK</w:t>
      </w:r>
      <w:proofErr w:type="spellEnd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për konsumatorët </w:t>
      </w:r>
      <w:r w:rsidR="00A34D03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q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ë adresojnë ankesat. Rekomandohet që ERRU</w:t>
      </w:r>
      <w:r w:rsidR="00CA289E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-ja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të mundësojë një raportim 6</w:t>
      </w:r>
      <w:r w:rsidR="00CA289E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-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mujor në Kuvendin e Shqipërisë</w:t>
      </w:r>
      <w:r w:rsidR="00CA289E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,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si një raport analitik </w:t>
      </w:r>
      <w:r w:rsidR="00CA289E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i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trajtimit të ankesave dhe zgjidhje</w:t>
      </w:r>
      <w:r w:rsidR="000E5A02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s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="000E5A02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së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mosmarrëveshjeve ndërmjet konsumatorit dhe shoqërive </w:t>
      </w:r>
      <w:proofErr w:type="spellStart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UK</w:t>
      </w:r>
      <w:proofErr w:type="spellEnd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.</w:t>
      </w:r>
    </w:p>
    <w:p w14:paraId="76C0F7C5" w14:textId="7D59276E" w:rsidR="0052278D" w:rsidRPr="006A1D1C" w:rsidRDefault="0052278D" w:rsidP="006A1D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4.</w:t>
      </w:r>
      <w:r w:rsidR="006D0146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ERRU</w:t>
      </w:r>
      <w:r w:rsidR="00CA289E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-ja</w:t>
      </w:r>
      <w:r w:rsidR="00B32B91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,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s</w:t>
      </w:r>
      <w:r w:rsidR="00CA289E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ë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bashku me </w:t>
      </w:r>
      <w:proofErr w:type="spellStart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AKUK</w:t>
      </w:r>
      <w:proofErr w:type="spellEnd"/>
      <w:r w:rsidR="00CA289E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-në</w:t>
      </w:r>
      <w:r w:rsidR="00B32B91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,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të angazhohen për të v</w:t>
      </w:r>
      <w:r w:rsidR="00CA289E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ë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në në përdorim Sistem</w:t>
      </w:r>
      <w:r w:rsidR="0002104E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in e</w:t>
      </w:r>
      <w:r w:rsidR="007F3D97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Integruar të Informacionit të </w:t>
      </w:r>
      <w:proofErr w:type="spellStart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Performancës</w:t>
      </w:r>
      <w:proofErr w:type="spellEnd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(</w:t>
      </w:r>
      <w:proofErr w:type="spellStart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IPIS</w:t>
      </w:r>
      <w:proofErr w:type="spellEnd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), pasi saktësia dhe unifikimi i të dhënave të raportuara nga shoqëritë </w:t>
      </w:r>
      <w:proofErr w:type="spellStart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UK</w:t>
      </w:r>
      <w:proofErr w:type="spellEnd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është shumë i rëndësishëm </w:t>
      </w:r>
      <w:r w:rsidR="00DD6B69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për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ERRU</w:t>
      </w:r>
      <w:r w:rsidR="00CA289E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-në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="00217B5F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për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rritjen 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e </w:t>
      </w:r>
      <w:r w:rsidR="00217B5F" w:rsidRPr="006A1D1C">
        <w:rPr>
          <w:rFonts w:ascii="Garamond" w:eastAsia="Times New Roman" w:hAnsi="Garamond" w:cs="Times New Roman"/>
          <w:bCs/>
          <w:sz w:val="24"/>
          <w:szCs w:val="24"/>
        </w:rPr>
        <w:t>besueshmërisë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dhe </w:t>
      </w:r>
      <w:r w:rsidR="00217B5F" w:rsidRPr="006A1D1C">
        <w:rPr>
          <w:rFonts w:ascii="Garamond" w:eastAsia="Times New Roman" w:hAnsi="Garamond" w:cs="Times New Roman"/>
          <w:bCs/>
          <w:sz w:val="24"/>
          <w:szCs w:val="24"/>
        </w:rPr>
        <w:t>transparencën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ndaj publikut</w:t>
      </w:r>
      <w:r w:rsidR="00217B5F" w:rsidRPr="006A1D1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si dhe </w:t>
      </w:r>
      <w:r w:rsidR="00217B5F" w:rsidRPr="006A1D1C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proofErr w:type="spellStart"/>
      <w:r w:rsidRPr="006A1D1C">
        <w:rPr>
          <w:rFonts w:ascii="Garamond" w:eastAsia="Times New Roman" w:hAnsi="Garamond" w:cs="Times New Roman"/>
          <w:bCs/>
          <w:sz w:val="24"/>
          <w:szCs w:val="24"/>
        </w:rPr>
        <w:t>MIE</w:t>
      </w:r>
      <w:proofErr w:type="spellEnd"/>
      <w:r w:rsidRPr="006A1D1C">
        <w:rPr>
          <w:rFonts w:ascii="Garamond" w:eastAsia="Times New Roman" w:hAnsi="Garamond" w:cs="Times New Roman"/>
          <w:bCs/>
          <w:sz w:val="24"/>
          <w:szCs w:val="24"/>
        </w:rPr>
        <w:t>/</w:t>
      </w:r>
      <w:proofErr w:type="spellStart"/>
      <w:r w:rsidRPr="006A1D1C">
        <w:rPr>
          <w:rFonts w:ascii="Garamond" w:eastAsia="Times New Roman" w:hAnsi="Garamond" w:cs="Times New Roman"/>
          <w:bCs/>
          <w:sz w:val="24"/>
          <w:szCs w:val="24"/>
        </w:rPr>
        <w:t>AKUK</w:t>
      </w:r>
      <w:proofErr w:type="spellEnd"/>
      <w:r w:rsidR="00217B5F" w:rsidRPr="006A1D1C">
        <w:rPr>
          <w:rFonts w:ascii="Garamond" w:eastAsia="Times New Roman" w:hAnsi="Garamond" w:cs="Times New Roman"/>
          <w:bCs/>
          <w:sz w:val="24"/>
          <w:szCs w:val="24"/>
        </w:rPr>
        <w:t>-në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shërben si një bazë e fortë për planifikimin e politikave të zhvillimit të këtij sektori në funksion të qytetarëve.</w:t>
      </w:r>
    </w:p>
    <w:p w14:paraId="45C77C48" w14:textId="2C9696F9" w:rsidR="0052278D" w:rsidRPr="006A1D1C" w:rsidRDefault="0052278D" w:rsidP="006A1D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6A1D1C">
        <w:rPr>
          <w:rFonts w:ascii="Garamond" w:eastAsia="Times New Roman" w:hAnsi="Garamond" w:cs="Times New Roman"/>
          <w:bCs/>
          <w:sz w:val="24"/>
          <w:szCs w:val="24"/>
        </w:rPr>
        <w:t>5.</w:t>
      </w:r>
      <w:r w:rsidR="006D0146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>ERRU</w:t>
      </w:r>
      <w:r w:rsidR="00217B5F" w:rsidRPr="006A1D1C">
        <w:rPr>
          <w:rFonts w:ascii="Garamond" w:eastAsia="Times New Roman" w:hAnsi="Garamond" w:cs="Times New Roman"/>
          <w:bCs/>
          <w:sz w:val="24"/>
          <w:szCs w:val="24"/>
        </w:rPr>
        <w:t>-në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, në bashkëpunim me </w:t>
      </w:r>
      <w:proofErr w:type="spellStart"/>
      <w:r w:rsidRPr="006A1D1C">
        <w:rPr>
          <w:rFonts w:ascii="Garamond" w:eastAsia="Times New Roman" w:hAnsi="Garamond" w:cs="Times New Roman"/>
          <w:bCs/>
          <w:sz w:val="24"/>
          <w:szCs w:val="24"/>
        </w:rPr>
        <w:t>AKUK</w:t>
      </w:r>
      <w:proofErr w:type="spellEnd"/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-në, duhet të ndërmarrë hapa dhe propozime konkrete për promovimin e sistemeve të monitorimit me kamera dhe mbrojtjes </w:t>
      </w:r>
      <w:proofErr w:type="spellStart"/>
      <w:r w:rsidRPr="006A1D1C">
        <w:rPr>
          <w:rFonts w:ascii="Garamond" w:eastAsia="Times New Roman" w:hAnsi="Garamond" w:cs="Times New Roman"/>
          <w:bCs/>
          <w:sz w:val="24"/>
          <w:szCs w:val="24"/>
        </w:rPr>
        <w:t>perimetrale</w:t>
      </w:r>
      <w:proofErr w:type="spellEnd"/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inteligjente</w:t>
      </w:r>
      <w:r w:rsidR="00217B5F" w:rsidRPr="006A1D1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implementimi i të cilave sjell përmirësime konkrete të treguesve përkatës të </w:t>
      </w:r>
      <w:proofErr w:type="spellStart"/>
      <w:r w:rsidRPr="006A1D1C">
        <w:rPr>
          <w:rFonts w:ascii="Garamond" w:eastAsia="Times New Roman" w:hAnsi="Garamond" w:cs="Times New Roman"/>
          <w:bCs/>
          <w:sz w:val="24"/>
          <w:szCs w:val="24"/>
        </w:rPr>
        <w:t>performancës</w:t>
      </w:r>
      <w:proofErr w:type="spellEnd"/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t</w:t>
      </w:r>
      <w:r w:rsidR="00C042A7" w:rsidRPr="006A1D1C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shoqërive rajonale </w:t>
      </w:r>
      <w:proofErr w:type="spellStart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UK</w:t>
      </w:r>
      <w:proofErr w:type="spellEnd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. </w:t>
      </w:r>
    </w:p>
    <w:p w14:paraId="10F7B6D1" w14:textId="6E10DCB5" w:rsidR="0052278D" w:rsidRPr="006A1D1C" w:rsidRDefault="0052278D" w:rsidP="006A1D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6A1D1C">
        <w:rPr>
          <w:rFonts w:ascii="Garamond" w:eastAsia="Times New Roman" w:hAnsi="Garamond" w:cs="Times New Roman"/>
          <w:bCs/>
          <w:sz w:val="24"/>
          <w:szCs w:val="24"/>
        </w:rPr>
        <w:t>6.</w:t>
      </w:r>
      <w:r w:rsidR="006D0146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Duke qenë se pas riorganizimit dhe </w:t>
      </w:r>
      <w:proofErr w:type="spellStart"/>
      <w:r w:rsidRPr="006A1D1C">
        <w:rPr>
          <w:rFonts w:ascii="Garamond" w:eastAsia="Times New Roman" w:hAnsi="Garamond" w:cs="Times New Roman"/>
          <w:bCs/>
          <w:sz w:val="24"/>
          <w:szCs w:val="24"/>
        </w:rPr>
        <w:t>rajonalizimit</w:t>
      </w:r>
      <w:proofErr w:type="spellEnd"/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të sektorit </w:t>
      </w:r>
      <w:proofErr w:type="spellStart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UK</w:t>
      </w:r>
      <w:proofErr w:type="spellEnd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fokusi tashmë është zhvendosur drejt forcimit të qëndrueshmërisë financiare, përmirësimit të </w:t>
      </w:r>
      <w:proofErr w:type="spellStart"/>
      <w:r w:rsidRPr="006A1D1C">
        <w:rPr>
          <w:rFonts w:ascii="Garamond" w:eastAsia="Times New Roman" w:hAnsi="Garamond" w:cs="Times New Roman"/>
          <w:bCs/>
          <w:sz w:val="24"/>
          <w:szCs w:val="24"/>
        </w:rPr>
        <w:t>performancës</w:t>
      </w:r>
      <w:proofErr w:type="spellEnd"/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dhe rritjes së cilësisë së shërbimeve për qytetarët, 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ERRU</w:t>
      </w:r>
      <w:r w:rsidR="00773189" w:rsidRPr="006A1D1C">
        <w:rPr>
          <w:rFonts w:ascii="Garamond" w:eastAsia="Times New Roman" w:hAnsi="Garamond" w:cs="Times New Roman"/>
          <w:bCs/>
          <w:sz w:val="24"/>
          <w:szCs w:val="24"/>
        </w:rPr>
        <w:t>-ja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të fokusohet në përmirësimin e kuadrit rregullator dhe metodologjik në funksion të rritjes së qëndrueshmërisë financiare dhe </w:t>
      </w:r>
      <w:r w:rsidR="00C042A7" w:rsidRPr="006A1D1C">
        <w:rPr>
          <w:rFonts w:ascii="Garamond" w:eastAsia="Times New Roman" w:hAnsi="Garamond" w:cs="Times New Roman"/>
          <w:bCs/>
          <w:sz w:val="24"/>
          <w:szCs w:val="24"/>
        </w:rPr>
        <w:t>eficiencës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së 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sektorit </w:t>
      </w:r>
      <w:proofErr w:type="spellStart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UK</w:t>
      </w:r>
      <w:proofErr w:type="spellEnd"/>
      <w:r w:rsidR="00C042A7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,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si dhe në thellimin e monitorimit të </w:t>
      </w:r>
      <w:proofErr w:type="spellStart"/>
      <w:r w:rsidRPr="006A1D1C">
        <w:rPr>
          <w:rFonts w:ascii="Garamond" w:eastAsia="Times New Roman" w:hAnsi="Garamond" w:cs="Times New Roman"/>
          <w:bCs/>
          <w:sz w:val="24"/>
          <w:szCs w:val="24"/>
        </w:rPr>
        <w:t>performancës</w:t>
      </w:r>
      <w:proofErr w:type="spellEnd"/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së shoqërive </w:t>
      </w:r>
      <w:proofErr w:type="spellStart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UK</w:t>
      </w:r>
      <w:proofErr w:type="spellEnd"/>
      <w:r w:rsidRPr="006A1D1C">
        <w:rPr>
          <w:rFonts w:ascii="Garamond" w:eastAsia="Times New Roman" w:hAnsi="Garamond" w:cs="Times New Roman"/>
          <w:bCs/>
          <w:sz w:val="24"/>
          <w:szCs w:val="24"/>
        </w:rPr>
        <w:t>, me fokus</w:t>
      </w:r>
      <w:r w:rsidR="00773189" w:rsidRPr="006A1D1C">
        <w:rPr>
          <w:rFonts w:ascii="Garamond" w:eastAsia="Times New Roman" w:hAnsi="Garamond" w:cs="Times New Roman"/>
          <w:bCs/>
          <w:color w:val="EE0000"/>
          <w:sz w:val="24"/>
          <w:szCs w:val="24"/>
        </w:rPr>
        <w:t xml:space="preserve"> 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përmbushjen e objektivave të </w:t>
      </w:r>
      <w:proofErr w:type="spellStart"/>
      <w:r w:rsidRPr="006A1D1C">
        <w:rPr>
          <w:rFonts w:ascii="Garamond" w:eastAsia="Times New Roman" w:hAnsi="Garamond" w:cs="Times New Roman"/>
          <w:bCs/>
          <w:sz w:val="24"/>
          <w:szCs w:val="24"/>
        </w:rPr>
        <w:t>performancës</w:t>
      </w:r>
      <w:proofErr w:type="spellEnd"/>
      <w:r w:rsidRPr="006A1D1C">
        <w:rPr>
          <w:rFonts w:ascii="Garamond" w:eastAsia="Times New Roman" w:hAnsi="Garamond" w:cs="Times New Roman"/>
          <w:bCs/>
          <w:sz w:val="24"/>
          <w:szCs w:val="24"/>
        </w:rPr>
        <w:t>, mbrojtjen e interesave të konsumatorëve dhe rritjen e transparencës.</w:t>
      </w:r>
    </w:p>
    <w:p w14:paraId="0285A325" w14:textId="723BD62F" w:rsidR="0052278D" w:rsidRPr="006A1D1C" w:rsidRDefault="0052278D" w:rsidP="006A1D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6A1D1C">
        <w:rPr>
          <w:rFonts w:ascii="Garamond" w:eastAsia="Times New Roman" w:hAnsi="Garamond" w:cs="Times New Roman"/>
          <w:bCs/>
          <w:sz w:val="24"/>
          <w:szCs w:val="24"/>
        </w:rPr>
        <w:t>7.</w:t>
      </w:r>
      <w:r w:rsidR="006D0146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773189" w:rsidRPr="006A1D1C">
        <w:rPr>
          <w:rFonts w:ascii="Garamond" w:eastAsia="Times New Roman" w:hAnsi="Garamond" w:cs="Times New Roman"/>
          <w:bCs/>
          <w:sz w:val="24"/>
          <w:szCs w:val="24"/>
        </w:rPr>
        <w:t>T</w:t>
      </w:r>
      <w:r w:rsidR="005B057A" w:rsidRPr="006A1D1C">
        <w:rPr>
          <w:rFonts w:ascii="Garamond" w:eastAsia="Times New Roman" w:hAnsi="Garamond" w:cs="Times New Roman"/>
          <w:bCs/>
          <w:sz w:val="24"/>
          <w:szCs w:val="24"/>
        </w:rPr>
        <w:t>’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i kushtojë vëmendje të veçantë mbështetjes së zbatimit 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të </w:t>
      </w:r>
      <w:r w:rsidR="00773189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p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laneve 5-vjeçare të </w:t>
      </w:r>
      <w:r w:rsidR="00065625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b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iznesit</w:t>
      </w:r>
      <w:r w:rsidR="005B057A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,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si instrument strategjik për planifikimin afatmesëm teknik dhe financiar të shoqërive </w:t>
      </w:r>
      <w:proofErr w:type="spellStart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UK</w:t>
      </w:r>
      <w:proofErr w:type="spellEnd"/>
      <w:r w:rsidR="00470992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,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konsolidimit institucional të shoqërive </w:t>
      </w:r>
      <w:proofErr w:type="spellStart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UK</w:t>
      </w:r>
      <w:proofErr w:type="spellEnd"/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dhe përmirësimi</w:t>
      </w:r>
      <w:r w:rsidR="00470992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t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="00470992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të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menaxhimit 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të </w:t>
      </w:r>
      <w:proofErr w:type="spellStart"/>
      <w:r w:rsidRPr="006A1D1C">
        <w:rPr>
          <w:rFonts w:ascii="Garamond" w:eastAsia="Times New Roman" w:hAnsi="Garamond" w:cs="Times New Roman"/>
          <w:bCs/>
          <w:sz w:val="24"/>
          <w:szCs w:val="24"/>
        </w:rPr>
        <w:t>aseteve</w:t>
      </w:r>
      <w:proofErr w:type="spellEnd"/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në funksion të qëndrueshmërisë afatgjatë të sektorit.</w:t>
      </w:r>
    </w:p>
    <w:p w14:paraId="64E72576" w14:textId="3AA87304" w:rsidR="0052278D" w:rsidRPr="006A1D1C" w:rsidRDefault="0052278D" w:rsidP="006A1D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6A1D1C">
        <w:rPr>
          <w:rFonts w:ascii="Garamond" w:eastAsia="Times New Roman" w:hAnsi="Garamond" w:cs="Times New Roman"/>
          <w:bCs/>
          <w:sz w:val="24"/>
          <w:szCs w:val="24"/>
        </w:rPr>
        <w:t>8.</w:t>
      </w:r>
      <w:r w:rsidR="006D0146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65625" w:rsidRPr="006A1D1C">
        <w:rPr>
          <w:rFonts w:ascii="Garamond" w:eastAsia="Times New Roman" w:hAnsi="Garamond" w:cs="Times New Roman"/>
          <w:bCs/>
          <w:sz w:val="24"/>
          <w:szCs w:val="24"/>
        </w:rPr>
        <w:t>N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>ë bashkëpunim me institucionet përgjegjëse, t</w:t>
      </w:r>
      <w:r w:rsidR="00470992" w:rsidRPr="006A1D1C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ketë në fokus të aktivitetit të tij konsolidimin e sistemit të raportimit dhe analizës së të dhënave sektoriale për mbështetjen e vendimmarrjes së bazuar në të dhëna.</w:t>
      </w:r>
    </w:p>
    <w:p w14:paraId="7A502E7F" w14:textId="2E632361" w:rsidR="0052278D" w:rsidRPr="006A1D1C" w:rsidRDefault="0052278D" w:rsidP="006A1D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6A1D1C">
        <w:rPr>
          <w:rFonts w:ascii="Garamond" w:eastAsia="Times New Roman" w:hAnsi="Garamond" w:cs="Times New Roman"/>
          <w:bCs/>
          <w:sz w:val="24"/>
          <w:szCs w:val="24"/>
        </w:rPr>
        <w:t>9.</w:t>
      </w:r>
      <w:r w:rsidR="006D0146"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65625" w:rsidRPr="006A1D1C">
        <w:rPr>
          <w:rFonts w:ascii="Garamond" w:eastAsia="Times New Roman" w:hAnsi="Garamond" w:cs="Times New Roman"/>
          <w:bCs/>
          <w:sz w:val="24"/>
          <w:szCs w:val="24"/>
        </w:rPr>
        <w:t>T</w:t>
      </w:r>
      <w:r w:rsidR="007A1903" w:rsidRPr="006A1D1C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vijojë të japë kontributin e 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tij</w:t>
      </w:r>
      <w:r w:rsidRPr="006A1D1C">
        <w:rPr>
          <w:rFonts w:ascii="Garamond" w:eastAsia="Times New Roman" w:hAnsi="Garamond" w:cs="Times New Roman"/>
          <w:bCs/>
          <w:color w:val="EE0000"/>
          <w:sz w:val="24"/>
          <w:szCs w:val="24"/>
        </w:rPr>
        <w:t xml:space="preserve"> 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në procesin e integrimit evropian përmes harmonizimit gradual të praktikave </w:t>
      </w:r>
      <w:proofErr w:type="spellStart"/>
      <w:r w:rsidRPr="006A1D1C">
        <w:rPr>
          <w:rFonts w:ascii="Garamond" w:eastAsia="Times New Roman" w:hAnsi="Garamond" w:cs="Times New Roman"/>
          <w:bCs/>
          <w:sz w:val="24"/>
          <w:szCs w:val="24"/>
        </w:rPr>
        <w:t>rregullatore</w:t>
      </w:r>
      <w:proofErr w:type="spellEnd"/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me standardet e Bashkimit Evropian.</w:t>
      </w:r>
    </w:p>
    <w:p w14:paraId="18089A2B" w14:textId="1C289D40" w:rsidR="0042060E" w:rsidRPr="006A1D1C" w:rsidRDefault="0052278D" w:rsidP="006A1D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10. Të bashkëpunojë me strukturat përgjegjëse të Kuvendit të Shqipërisë për zhvillimin dhe konsolidimin e metodologjisë </w:t>
      </w:r>
      <w:r w:rsidR="007A1903" w:rsidRPr="006A1D1C">
        <w:rPr>
          <w:rFonts w:ascii="Garamond" w:eastAsia="Times New Roman" w:hAnsi="Garamond" w:cs="Times New Roman"/>
          <w:bCs/>
          <w:sz w:val="24"/>
          <w:szCs w:val="24"/>
        </w:rPr>
        <w:t>s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ë </w:t>
      </w:r>
      <w:r w:rsidR="007A1903" w:rsidRPr="006A1D1C">
        <w:rPr>
          <w:rFonts w:ascii="Garamond" w:eastAsia="Times New Roman" w:hAnsi="Garamond" w:cs="Times New Roman"/>
          <w:bCs/>
          <w:sz w:val="24"/>
          <w:szCs w:val="24"/>
        </w:rPr>
        <w:t>standardizuar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të treguesve </w:t>
      </w:r>
      <w:r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kyç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të </w:t>
      </w:r>
      <w:proofErr w:type="spellStart"/>
      <w:r w:rsidR="007A1903" w:rsidRPr="006A1D1C">
        <w:rPr>
          <w:rFonts w:ascii="Garamond" w:eastAsia="Times New Roman" w:hAnsi="Garamond" w:cs="Times New Roman"/>
          <w:bCs/>
          <w:sz w:val="24"/>
          <w:szCs w:val="24"/>
        </w:rPr>
        <w:t>performancës</w:t>
      </w:r>
      <w:proofErr w:type="spellEnd"/>
      <w:r w:rsidR="007A1903" w:rsidRPr="006A1D1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si bazë për monitorimin dhe </w:t>
      </w:r>
      <w:r w:rsidR="00B32B91">
        <w:rPr>
          <w:rFonts w:ascii="Garamond" w:eastAsia="Times New Roman" w:hAnsi="Garamond" w:cs="Times New Roman"/>
          <w:bCs/>
          <w:sz w:val="24"/>
          <w:szCs w:val="24"/>
        </w:rPr>
        <w:t xml:space="preserve">për 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vlerësimin e zbatimit të rekomandimeve të </w:t>
      </w:r>
      <w:r w:rsidR="00065625" w:rsidRPr="006A1D1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r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>ezolutës të Kuvendit</w:t>
      </w:r>
      <w:r w:rsidR="00B579D8" w:rsidRPr="006A1D1C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 xml:space="preserve"> në funksion të llogaridhënies dhe mbikëqyrjes parlamentare. Ky angazhim të përmbushet brenda </w:t>
      </w:r>
      <w:r w:rsidR="00B579D8" w:rsidRPr="006A1D1C">
        <w:rPr>
          <w:rFonts w:ascii="Garamond" w:eastAsia="Times New Roman" w:hAnsi="Garamond" w:cs="Times New Roman"/>
          <w:bCs/>
          <w:sz w:val="24"/>
          <w:szCs w:val="24"/>
        </w:rPr>
        <w:t>3-</w:t>
      </w:r>
      <w:r w:rsidRPr="006A1D1C">
        <w:rPr>
          <w:rFonts w:ascii="Garamond" w:eastAsia="Times New Roman" w:hAnsi="Garamond" w:cs="Times New Roman"/>
          <w:bCs/>
          <w:sz w:val="24"/>
          <w:szCs w:val="24"/>
        </w:rPr>
        <w:t>mujorit të tretë të këtij viti.</w:t>
      </w:r>
    </w:p>
    <w:p w14:paraId="6B5CB90E" w14:textId="2C202670" w:rsidR="0042060E" w:rsidRPr="006A1D1C" w:rsidRDefault="0042060E" w:rsidP="006A1D1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221649EC" w14:textId="5D255752" w:rsidR="00EB62DE" w:rsidRPr="006A1D1C" w:rsidRDefault="00A755F6" w:rsidP="006A1D1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1D1C">
        <w:rPr>
          <w:rFonts w:ascii="Garamond" w:hAnsi="Garamond" w:cs="Times New Roman"/>
          <w:sz w:val="24"/>
          <w:szCs w:val="24"/>
        </w:rPr>
        <w:t xml:space="preserve">Miratuar në datën </w:t>
      </w:r>
      <w:r w:rsidR="00DA5DED" w:rsidRPr="006A1D1C">
        <w:rPr>
          <w:rFonts w:ascii="Garamond" w:hAnsi="Garamond" w:cs="Times New Roman"/>
          <w:sz w:val="24"/>
          <w:szCs w:val="24"/>
        </w:rPr>
        <w:t>16.</w:t>
      </w:r>
      <w:r w:rsidR="00CC051E" w:rsidRPr="006A1D1C">
        <w:rPr>
          <w:rFonts w:ascii="Garamond" w:hAnsi="Garamond" w:cs="Times New Roman"/>
          <w:sz w:val="24"/>
          <w:szCs w:val="24"/>
        </w:rPr>
        <w:t>7</w:t>
      </w:r>
      <w:r w:rsidR="00181D50" w:rsidRPr="006A1D1C">
        <w:rPr>
          <w:rFonts w:ascii="Garamond" w:hAnsi="Garamond" w:cs="Times New Roman"/>
          <w:sz w:val="24"/>
          <w:szCs w:val="24"/>
        </w:rPr>
        <w:t>.</w:t>
      </w:r>
      <w:r w:rsidR="003C57D3" w:rsidRPr="006A1D1C">
        <w:rPr>
          <w:rFonts w:ascii="Garamond" w:hAnsi="Garamond" w:cs="Times New Roman"/>
          <w:sz w:val="24"/>
          <w:szCs w:val="24"/>
        </w:rPr>
        <w:t>202</w:t>
      </w:r>
      <w:r w:rsidR="00275863" w:rsidRPr="006A1D1C">
        <w:rPr>
          <w:rFonts w:ascii="Garamond" w:hAnsi="Garamond" w:cs="Times New Roman"/>
          <w:sz w:val="24"/>
          <w:szCs w:val="24"/>
        </w:rPr>
        <w:t>6</w:t>
      </w:r>
      <w:r w:rsidR="00B32B91">
        <w:rPr>
          <w:rFonts w:ascii="Garamond" w:hAnsi="Garamond" w:cs="Times New Roman"/>
          <w:sz w:val="24"/>
          <w:szCs w:val="24"/>
        </w:rPr>
        <w:t>.</w:t>
      </w:r>
      <w:bookmarkStart w:id="0" w:name="_GoBack"/>
      <w:bookmarkEnd w:id="0"/>
    </w:p>
    <w:p w14:paraId="05A8005D" w14:textId="54459D1C" w:rsidR="00841A15" w:rsidRDefault="00841A15" w:rsidP="006A1D1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687DD7B" w14:textId="77777777" w:rsidR="000C05CA" w:rsidRPr="00792DED" w:rsidRDefault="000C05CA" w:rsidP="000C05CA">
      <w:pPr>
        <w:spacing w:after="0" w:line="240" w:lineRule="auto"/>
        <w:jc w:val="right"/>
        <w:rPr>
          <w:rFonts w:ascii="Garamond" w:eastAsia="MS Mincho" w:hAnsi="Garamond" w:cs="Times New Roman"/>
          <w:sz w:val="24"/>
          <w:szCs w:val="24"/>
        </w:rPr>
      </w:pPr>
      <w:r w:rsidRPr="00792DED">
        <w:rPr>
          <w:rFonts w:ascii="Garamond" w:eastAsia="MS Mincho" w:hAnsi="Garamond" w:cs="Times New Roman"/>
          <w:sz w:val="24"/>
          <w:szCs w:val="24"/>
        </w:rPr>
        <w:t xml:space="preserve">KRYETAR </w:t>
      </w:r>
    </w:p>
    <w:p w14:paraId="154886BC" w14:textId="77777777" w:rsidR="000C05CA" w:rsidRPr="00792DED" w:rsidRDefault="000C05CA" w:rsidP="000C05CA">
      <w:pPr>
        <w:spacing w:after="0" w:line="240" w:lineRule="auto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proofErr w:type="spellStart"/>
      <w:r w:rsidRPr="00792DED">
        <w:rPr>
          <w:rFonts w:ascii="Garamond" w:eastAsia="MS Mincho" w:hAnsi="Garamond" w:cs="Times New Roman"/>
          <w:b/>
          <w:bCs/>
          <w:sz w:val="24"/>
          <w:szCs w:val="24"/>
        </w:rPr>
        <w:t>Niko</w:t>
      </w:r>
      <w:proofErr w:type="spellEnd"/>
      <w:r w:rsidRPr="00792DED">
        <w:rPr>
          <w:rFonts w:ascii="Garamond" w:eastAsia="MS Mincho" w:hAnsi="Garamond" w:cs="Times New Roman"/>
          <w:b/>
          <w:bCs/>
          <w:sz w:val="24"/>
          <w:szCs w:val="24"/>
        </w:rPr>
        <w:t xml:space="preserve"> </w:t>
      </w:r>
      <w:proofErr w:type="spellStart"/>
      <w:r w:rsidRPr="00792DED">
        <w:rPr>
          <w:rFonts w:ascii="Garamond" w:eastAsia="MS Mincho" w:hAnsi="Garamond" w:cs="Times New Roman"/>
          <w:b/>
          <w:bCs/>
          <w:sz w:val="24"/>
          <w:szCs w:val="24"/>
        </w:rPr>
        <w:t>Peleshi</w:t>
      </w:r>
      <w:proofErr w:type="spellEnd"/>
    </w:p>
    <w:p w14:paraId="0DA920A1" w14:textId="64F86048" w:rsidR="000C05CA" w:rsidRPr="006A1D1C" w:rsidRDefault="000C05CA" w:rsidP="000C05CA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sectPr w:rsidR="000C05CA" w:rsidRPr="006A1D1C" w:rsidSect="008D54B5">
      <w:footerReference w:type="default" r:id="rId13"/>
      <w:pgSz w:w="11907" w:h="16840" w:code="9"/>
      <w:pgMar w:top="1152" w:right="1152" w:bottom="115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1D5B8D" w14:textId="77777777" w:rsidR="007F3D97" w:rsidRDefault="007F3D97" w:rsidP="00C86383">
      <w:pPr>
        <w:spacing w:after="0" w:line="240" w:lineRule="auto"/>
      </w:pPr>
      <w:r>
        <w:separator/>
      </w:r>
    </w:p>
  </w:endnote>
  <w:endnote w:type="continuationSeparator" w:id="0">
    <w:p w14:paraId="6660CAF1" w14:textId="77777777" w:rsidR="007F3D97" w:rsidRDefault="007F3D97" w:rsidP="00C86383">
      <w:pPr>
        <w:spacing w:after="0" w:line="240" w:lineRule="auto"/>
      </w:pPr>
      <w:r>
        <w:continuationSeparator/>
      </w:r>
    </w:p>
  </w:endnote>
  <w:endnote w:type="continuationNotice" w:id="1">
    <w:p w14:paraId="4E5696EC" w14:textId="77777777" w:rsidR="00F12CFD" w:rsidRDefault="00F12C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4315C39D" w:rsidR="007F3D97" w:rsidRPr="00E7684C" w:rsidRDefault="007F3D97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7F3D97" w:rsidRDefault="007F3D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09D1B8" w14:textId="77777777" w:rsidR="007F3D97" w:rsidRDefault="007F3D97" w:rsidP="00C86383">
      <w:pPr>
        <w:spacing w:after="0" w:line="240" w:lineRule="auto"/>
      </w:pPr>
      <w:r>
        <w:separator/>
      </w:r>
    </w:p>
  </w:footnote>
  <w:footnote w:type="continuationSeparator" w:id="0">
    <w:p w14:paraId="594A3901" w14:textId="77777777" w:rsidR="007F3D97" w:rsidRDefault="007F3D97" w:rsidP="00C86383">
      <w:pPr>
        <w:spacing w:after="0" w:line="240" w:lineRule="auto"/>
      </w:pPr>
      <w:r>
        <w:continuationSeparator/>
      </w:r>
    </w:p>
  </w:footnote>
  <w:footnote w:type="continuationNotice" w:id="1">
    <w:p w14:paraId="7562B126" w14:textId="77777777" w:rsidR="00F12CFD" w:rsidRDefault="00F12CF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33DC"/>
    <w:rsid w:val="00003736"/>
    <w:rsid w:val="00005C6F"/>
    <w:rsid w:val="00007948"/>
    <w:rsid w:val="0001371B"/>
    <w:rsid w:val="00013F99"/>
    <w:rsid w:val="00013FC1"/>
    <w:rsid w:val="0001705C"/>
    <w:rsid w:val="00017F55"/>
    <w:rsid w:val="00020115"/>
    <w:rsid w:val="0002104E"/>
    <w:rsid w:val="000224FD"/>
    <w:rsid w:val="000225F5"/>
    <w:rsid w:val="00022B06"/>
    <w:rsid w:val="000278AC"/>
    <w:rsid w:val="00027E1F"/>
    <w:rsid w:val="00032ACF"/>
    <w:rsid w:val="00032EAF"/>
    <w:rsid w:val="00037E73"/>
    <w:rsid w:val="00041D04"/>
    <w:rsid w:val="0004344C"/>
    <w:rsid w:val="00044096"/>
    <w:rsid w:val="00044C1F"/>
    <w:rsid w:val="00051513"/>
    <w:rsid w:val="00055B91"/>
    <w:rsid w:val="0005725B"/>
    <w:rsid w:val="00062B6C"/>
    <w:rsid w:val="00062F7F"/>
    <w:rsid w:val="00065625"/>
    <w:rsid w:val="0007298B"/>
    <w:rsid w:val="00073681"/>
    <w:rsid w:val="000751BA"/>
    <w:rsid w:val="00082B98"/>
    <w:rsid w:val="00083230"/>
    <w:rsid w:val="00091EE7"/>
    <w:rsid w:val="000A08B2"/>
    <w:rsid w:val="000A0B41"/>
    <w:rsid w:val="000B011B"/>
    <w:rsid w:val="000C05CA"/>
    <w:rsid w:val="000C0CFC"/>
    <w:rsid w:val="000C1BC4"/>
    <w:rsid w:val="000C346C"/>
    <w:rsid w:val="000C7182"/>
    <w:rsid w:val="000C7F4B"/>
    <w:rsid w:val="000D0397"/>
    <w:rsid w:val="000D1518"/>
    <w:rsid w:val="000D476A"/>
    <w:rsid w:val="000D6847"/>
    <w:rsid w:val="000E127F"/>
    <w:rsid w:val="000E3E8D"/>
    <w:rsid w:val="000E4797"/>
    <w:rsid w:val="000E5355"/>
    <w:rsid w:val="000E5A02"/>
    <w:rsid w:val="000F121E"/>
    <w:rsid w:val="000F417A"/>
    <w:rsid w:val="0010178D"/>
    <w:rsid w:val="001049FD"/>
    <w:rsid w:val="001113F8"/>
    <w:rsid w:val="00114DD0"/>
    <w:rsid w:val="001156F1"/>
    <w:rsid w:val="00121DB5"/>
    <w:rsid w:val="00125D8E"/>
    <w:rsid w:val="001315C1"/>
    <w:rsid w:val="001325AF"/>
    <w:rsid w:val="00132AD7"/>
    <w:rsid w:val="001336E2"/>
    <w:rsid w:val="00134D80"/>
    <w:rsid w:val="001356DB"/>
    <w:rsid w:val="001424BF"/>
    <w:rsid w:val="001432F5"/>
    <w:rsid w:val="00143A0C"/>
    <w:rsid w:val="001501FF"/>
    <w:rsid w:val="0015450E"/>
    <w:rsid w:val="0016140E"/>
    <w:rsid w:val="00162EC4"/>
    <w:rsid w:val="00176BBD"/>
    <w:rsid w:val="0018119B"/>
    <w:rsid w:val="0018176A"/>
    <w:rsid w:val="00181B37"/>
    <w:rsid w:val="00181D50"/>
    <w:rsid w:val="00184409"/>
    <w:rsid w:val="001858C3"/>
    <w:rsid w:val="00191634"/>
    <w:rsid w:val="001A79AF"/>
    <w:rsid w:val="001B134B"/>
    <w:rsid w:val="001B6D41"/>
    <w:rsid w:val="001B7CF3"/>
    <w:rsid w:val="001C1147"/>
    <w:rsid w:val="001C7DAA"/>
    <w:rsid w:val="001E2085"/>
    <w:rsid w:val="001E3542"/>
    <w:rsid w:val="001F3328"/>
    <w:rsid w:val="001F4CD5"/>
    <w:rsid w:val="00202011"/>
    <w:rsid w:val="0020553B"/>
    <w:rsid w:val="002063FE"/>
    <w:rsid w:val="002129CF"/>
    <w:rsid w:val="00215C02"/>
    <w:rsid w:val="002164E1"/>
    <w:rsid w:val="002176D7"/>
    <w:rsid w:val="00217B5F"/>
    <w:rsid w:val="002202CB"/>
    <w:rsid w:val="00223BB0"/>
    <w:rsid w:val="0022618D"/>
    <w:rsid w:val="002359AF"/>
    <w:rsid w:val="00237CB2"/>
    <w:rsid w:val="00240C54"/>
    <w:rsid w:val="00240E91"/>
    <w:rsid w:val="00243068"/>
    <w:rsid w:val="00244B19"/>
    <w:rsid w:val="00244D0F"/>
    <w:rsid w:val="0024529F"/>
    <w:rsid w:val="00262768"/>
    <w:rsid w:val="00262C8A"/>
    <w:rsid w:val="00266214"/>
    <w:rsid w:val="00275863"/>
    <w:rsid w:val="00275F33"/>
    <w:rsid w:val="00283031"/>
    <w:rsid w:val="00286E87"/>
    <w:rsid w:val="0029415F"/>
    <w:rsid w:val="002A1841"/>
    <w:rsid w:val="002A4484"/>
    <w:rsid w:val="002B2319"/>
    <w:rsid w:val="002B406E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0457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3D9D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131"/>
    <w:rsid w:val="003E334D"/>
    <w:rsid w:val="003E39E2"/>
    <w:rsid w:val="003E3F68"/>
    <w:rsid w:val="003E53A6"/>
    <w:rsid w:val="003E6C60"/>
    <w:rsid w:val="003F623E"/>
    <w:rsid w:val="003F66F6"/>
    <w:rsid w:val="004029FA"/>
    <w:rsid w:val="00402A6A"/>
    <w:rsid w:val="00406801"/>
    <w:rsid w:val="00413F47"/>
    <w:rsid w:val="0042060E"/>
    <w:rsid w:val="004215B2"/>
    <w:rsid w:val="00430EDA"/>
    <w:rsid w:val="004354FA"/>
    <w:rsid w:val="0043625A"/>
    <w:rsid w:val="00440837"/>
    <w:rsid w:val="00441F4D"/>
    <w:rsid w:val="0044654F"/>
    <w:rsid w:val="004530EE"/>
    <w:rsid w:val="0045672F"/>
    <w:rsid w:val="00457EDB"/>
    <w:rsid w:val="004615DB"/>
    <w:rsid w:val="00462270"/>
    <w:rsid w:val="00463738"/>
    <w:rsid w:val="0046513F"/>
    <w:rsid w:val="00470992"/>
    <w:rsid w:val="00477C33"/>
    <w:rsid w:val="00480E67"/>
    <w:rsid w:val="00480EEA"/>
    <w:rsid w:val="004819A5"/>
    <w:rsid w:val="004847B6"/>
    <w:rsid w:val="00485242"/>
    <w:rsid w:val="00493028"/>
    <w:rsid w:val="0049616C"/>
    <w:rsid w:val="004A3A52"/>
    <w:rsid w:val="004A5109"/>
    <w:rsid w:val="004B0605"/>
    <w:rsid w:val="004B13B2"/>
    <w:rsid w:val="004B79D3"/>
    <w:rsid w:val="004C21B8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4F2181"/>
    <w:rsid w:val="00501097"/>
    <w:rsid w:val="00502636"/>
    <w:rsid w:val="00505558"/>
    <w:rsid w:val="00505674"/>
    <w:rsid w:val="00513A51"/>
    <w:rsid w:val="00514B00"/>
    <w:rsid w:val="00520F52"/>
    <w:rsid w:val="0052278D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47E87"/>
    <w:rsid w:val="00551654"/>
    <w:rsid w:val="00551A0C"/>
    <w:rsid w:val="00555F66"/>
    <w:rsid w:val="00556003"/>
    <w:rsid w:val="00556EBC"/>
    <w:rsid w:val="00564D41"/>
    <w:rsid w:val="00566A66"/>
    <w:rsid w:val="00567336"/>
    <w:rsid w:val="00567505"/>
    <w:rsid w:val="005675CA"/>
    <w:rsid w:val="00595D7E"/>
    <w:rsid w:val="00597F1B"/>
    <w:rsid w:val="005A4BF2"/>
    <w:rsid w:val="005A6A5B"/>
    <w:rsid w:val="005B057A"/>
    <w:rsid w:val="005B4F54"/>
    <w:rsid w:val="005C0232"/>
    <w:rsid w:val="005C275E"/>
    <w:rsid w:val="005C7FD6"/>
    <w:rsid w:val="005D008B"/>
    <w:rsid w:val="005D2C27"/>
    <w:rsid w:val="005D449F"/>
    <w:rsid w:val="005D79C0"/>
    <w:rsid w:val="005E0B16"/>
    <w:rsid w:val="005E3C64"/>
    <w:rsid w:val="005E4979"/>
    <w:rsid w:val="005F08C5"/>
    <w:rsid w:val="005F7B06"/>
    <w:rsid w:val="005F7BAE"/>
    <w:rsid w:val="00600647"/>
    <w:rsid w:val="0060256C"/>
    <w:rsid w:val="00606A64"/>
    <w:rsid w:val="00611AFD"/>
    <w:rsid w:val="00612758"/>
    <w:rsid w:val="006236C3"/>
    <w:rsid w:val="00630061"/>
    <w:rsid w:val="00630EA6"/>
    <w:rsid w:val="006344E9"/>
    <w:rsid w:val="00635067"/>
    <w:rsid w:val="00650B14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5534"/>
    <w:rsid w:val="006A1126"/>
    <w:rsid w:val="006A1D1C"/>
    <w:rsid w:val="006B27CE"/>
    <w:rsid w:val="006B2B4C"/>
    <w:rsid w:val="006B790D"/>
    <w:rsid w:val="006C2AEE"/>
    <w:rsid w:val="006D0146"/>
    <w:rsid w:val="006D3004"/>
    <w:rsid w:val="006D6CF7"/>
    <w:rsid w:val="006E5794"/>
    <w:rsid w:val="006F2FA3"/>
    <w:rsid w:val="006F6C44"/>
    <w:rsid w:val="006F7AD6"/>
    <w:rsid w:val="00700DFF"/>
    <w:rsid w:val="00702A04"/>
    <w:rsid w:val="0070337B"/>
    <w:rsid w:val="00704D02"/>
    <w:rsid w:val="007064AB"/>
    <w:rsid w:val="00706557"/>
    <w:rsid w:val="0070788C"/>
    <w:rsid w:val="00707C51"/>
    <w:rsid w:val="007134F3"/>
    <w:rsid w:val="0071531C"/>
    <w:rsid w:val="00717DD1"/>
    <w:rsid w:val="00721911"/>
    <w:rsid w:val="00721F94"/>
    <w:rsid w:val="00722A76"/>
    <w:rsid w:val="007259CC"/>
    <w:rsid w:val="007312D6"/>
    <w:rsid w:val="007427F3"/>
    <w:rsid w:val="00750776"/>
    <w:rsid w:val="00752319"/>
    <w:rsid w:val="00757B31"/>
    <w:rsid w:val="00761637"/>
    <w:rsid w:val="00761C31"/>
    <w:rsid w:val="00761C60"/>
    <w:rsid w:val="00761F57"/>
    <w:rsid w:val="00773189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1903"/>
    <w:rsid w:val="007A24F8"/>
    <w:rsid w:val="007A4144"/>
    <w:rsid w:val="007A54D2"/>
    <w:rsid w:val="007A6000"/>
    <w:rsid w:val="007A744F"/>
    <w:rsid w:val="007B3246"/>
    <w:rsid w:val="007B6844"/>
    <w:rsid w:val="007B7A9E"/>
    <w:rsid w:val="007C05DC"/>
    <w:rsid w:val="007C0DC8"/>
    <w:rsid w:val="007C1E4A"/>
    <w:rsid w:val="007C6F84"/>
    <w:rsid w:val="007F04D3"/>
    <w:rsid w:val="007F16F8"/>
    <w:rsid w:val="007F1C28"/>
    <w:rsid w:val="007F2061"/>
    <w:rsid w:val="007F3D97"/>
    <w:rsid w:val="007F43C4"/>
    <w:rsid w:val="007F750C"/>
    <w:rsid w:val="008010B2"/>
    <w:rsid w:val="00802041"/>
    <w:rsid w:val="00802244"/>
    <w:rsid w:val="00803B7B"/>
    <w:rsid w:val="00806D49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1A15"/>
    <w:rsid w:val="00843AA1"/>
    <w:rsid w:val="00846A0C"/>
    <w:rsid w:val="00847CF0"/>
    <w:rsid w:val="00851363"/>
    <w:rsid w:val="00851711"/>
    <w:rsid w:val="00852454"/>
    <w:rsid w:val="00854276"/>
    <w:rsid w:val="00856F1E"/>
    <w:rsid w:val="00857954"/>
    <w:rsid w:val="00863D55"/>
    <w:rsid w:val="00863E58"/>
    <w:rsid w:val="008650FD"/>
    <w:rsid w:val="00867DF3"/>
    <w:rsid w:val="008713F3"/>
    <w:rsid w:val="00872A03"/>
    <w:rsid w:val="00881347"/>
    <w:rsid w:val="00883800"/>
    <w:rsid w:val="00884D9D"/>
    <w:rsid w:val="0088785E"/>
    <w:rsid w:val="00890D60"/>
    <w:rsid w:val="00892480"/>
    <w:rsid w:val="00897A30"/>
    <w:rsid w:val="008A7044"/>
    <w:rsid w:val="008B6833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4B5"/>
    <w:rsid w:val="008D5CDA"/>
    <w:rsid w:val="008D7A71"/>
    <w:rsid w:val="008E13AA"/>
    <w:rsid w:val="008E2C2A"/>
    <w:rsid w:val="008F0F64"/>
    <w:rsid w:val="008F16D6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746C9"/>
    <w:rsid w:val="009817B3"/>
    <w:rsid w:val="0098506C"/>
    <w:rsid w:val="009851C8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1F39"/>
    <w:rsid w:val="009E3C1B"/>
    <w:rsid w:val="009E6CA9"/>
    <w:rsid w:val="009E7F8D"/>
    <w:rsid w:val="009F1F17"/>
    <w:rsid w:val="009F54B4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34D03"/>
    <w:rsid w:val="00A42B85"/>
    <w:rsid w:val="00A503B4"/>
    <w:rsid w:val="00A5392D"/>
    <w:rsid w:val="00A558AE"/>
    <w:rsid w:val="00A564E2"/>
    <w:rsid w:val="00A6353F"/>
    <w:rsid w:val="00A67678"/>
    <w:rsid w:val="00A71981"/>
    <w:rsid w:val="00A74915"/>
    <w:rsid w:val="00A755F6"/>
    <w:rsid w:val="00A8479B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3F92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4DA6"/>
    <w:rsid w:val="00B1678C"/>
    <w:rsid w:val="00B22C15"/>
    <w:rsid w:val="00B242A8"/>
    <w:rsid w:val="00B32B91"/>
    <w:rsid w:val="00B35261"/>
    <w:rsid w:val="00B41476"/>
    <w:rsid w:val="00B4599B"/>
    <w:rsid w:val="00B53958"/>
    <w:rsid w:val="00B53DAC"/>
    <w:rsid w:val="00B542F0"/>
    <w:rsid w:val="00B579D8"/>
    <w:rsid w:val="00B65D03"/>
    <w:rsid w:val="00B71AED"/>
    <w:rsid w:val="00B750FF"/>
    <w:rsid w:val="00B7731C"/>
    <w:rsid w:val="00B77321"/>
    <w:rsid w:val="00B7748B"/>
    <w:rsid w:val="00B80AF7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C2D31"/>
    <w:rsid w:val="00BD592D"/>
    <w:rsid w:val="00BD5A4B"/>
    <w:rsid w:val="00BF0A3E"/>
    <w:rsid w:val="00BF1682"/>
    <w:rsid w:val="00BF3D89"/>
    <w:rsid w:val="00C011E1"/>
    <w:rsid w:val="00C01267"/>
    <w:rsid w:val="00C01362"/>
    <w:rsid w:val="00C042A7"/>
    <w:rsid w:val="00C06BB6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1CF2"/>
    <w:rsid w:val="00C9434B"/>
    <w:rsid w:val="00C96F2B"/>
    <w:rsid w:val="00C9760B"/>
    <w:rsid w:val="00CA0814"/>
    <w:rsid w:val="00CA0EBE"/>
    <w:rsid w:val="00CA289E"/>
    <w:rsid w:val="00CA57B6"/>
    <w:rsid w:val="00CB1F79"/>
    <w:rsid w:val="00CB2E7A"/>
    <w:rsid w:val="00CC051E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21EC"/>
    <w:rsid w:val="00D12DFE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0AFA"/>
    <w:rsid w:val="00D9402D"/>
    <w:rsid w:val="00D94954"/>
    <w:rsid w:val="00DA5786"/>
    <w:rsid w:val="00DA5DED"/>
    <w:rsid w:val="00DB28BF"/>
    <w:rsid w:val="00DB3852"/>
    <w:rsid w:val="00DB517E"/>
    <w:rsid w:val="00DB5ECD"/>
    <w:rsid w:val="00DB7E09"/>
    <w:rsid w:val="00DC57B4"/>
    <w:rsid w:val="00DD32F3"/>
    <w:rsid w:val="00DD3DDE"/>
    <w:rsid w:val="00DD473E"/>
    <w:rsid w:val="00DD6B69"/>
    <w:rsid w:val="00DE3466"/>
    <w:rsid w:val="00DE3F5E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3AAA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119"/>
    <w:rsid w:val="00E926CD"/>
    <w:rsid w:val="00E93BD9"/>
    <w:rsid w:val="00E9426A"/>
    <w:rsid w:val="00E945D4"/>
    <w:rsid w:val="00E957BE"/>
    <w:rsid w:val="00EA15E5"/>
    <w:rsid w:val="00EA39E3"/>
    <w:rsid w:val="00EA7B60"/>
    <w:rsid w:val="00EB31F6"/>
    <w:rsid w:val="00EB4EE4"/>
    <w:rsid w:val="00EB5365"/>
    <w:rsid w:val="00EB62DE"/>
    <w:rsid w:val="00EC0024"/>
    <w:rsid w:val="00EC421A"/>
    <w:rsid w:val="00ED4C45"/>
    <w:rsid w:val="00ED5AEE"/>
    <w:rsid w:val="00ED668D"/>
    <w:rsid w:val="00EE1FA6"/>
    <w:rsid w:val="00EE4C8B"/>
    <w:rsid w:val="00EE534B"/>
    <w:rsid w:val="00EE6A25"/>
    <w:rsid w:val="00EF6235"/>
    <w:rsid w:val="00F05169"/>
    <w:rsid w:val="00F0526E"/>
    <w:rsid w:val="00F05EA7"/>
    <w:rsid w:val="00F12CFD"/>
    <w:rsid w:val="00F142C1"/>
    <w:rsid w:val="00F1525A"/>
    <w:rsid w:val="00F261B9"/>
    <w:rsid w:val="00F26A98"/>
    <w:rsid w:val="00F3246E"/>
    <w:rsid w:val="00F32B61"/>
    <w:rsid w:val="00F37FAF"/>
    <w:rsid w:val="00F4148E"/>
    <w:rsid w:val="00F42E3E"/>
    <w:rsid w:val="00F43580"/>
    <w:rsid w:val="00F44DCD"/>
    <w:rsid w:val="00F454F1"/>
    <w:rsid w:val="00F45BC9"/>
    <w:rsid w:val="00F466D7"/>
    <w:rsid w:val="00F5324C"/>
    <w:rsid w:val="00F55436"/>
    <w:rsid w:val="00F5634D"/>
    <w:rsid w:val="00F65C99"/>
    <w:rsid w:val="00F701B3"/>
    <w:rsid w:val="00F75D17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FF7DC093AD4EE397609390923E9F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2026-07-23T07:50:15Z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2026-07-22T00:00:00Z</Date_x0020_protokolli>
    <Titulli xmlns="0e656187-b300-4fb0-8bf4-3a50f872073c">Për vlerësimin e veprimtarisë së Entit Rregullator të Ujit për vitin 2025 dhe rekomandimet për vitin 2026</Titulli>
    <Modifikuesi xmlns="0e656187-b300-4fb0-8bf4-3a50f872073c">ermira.bukaci</Modifikuesi>
    <Nr_x002e__x0020_prot_x0020_QBZ xmlns="0e656187-b300-4fb0-8bf4-3a50f872073c">1637/12</Nr_x002e__x0020_prot_x0020_QBZ>
    <Data_x0020_e_x0020_Modifikimit xmlns="0e656187-b300-4fb0-8bf4-3a50f872073c">2026-07-23T09:08:01Z</Data_x0020_e_x0020_Modifikimit>
    <Dekretuar xmlns="0e656187-b300-4fb0-8bf4-3a50f872073c">false</Dekretuar>
    <Data xmlns="0e656187-b300-4fb0-8bf4-3a50f872073c">2026-07-16T00:00:00Z</Data>
    <Nr_x002e__x0020_protokolli_x0020_i_x0020_aktit xmlns="0e656187-b300-4fb0-8bf4-3a50f872073c">3180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FF7DC093AD4EE397609390923E9F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33C47-68D1-4F77-A6BC-EF5D4BC754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527FA6B-9EB1-4012-A282-637FE8EC7266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592CC22-4C8D-46EA-AAA5-01FC56FA83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A94860-6E86-4B53-901B-F8A7521F59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721F055-41BB-4393-8A53-5E97F8FC948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5418D61-DFC5-42CA-8D82-BD006BA41A9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2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Alma Lisaku</cp:lastModifiedBy>
  <cp:revision>235</cp:revision>
  <cp:lastPrinted>2026-07-16T10:43:00Z</cp:lastPrinted>
  <dcterms:created xsi:type="dcterms:W3CDTF">2019-04-04T07:08:00Z</dcterms:created>
  <dcterms:modified xsi:type="dcterms:W3CDTF">2026-07-23T10:08:00Z</dcterms:modified>
</cp:coreProperties>
</file>