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E32D91" w14:textId="45B04F62" w:rsidR="00493028" w:rsidRPr="00BD168B" w:rsidRDefault="0042060E" w:rsidP="00A02D9D">
      <w:pPr>
        <w:spacing w:after="0" w:line="240" w:lineRule="auto"/>
        <w:ind w:firstLine="284"/>
        <w:jc w:val="center"/>
        <w:rPr>
          <w:rFonts w:ascii="Garamond" w:eastAsia="Times New Roman" w:hAnsi="Garamond" w:cs="Times New Roman"/>
          <w:b/>
          <w:sz w:val="24"/>
          <w:szCs w:val="24"/>
        </w:rPr>
      </w:pPr>
      <w:r w:rsidRPr="00BD168B">
        <w:rPr>
          <w:rFonts w:ascii="Garamond" w:eastAsia="Times New Roman" w:hAnsi="Garamond" w:cs="Times New Roman"/>
          <w:b/>
          <w:sz w:val="24"/>
          <w:szCs w:val="24"/>
        </w:rPr>
        <w:t>REZOLUT</w:t>
      </w:r>
      <w:r w:rsidR="007F1C28" w:rsidRPr="00BD168B">
        <w:rPr>
          <w:rFonts w:ascii="Garamond" w:eastAsia="Times New Roman" w:hAnsi="Garamond" w:cs="Times New Roman"/>
          <w:b/>
          <w:sz w:val="24"/>
          <w:szCs w:val="24"/>
        </w:rPr>
        <w:t>Ë</w:t>
      </w:r>
      <w:r w:rsidR="00493028" w:rsidRPr="00BD168B">
        <w:rPr>
          <w:rFonts w:ascii="Garamond" w:eastAsia="Times New Roman" w:hAnsi="Garamond" w:cs="Times New Roman"/>
          <w:b/>
          <w:sz w:val="24"/>
          <w:szCs w:val="24"/>
        </w:rPr>
        <w:t xml:space="preserve"> </w:t>
      </w:r>
    </w:p>
    <w:p w14:paraId="629DA87A" w14:textId="77777777" w:rsidR="00493028" w:rsidRPr="00BD168B" w:rsidRDefault="00493028" w:rsidP="00A02D9D">
      <w:pPr>
        <w:spacing w:after="0" w:line="240" w:lineRule="auto"/>
        <w:ind w:firstLine="284"/>
        <w:jc w:val="center"/>
        <w:rPr>
          <w:rFonts w:ascii="Garamond" w:eastAsia="Times New Roman" w:hAnsi="Garamond" w:cs="Times New Roman"/>
          <w:b/>
          <w:sz w:val="24"/>
          <w:szCs w:val="24"/>
        </w:rPr>
      </w:pPr>
    </w:p>
    <w:p w14:paraId="6A02CD52" w14:textId="77777777" w:rsidR="006F4ADE" w:rsidRPr="00BD168B" w:rsidRDefault="006F4ADE" w:rsidP="00A02D9D">
      <w:pPr>
        <w:spacing w:after="0" w:line="240" w:lineRule="auto"/>
        <w:ind w:firstLine="284"/>
        <w:jc w:val="center"/>
        <w:rPr>
          <w:rFonts w:ascii="Garamond" w:eastAsia="Times New Roman" w:hAnsi="Garamond" w:cs="Times New Roman"/>
          <w:b/>
          <w:sz w:val="24"/>
          <w:szCs w:val="24"/>
        </w:rPr>
      </w:pPr>
      <w:r w:rsidRPr="00BD168B">
        <w:rPr>
          <w:rFonts w:ascii="Garamond" w:eastAsia="Times New Roman" w:hAnsi="Garamond" w:cs="Times New Roman"/>
          <w:b/>
          <w:sz w:val="24"/>
          <w:szCs w:val="24"/>
        </w:rPr>
        <w:t>PËR VLERËSIMIN E VEPRIMTARISË SË AUTORITETIT TË MBIKËQYRJES FINANCIARE PËR VITIN 2025 DHE REKOMANDIMET PËR VITIN 2026</w:t>
      </w:r>
    </w:p>
    <w:p w14:paraId="46A0EF01" w14:textId="77777777" w:rsidR="006F4ADE" w:rsidRPr="00BD168B" w:rsidRDefault="006F4ADE" w:rsidP="00A02D9D">
      <w:pPr>
        <w:spacing w:after="0" w:line="240" w:lineRule="auto"/>
        <w:ind w:firstLine="284"/>
        <w:jc w:val="both"/>
        <w:rPr>
          <w:rFonts w:ascii="Garamond" w:eastAsia="Times New Roman" w:hAnsi="Garamond" w:cs="Times New Roman"/>
          <w:bCs/>
          <w:sz w:val="24"/>
          <w:szCs w:val="24"/>
        </w:rPr>
      </w:pPr>
    </w:p>
    <w:p w14:paraId="088BC099" w14:textId="0B70BB14" w:rsidR="006F4ADE" w:rsidRPr="00BD168B" w:rsidRDefault="006F4ADE" w:rsidP="00A02D9D">
      <w:pPr>
        <w:spacing w:after="0" w:line="240" w:lineRule="auto"/>
        <w:ind w:firstLine="284"/>
        <w:jc w:val="both"/>
        <w:rPr>
          <w:rFonts w:ascii="Garamond" w:eastAsia="Times New Roman" w:hAnsi="Garamond" w:cs="Times New Roman"/>
          <w:b/>
          <w:sz w:val="24"/>
          <w:szCs w:val="24"/>
        </w:rPr>
      </w:pPr>
      <w:r w:rsidRPr="00BD168B">
        <w:rPr>
          <w:rFonts w:ascii="Garamond" w:eastAsia="Times New Roman" w:hAnsi="Garamond" w:cs="Times New Roman"/>
          <w:b/>
          <w:sz w:val="24"/>
          <w:szCs w:val="24"/>
        </w:rPr>
        <w:t>Kuvendi i Shqipërisë,</w:t>
      </w:r>
    </w:p>
    <w:p w14:paraId="74686015" w14:textId="65D72435" w:rsidR="006F4ADE" w:rsidRPr="00BD168B" w:rsidRDefault="006F4ADE" w:rsidP="00A02D9D">
      <w:pPr>
        <w:spacing w:after="0" w:line="240" w:lineRule="auto"/>
        <w:ind w:firstLine="284"/>
        <w:jc w:val="both"/>
        <w:rPr>
          <w:rFonts w:ascii="Garamond" w:eastAsia="Times New Roman" w:hAnsi="Garamond" w:cs="Times New Roman"/>
          <w:bCs/>
          <w:sz w:val="24"/>
          <w:szCs w:val="24"/>
        </w:rPr>
      </w:pPr>
      <w:r w:rsidRPr="00BD168B">
        <w:rPr>
          <w:rFonts w:ascii="Garamond" w:eastAsia="Times New Roman" w:hAnsi="Garamond" w:cs="Times New Roman"/>
          <w:bCs/>
          <w:sz w:val="24"/>
          <w:szCs w:val="24"/>
        </w:rPr>
        <w:t>Duke vlerësuar kontributin e Autoritetit të Mbikëqyrjes Financiare në drejtim të nxitjes së qëndrueshmërisë, transparencës dhe besueshmërisë së tregjeve nën mbikëqyrje;</w:t>
      </w:r>
    </w:p>
    <w:p w14:paraId="633AEFCD" w14:textId="30FA197A" w:rsidR="006F4ADE" w:rsidRPr="00BD168B" w:rsidRDefault="006F4ADE" w:rsidP="00A02D9D">
      <w:pPr>
        <w:spacing w:after="0" w:line="240" w:lineRule="auto"/>
        <w:ind w:firstLine="284"/>
        <w:jc w:val="both"/>
        <w:rPr>
          <w:rFonts w:ascii="Garamond" w:eastAsia="Times New Roman" w:hAnsi="Garamond" w:cs="Times New Roman"/>
          <w:bCs/>
          <w:sz w:val="24"/>
          <w:szCs w:val="24"/>
        </w:rPr>
      </w:pPr>
      <w:r w:rsidRPr="00BD168B">
        <w:rPr>
          <w:rFonts w:ascii="Garamond" w:eastAsia="Times New Roman" w:hAnsi="Garamond" w:cs="Times New Roman"/>
          <w:bCs/>
          <w:sz w:val="24"/>
          <w:szCs w:val="24"/>
        </w:rPr>
        <w:t>Duke njohur misionin e Autoritetit për krijimin e një tregu bashkëkohor dhe efektiv, që ofron shërbime cilësore dhe promovon zhvillimin e mëtejshëm të sektorit financiar jobankar në vend;</w:t>
      </w:r>
    </w:p>
    <w:p w14:paraId="670E7425" w14:textId="5110964B" w:rsidR="006F4ADE" w:rsidRPr="00BD168B" w:rsidRDefault="006F4ADE" w:rsidP="00A02D9D">
      <w:pPr>
        <w:spacing w:after="0" w:line="240" w:lineRule="auto"/>
        <w:ind w:firstLine="284"/>
        <w:jc w:val="both"/>
        <w:rPr>
          <w:rFonts w:ascii="Garamond" w:eastAsia="Times New Roman" w:hAnsi="Garamond" w:cs="Times New Roman"/>
          <w:bCs/>
          <w:sz w:val="24"/>
          <w:szCs w:val="24"/>
        </w:rPr>
      </w:pPr>
      <w:r w:rsidRPr="00BD168B">
        <w:rPr>
          <w:rFonts w:ascii="Garamond" w:eastAsia="Times New Roman" w:hAnsi="Garamond" w:cs="Times New Roman"/>
          <w:bCs/>
          <w:sz w:val="24"/>
          <w:szCs w:val="24"/>
        </w:rPr>
        <w:t>Duke mbështetur e zhvilluar bashkëpunimin me këtë Autoritet, si dhe duke nxitur bashkëpunimin e tij me institucionet kombëtare e ndërkombëtare;</w:t>
      </w:r>
    </w:p>
    <w:p w14:paraId="52140F09" w14:textId="08A717EA" w:rsidR="006F4ADE" w:rsidRPr="00BD168B" w:rsidRDefault="006F4ADE" w:rsidP="00A02D9D">
      <w:pPr>
        <w:spacing w:after="0" w:line="240" w:lineRule="auto"/>
        <w:ind w:firstLine="284"/>
        <w:jc w:val="both"/>
        <w:rPr>
          <w:rFonts w:ascii="Garamond" w:eastAsia="Times New Roman" w:hAnsi="Garamond" w:cs="Times New Roman"/>
          <w:b/>
          <w:sz w:val="24"/>
          <w:szCs w:val="24"/>
        </w:rPr>
      </w:pPr>
      <w:r w:rsidRPr="00BD168B">
        <w:rPr>
          <w:rFonts w:ascii="Garamond" w:eastAsia="Times New Roman" w:hAnsi="Garamond" w:cs="Times New Roman"/>
          <w:b/>
          <w:sz w:val="24"/>
          <w:szCs w:val="24"/>
        </w:rPr>
        <w:t>Vlerëson veprimtarinë e Autoritetit të Mbikëqyrjes Financiare gjatë vitit 2025</w:t>
      </w:r>
      <w:r w:rsidR="00BD168B">
        <w:rPr>
          <w:rFonts w:ascii="Garamond" w:eastAsia="Times New Roman" w:hAnsi="Garamond" w:cs="Times New Roman"/>
          <w:b/>
          <w:sz w:val="24"/>
          <w:szCs w:val="24"/>
        </w:rPr>
        <w:t>,</w:t>
      </w:r>
      <w:r w:rsidRPr="00BD168B">
        <w:rPr>
          <w:rFonts w:ascii="Garamond" w:eastAsia="Times New Roman" w:hAnsi="Garamond" w:cs="Times New Roman"/>
          <w:b/>
          <w:sz w:val="24"/>
          <w:szCs w:val="24"/>
        </w:rPr>
        <w:t xml:space="preserve"> në drejtim të:</w:t>
      </w:r>
    </w:p>
    <w:p w14:paraId="003EC813" w14:textId="49D1A54A" w:rsidR="006F4ADE" w:rsidRPr="00BD168B" w:rsidRDefault="00A02D9D" w:rsidP="00A02D9D">
      <w:pPr>
        <w:spacing w:after="0" w:line="240" w:lineRule="auto"/>
        <w:ind w:firstLine="284"/>
        <w:jc w:val="both"/>
        <w:rPr>
          <w:rFonts w:ascii="Garamond" w:eastAsia="Times New Roman" w:hAnsi="Garamond" w:cs="Times New Roman"/>
          <w:bCs/>
          <w:sz w:val="24"/>
          <w:szCs w:val="24"/>
        </w:rPr>
      </w:pPr>
      <w:r w:rsidRPr="00BD168B">
        <w:rPr>
          <w:rFonts w:ascii="Garamond" w:eastAsia="Times New Roman" w:hAnsi="Garamond" w:cs="Times New Roman"/>
          <w:bCs/>
          <w:sz w:val="24"/>
          <w:szCs w:val="24"/>
        </w:rPr>
        <w:t xml:space="preserve"> </w:t>
      </w:r>
      <w:r w:rsidR="006F4ADE" w:rsidRPr="00BD168B">
        <w:rPr>
          <w:rFonts w:ascii="Garamond" w:eastAsia="Times New Roman" w:hAnsi="Garamond" w:cs="Times New Roman"/>
          <w:bCs/>
          <w:sz w:val="24"/>
          <w:szCs w:val="24"/>
        </w:rPr>
        <w:t>Zhvillimit të një qasjeje të avancuar mbikëqyrëse, të bazuar në analizën e treguesve financiarë dhe prudencialë, me fokus në vlerësimin e profilit të rrezikut të subjekteve, identifikimin në kohë të ekspozimeve dhe ndërhyrjen proporcionale në funksion të ruajtjes së stabilitetit të tregjeve nën mbikëqyrje, rritjes së transparencës dhe mbrojtjes së interesave të k</w:t>
      </w:r>
      <w:r w:rsidR="00BD168B">
        <w:rPr>
          <w:rFonts w:ascii="Garamond" w:eastAsia="Times New Roman" w:hAnsi="Garamond" w:cs="Times New Roman"/>
          <w:bCs/>
          <w:sz w:val="24"/>
          <w:szCs w:val="24"/>
        </w:rPr>
        <w:t>onsumatorëve dhe investitorëve.</w:t>
      </w:r>
    </w:p>
    <w:p w14:paraId="038E3F8C" w14:textId="31A40B28" w:rsidR="006F4ADE" w:rsidRPr="00BD168B" w:rsidRDefault="00A02D9D" w:rsidP="00A02D9D">
      <w:pPr>
        <w:spacing w:after="0" w:line="240" w:lineRule="auto"/>
        <w:ind w:firstLine="284"/>
        <w:jc w:val="both"/>
        <w:rPr>
          <w:rFonts w:ascii="Garamond" w:eastAsia="Times New Roman" w:hAnsi="Garamond" w:cs="Times New Roman"/>
          <w:bCs/>
          <w:sz w:val="24"/>
          <w:szCs w:val="24"/>
        </w:rPr>
      </w:pPr>
      <w:r w:rsidRPr="00BD168B">
        <w:rPr>
          <w:rFonts w:ascii="Garamond" w:eastAsia="Times New Roman" w:hAnsi="Garamond" w:cs="Times New Roman"/>
          <w:bCs/>
          <w:sz w:val="24"/>
          <w:szCs w:val="24"/>
        </w:rPr>
        <w:t xml:space="preserve"> </w:t>
      </w:r>
      <w:r w:rsidR="006F4ADE" w:rsidRPr="00BD168B">
        <w:rPr>
          <w:rFonts w:ascii="Garamond" w:eastAsia="Times New Roman" w:hAnsi="Garamond" w:cs="Times New Roman"/>
          <w:bCs/>
          <w:sz w:val="24"/>
          <w:szCs w:val="24"/>
        </w:rPr>
        <w:t xml:space="preserve">Konsolidimit të rolit institucional si strukturë drejtuese për </w:t>
      </w:r>
      <w:r w:rsidR="00BD168B">
        <w:rPr>
          <w:rFonts w:ascii="Garamond" w:eastAsia="Times New Roman" w:hAnsi="Garamond" w:cs="Times New Roman"/>
          <w:bCs/>
          <w:sz w:val="24"/>
          <w:szCs w:val="24"/>
        </w:rPr>
        <w:t>k</w:t>
      </w:r>
      <w:r w:rsidR="006F4ADE" w:rsidRPr="00BD168B">
        <w:rPr>
          <w:rFonts w:ascii="Garamond" w:eastAsia="Times New Roman" w:hAnsi="Garamond" w:cs="Times New Roman"/>
          <w:bCs/>
          <w:sz w:val="24"/>
          <w:szCs w:val="24"/>
        </w:rPr>
        <w:t xml:space="preserve">apitullin 9 “Shërbimet </w:t>
      </w:r>
      <w:r w:rsidR="00F66992" w:rsidRPr="00BD168B">
        <w:rPr>
          <w:rFonts w:ascii="Garamond" w:eastAsia="Times New Roman" w:hAnsi="Garamond" w:cs="Times New Roman"/>
          <w:bCs/>
          <w:sz w:val="24"/>
          <w:szCs w:val="24"/>
        </w:rPr>
        <w:t>f</w:t>
      </w:r>
      <w:r w:rsidR="006F4ADE" w:rsidRPr="00BD168B">
        <w:rPr>
          <w:rFonts w:ascii="Garamond" w:eastAsia="Times New Roman" w:hAnsi="Garamond" w:cs="Times New Roman"/>
          <w:bCs/>
          <w:sz w:val="24"/>
          <w:szCs w:val="24"/>
        </w:rPr>
        <w:t xml:space="preserve">inanciare” në një fazë më të avancuar të procesit të integrimit evropian, ku veprimtaria ka tejkaluar përmbushjen formale të detyrimeve raportuese dhe është orientuar drejt thellimit të reformave ligjore dhe rregullatore në të gjitha tregjet nën mbikëqyrje, duke reflektuar një qasje më të strukturuar dhe progresive në përafrimin e kuadrit kombëtar me </w:t>
      </w:r>
      <w:r w:rsidR="006F4ADE" w:rsidRPr="00BD168B">
        <w:rPr>
          <w:rFonts w:ascii="Garamond" w:eastAsia="Times New Roman" w:hAnsi="Garamond" w:cs="Times New Roman"/>
          <w:bCs/>
          <w:i/>
          <w:iCs/>
          <w:sz w:val="24"/>
          <w:szCs w:val="24"/>
        </w:rPr>
        <w:t>acquis</w:t>
      </w:r>
      <w:r w:rsidR="008B35F7" w:rsidRPr="00BD168B">
        <w:rPr>
          <w:rFonts w:ascii="Garamond" w:eastAsia="Times New Roman" w:hAnsi="Garamond" w:cs="Times New Roman"/>
          <w:bCs/>
          <w:i/>
          <w:iCs/>
          <w:sz w:val="24"/>
          <w:szCs w:val="24"/>
        </w:rPr>
        <w:t>-n</w:t>
      </w:r>
      <w:r w:rsidR="006F4ADE" w:rsidRPr="00BD168B">
        <w:rPr>
          <w:rFonts w:ascii="Garamond" w:eastAsia="Times New Roman" w:hAnsi="Garamond" w:cs="Times New Roman"/>
          <w:bCs/>
          <w:sz w:val="24"/>
          <w:szCs w:val="24"/>
        </w:rPr>
        <w:t xml:space="preserve"> </w:t>
      </w:r>
      <w:r w:rsidR="008B35F7" w:rsidRPr="00BD168B">
        <w:rPr>
          <w:rFonts w:ascii="Garamond" w:eastAsia="Times New Roman" w:hAnsi="Garamond" w:cs="Times New Roman"/>
          <w:bCs/>
          <w:sz w:val="24"/>
          <w:szCs w:val="24"/>
        </w:rPr>
        <w:t>e</w:t>
      </w:r>
      <w:r w:rsidR="006F4ADE" w:rsidRPr="00BD168B">
        <w:rPr>
          <w:rFonts w:ascii="Garamond" w:eastAsia="Times New Roman" w:hAnsi="Garamond" w:cs="Times New Roman"/>
          <w:bCs/>
          <w:sz w:val="24"/>
          <w:szCs w:val="24"/>
        </w:rPr>
        <w:t xml:space="preserve"> Bashkimit Evropian.</w:t>
      </w:r>
    </w:p>
    <w:p w14:paraId="03288BA5" w14:textId="3EF219CB" w:rsidR="006F4ADE" w:rsidRPr="00BD168B" w:rsidRDefault="00A02D9D" w:rsidP="00A02D9D">
      <w:pPr>
        <w:spacing w:after="0" w:line="240" w:lineRule="auto"/>
        <w:ind w:firstLine="284"/>
        <w:jc w:val="both"/>
        <w:rPr>
          <w:rFonts w:ascii="Garamond" w:eastAsia="Times New Roman" w:hAnsi="Garamond" w:cs="Times New Roman"/>
          <w:bCs/>
          <w:sz w:val="24"/>
          <w:szCs w:val="24"/>
        </w:rPr>
      </w:pPr>
      <w:r w:rsidRPr="00BD168B">
        <w:rPr>
          <w:rFonts w:ascii="Garamond" w:eastAsia="Times New Roman" w:hAnsi="Garamond" w:cs="Times New Roman"/>
          <w:bCs/>
          <w:sz w:val="24"/>
          <w:szCs w:val="24"/>
        </w:rPr>
        <w:t xml:space="preserve"> </w:t>
      </w:r>
      <w:r w:rsidR="006F4ADE" w:rsidRPr="00BD168B">
        <w:rPr>
          <w:rFonts w:ascii="Garamond" w:eastAsia="Times New Roman" w:hAnsi="Garamond" w:cs="Times New Roman"/>
          <w:bCs/>
          <w:sz w:val="24"/>
          <w:szCs w:val="24"/>
        </w:rPr>
        <w:t xml:space="preserve">Avancimit të mëtejshëm të reformës në sektorin e sigurimeve përmes zbatimit të udhërrëfyesit 7-vjeçar për kalimin drejt regjimit </w:t>
      </w:r>
      <w:r w:rsidR="006F4ADE" w:rsidRPr="00BD168B">
        <w:rPr>
          <w:rFonts w:ascii="Garamond" w:eastAsia="Times New Roman" w:hAnsi="Garamond" w:cs="Times New Roman"/>
          <w:bCs/>
          <w:i/>
          <w:iCs/>
          <w:sz w:val="24"/>
          <w:szCs w:val="24"/>
        </w:rPr>
        <w:t>Solvency II</w:t>
      </w:r>
      <w:r w:rsidR="006F4ADE" w:rsidRPr="00BD168B">
        <w:rPr>
          <w:rFonts w:ascii="Garamond" w:eastAsia="Times New Roman" w:hAnsi="Garamond" w:cs="Times New Roman"/>
          <w:bCs/>
          <w:sz w:val="24"/>
          <w:szCs w:val="24"/>
        </w:rPr>
        <w:t>, ku gjatë vitit 2025 u përmbyll faza e parë e ushtrimit të Vlerësimit të Ndikimit Sasior me përfshirjen e të gjitha shoqërive të sigurimit dhe me mbështetjen teknike të Bankës Botërore, duke shënuar një hap konkret drejt kalimit nga një mbikëqyrje e bazuar në rregulla drejt një modeli prudencial të orientuar nga rreziku dhe drejt forcimit të qëndru</w:t>
      </w:r>
      <w:r w:rsidR="00BD168B">
        <w:rPr>
          <w:rFonts w:ascii="Garamond" w:eastAsia="Times New Roman" w:hAnsi="Garamond" w:cs="Times New Roman"/>
          <w:bCs/>
          <w:sz w:val="24"/>
          <w:szCs w:val="24"/>
        </w:rPr>
        <w:t>eshmërisë financiare të tregut.</w:t>
      </w:r>
    </w:p>
    <w:p w14:paraId="4581FA1D" w14:textId="2ADDC049" w:rsidR="006F4ADE" w:rsidRPr="00BD168B" w:rsidRDefault="00A02D9D" w:rsidP="00A02D9D">
      <w:pPr>
        <w:spacing w:after="0" w:line="240" w:lineRule="auto"/>
        <w:ind w:firstLine="284"/>
        <w:jc w:val="both"/>
        <w:rPr>
          <w:rFonts w:ascii="Garamond" w:eastAsia="Times New Roman" w:hAnsi="Garamond" w:cs="Times New Roman"/>
          <w:bCs/>
          <w:sz w:val="24"/>
          <w:szCs w:val="24"/>
        </w:rPr>
      </w:pPr>
      <w:r w:rsidRPr="00BD168B">
        <w:rPr>
          <w:rFonts w:ascii="Garamond" w:eastAsia="Times New Roman" w:hAnsi="Garamond" w:cs="Times New Roman"/>
          <w:bCs/>
          <w:sz w:val="24"/>
          <w:szCs w:val="24"/>
        </w:rPr>
        <w:t xml:space="preserve"> </w:t>
      </w:r>
      <w:r w:rsidR="006F4ADE" w:rsidRPr="00BD168B">
        <w:rPr>
          <w:rFonts w:ascii="Garamond" w:eastAsia="Times New Roman" w:hAnsi="Garamond" w:cs="Times New Roman"/>
          <w:bCs/>
          <w:sz w:val="24"/>
          <w:szCs w:val="24"/>
        </w:rPr>
        <w:t>Përgatitjes së tregut të sigurimeve për zbatimin e standardit SNRF 17 përmes ndërmarrjes së hapave konkretë rregullatorë dhe mbikëqyrës, duke përfshirë miratimin dhe zbatimin e kërkesave për raportim gjatë periudhës tranzitore, zhvillimin e trajnimeve të dedikuara në bashkëpunim me Bankën Botërore, si dhe ngritjen e grupeve të punës për hartimin e një plani të plotë raportimi financiar dhe për rishikimin e kuadrit ekzistues nënligjor.</w:t>
      </w:r>
    </w:p>
    <w:p w14:paraId="266514E8" w14:textId="3C28B22F" w:rsidR="006F4ADE" w:rsidRPr="00BD168B" w:rsidRDefault="00A02D9D" w:rsidP="00A02D9D">
      <w:pPr>
        <w:spacing w:after="0" w:line="240" w:lineRule="auto"/>
        <w:ind w:firstLine="284"/>
        <w:jc w:val="both"/>
        <w:rPr>
          <w:rFonts w:ascii="Garamond" w:eastAsia="Times New Roman" w:hAnsi="Garamond" w:cs="Times New Roman"/>
          <w:bCs/>
          <w:sz w:val="24"/>
          <w:szCs w:val="24"/>
        </w:rPr>
      </w:pPr>
      <w:r w:rsidRPr="00BD168B">
        <w:rPr>
          <w:rFonts w:ascii="Garamond" w:eastAsia="Times New Roman" w:hAnsi="Garamond" w:cs="Times New Roman"/>
          <w:bCs/>
          <w:sz w:val="24"/>
          <w:szCs w:val="24"/>
        </w:rPr>
        <w:t xml:space="preserve"> </w:t>
      </w:r>
      <w:r w:rsidR="006F4ADE" w:rsidRPr="00BD168B">
        <w:rPr>
          <w:rFonts w:ascii="Garamond" w:eastAsia="Times New Roman" w:hAnsi="Garamond" w:cs="Times New Roman"/>
          <w:bCs/>
          <w:sz w:val="24"/>
          <w:szCs w:val="24"/>
        </w:rPr>
        <w:t>Përfundimit të procesit të përshtatjes së subjekteve të tregut të pensioneve private me kërkesat e ligjit nr. 76/2023</w:t>
      </w:r>
      <w:r w:rsidR="00BD168B">
        <w:rPr>
          <w:rFonts w:ascii="Garamond" w:eastAsia="Times New Roman" w:hAnsi="Garamond" w:cs="Times New Roman"/>
          <w:bCs/>
          <w:sz w:val="24"/>
          <w:szCs w:val="24"/>
        </w:rPr>
        <w:t>,</w:t>
      </w:r>
      <w:r w:rsidR="006F4ADE" w:rsidRPr="00BD168B">
        <w:rPr>
          <w:rFonts w:ascii="Garamond" w:eastAsia="Times New Roman" w:hAnsi="Garamond" w:cs="Times New Roman"/>
          <w:bCs/>
          <w:sz w:val="24"/>
          <w:szCs w:val="24"/>
        </w:rPr>
        <w:t xml:space="preserve"> “Për fondet e pensionit privat” dhe akteve nënligjore përkatëse brenda afatit 18-mujor të parashikuar për katër shoqëri administruese, gjashtë fonde pensioni dhe pesë depozitarë, duke përfshirë rishikimin e rregullave operacionale, forcimin e qeverisjes së brendshme, kontrollit dhe administrimit të rrezikut, si dhe përmbushjen e kritereve “</w:t>
      </w:r>
      <w:r w:rsidR="006F4ADE" w:rsidRPr="00BD168B">
        <w:rPr>
          <w:rFonts w:ascii="Garamond" w:eastAsia="Times New Roman" w:hAnsi="Garamond" w:cs="Times New Roman"/>
          <w:bCs/>
          <w:i/>
          <w:iCs/>
          <w:sz w:val="24"/>
          <w:szCs w:val="24"/>
        </w:rPr>
        <w:t>fit and proper</w:t>
      </w:r>
      <w:r w:rsidR="006F4ADE" w:rsidRPr="00BD168B">
        <w:rPr>
          <w:rFonts w:ascii="Garamond" w:eastAsia="Times New Roman" w:hAnsi="Garamond" w:cs="Times New Roman"/>
          <w:bCs/>
          <w:sz w:val="24"/>
          <w:szCs w:val="24"/>
        </w:rPr>
        <w:t>” për personelin kyç, çka përbën një zhvillim me rëndësi për rritjen e besimit, mbrojtjen e anëtarëve dhe zhvillimin e pensioneve</w:t>
      </w:r>
      <w:r w:rsidR="00BD168B">
        <w:rPr>
          <w:rFonts w:ascii="Garamond" w:eastAsia="Times New Roman" w:hAnsi="Garamond" w:cs="Times New Roman"/>
          <w:bCs/>
          <w:sz w:val="24"/>
          <w:szCs w:val="24"/>
        </w:rPr>
        <w:t xml:space="preserve"> private si instrument afatgjat</w:t>
      </w:r>
      <w:r w:rsidR="006F4ADE" w:rsidRPr="00BD168B">
        <w:rPr>
          <w:rFonts w:ascii="Garamond" w:eastAsia="Times New Roman" w:hAnsi="Garamond" w:cs="Times New Roman"/>
          <w:bCs/>
          <w:sz w:val="24"/>
          <w:szCs w:val="24"/>
        </w:rPr>
        <w:t xml:space="preserve"> kursimi.</w:t>
      </w:r>
    </w:p>
    <w:p w14:paraId="0EDFC101" w14:textId="11971F84" w:rsidR="006F4ADE" w:rsidRPr="00BD168B" w:rsidRDefault="00A02D9D" w:rsidP="00A02D9D">
      <w:pPr>
        <w:spacing w:after="0" w:line="240" w:lineRule="auto"/>
        <w:ind w:firstLine="284"/>
        <w:jc w:val="both"/>
        <w:rPr>
          <w:rFonts w:ascii="Garamond" w:eastAsia="Times New Roman" w:hAnsi="Garamond" w:cs="Times New Roman"/>
          <w:bCs/>
          <w:sz w:val="24"/>
          <w:szCs w:val="24"/>
        </w:rPr>
      </w:pPr>
      <w:r w:rsidRPr="00BD168B">
        <w:rPr>
          <w:rFonts w:ascii="Garamond" w:eastAsia="Times New Roman" w:hAnsi="Garamond" w:cs="Times New Roman"/>
          <w:bCs/>
          <w:sz w:val="24"/>
          <w:szCs w:val="24"/>
        </w:rPr>
        <w:t xml:space="preserve"> </w:t>
      </w:r>
      <w:r w:rsidR="006F4ADE" w:rsidRPr="00BD168B">
        <w:rPr>
          <w:rFonts w:ascii="Garamond" w:eastAsia="Times New Roman" w:hAnsi="Garamond" w:cs="Times New Roman"/>
          <w:bCs/>
          <w:sz w:val="24"/>
          <w:szCs w:val="24"/>
        </w:rPr>
        <w:t>Zhvillimit të kuadrit rregullator në tregun e kapitaleve përmes hartimit të paketës ligjore që përfshin projektligjin për marrjen në kontroll të shoqërive me ofertë publike dhe projektligjin për kërkesat e transparencës për emetuesit e titujve, duke forcuar standardet e raportimit financiar dhe mbrojtjen e investitorëve, si dhe përmes miratimit të rregullores nr. 61/2025</w:t>
      </w:r>
      <w:r w:rsidR="00BD168B">
        <w:rPr>
          <w:rFonts w:ascii="Garamond" w:eastAsia="Times New Roman" w:hAnsi="Garamond" w:cs="Times New Roman"/>
          <w:bCs/>
          <w:sz w:val="24"/>
          <w:szCs w:val="24"/>
        </w:rPr>
        <w:t>,</w:t>
      </w:r>
      <w:r w:rsidR="006F4ADE" w:rsidRPr="00BD168B">
        <w:rPr>
          <w:rFonts w:ascii="Garamond" w:eastAsia="Times New Roman" w:hAnsi="Garamond" w:cs="Times New Roman"/>
          <w:bCs/>
          <w:sz w:val="24"/>
          <w:szCs w:val="24"/>
        </w:rPr>
        <w:t xml:space="preserve"> “Për formën dhe procedurën e regjistrimit të aktofertës për emetimin e titujve të borxhit”, e cila përbën një ndërhyrje të rëndësishme rregullatore në funksion të standardizimit të procedurave të emetimit, rritjes së transparencës dhe sigurisë juridike për pjesëmarrësit në treg.</w:t>
      </w:r>
    </w:p>
    <w:p w14:paraId="38FC0A19" w14:textId="131E600C" w:rsidR="006F4ADE" w:rsidRPr="00BD168B" w:rsidRDefault="00A02D9D" w:rsidP="00A02D9D">
      <w:pPr>
        <w:spacing w:after="0" w:line="240" w:lineRule="auto"/>
        <w:ind w:firstLine="284"/>
        <w:jc w:val="both"/>
        <w:rPr>
          <w:rFonts w:ascii="Garamond" w:eastAsia="Times New Roman" w:hAnsi="Garamond" w:cs="Times New Roman"/>
          <w:bCs/>
          <w:sz w:val="24"/>
          <w:szCs w:val="24"/>
        </w:rPr>
      </w:pPr>
      <w:r w:rsidRPr="00BD168B">
        <w:rPr>
          <w:rFonts w:ascii="Garamond" w:eastAsia="Times New Roman" w:hAnsi="Garamond" w:cs="Times New Roman"/>
          <w:bCs/>
          <w:sz w:val="24"/>
          <w:szCs w:val="24"/>
        </w:rPr>
        <w:t xml:space="preserve"> </w:t>
      </w:r>
      <w:r w:rsidR="006F4ADE" w:rsidRPr="00BD168B">
        <w:rPr>
          <w:rFonts w:ascii="Garamond" w:eastAsia="Times New Roman" w:hAnsi="Garamond" w:cs="Times New Roman"/>
          <w:bCs/>
          <w:sz w:val="24"/>
          <w:szCs w:val="24"/>
        </w:rPr>
        <w:t>Modernizimit të kuadrit mbikëqyrës në drejtim të qëndrueshmërisë operacionale digjitale</w:t>
      </w:r>
      <w:r w:rsidR="00BD168B">
        <w:rPr>
          <w:rFonts w:ascii="Garamond" w:eastAsia="Times New Roman" w:hAnsi="Garamond" w:cs="Times New Roman"/>
          <w:bCs/>
          <w:sz w:val="24"/>
          <w:szCs w:val="24"/>
        </w:rPr>
        <w:t>,</w:t>
      </w:r>
      <w:r w:rsidR="006F4ADE" w:rsidRPr="00BD168B">
        <w:rPr>
          <w:rFonts w:ascii="Garamond" w:eastAsia="Times New Roman" w:hAnsi="Garamond" w:cs="Times New Roman"/>
          <w:bCs/>
          <w:sz w:val="24"/>
          <w:szCs w:val="24"/>
        </w:rPr>
        <w:t xml:space="preserve"> në përputhje me standardet e DORA</w:t>
      </w:r>
      <w:r w:rsidR="00687937" w:rsidRPr="00BD168B">
        <w:rPr>
          <w:rFonts w:ascii="Garamond" w:eastAsia="Times New Roman" w:hAnsi="Garamond" w:cs="Times New Roman"/>
          <w:bCs/>
          <w:sz w:val="24"/>
          <w:szCs w:val="24"/>
        </w:rPr>
        <w:t>-s</w:t>
      </w:r>
      <w:r w:rsidR="00BD168B">
        <w:rPr>
          <w:rFonts w:ascii="Garamond" w:eastAsia="Times New Roman" w:hAnsi="Garamond" w:cs="Times New Roman"/>
          <w:bCs/>
          <w:sz w:val="24"/>
          <w:szCs w:val="24"/>
        </w:rPr>
        <w:t>,</w:t>
      </w:r>
      <w:r w:rsidR="006F4ADE" w:rsidRPr="00BD168B">
        <w:rPr>
          <w:rFonts w:ascii="Garamond" w:eastAsia="Times New Roman" w:hAnsi="Garamond" w:cs="Times New Roman"/>
          <w:bCs/>
          <w:sz w:val="24"/>
          <w:szCs w:val="24"/>
        </w:rPr>
        <w:t xml:space="preserve"> përmes nisjes së procesit për përgatitjen e akteve rregullatore që vendosin kërkesa për menaxhimin e rreziqeve të teknologjisë së informacionit, forcimin e reziliencës ndaj incidenteve kibernetike dhe garantimin e vazhdimësisë së aktivitetit.</w:t>
      </w:r>
    </w:p>
    <w:p w14:paraId="381C268B" w14:textId="32003C30" w:rsidR="006F4ADE" w:rsidRPr="00BD168B" w:rsidRDefault="00A02D9D" w:rsidP="00A02D9D">
      <w:pPr>
        <w:spacing w:after="0" w:line="240" w:lineRule="auto"/>
        <w:ind w:firstLine="284"/>
        <w:jc w:val="both"/>
        <w:rPr>
          <w:rFonts w:ascii="Garamond" w:eastAsia="Times New Roman" w:hAnsi="Garamond" w:cs="Times New Roman"/>
          <w:bCs/>
          <w:sz w:val="24"/>
          <w:szCs w:val="24"/>
        </w:rPr>
      </w:pPr>
      <w:r w:rsidRPr="00BD168B">
        <w:rPr>
          <w:rFonts w:ascii="Garamond" w:eastAsia="Times New Roman" w:hAnsi="Garamond" w:cs="Times New Roman"/>
          <w:bCs/>
          <w:sz w:val="24"/>
          <w:szCs w:val="24"/>
        </w:rPr>
        <w:t xml:space="preserve"> </w:t>
      </w:r>
      <w:r w:rsidR="006F4ADE" w:rsidRPr="00BD168B">
        <w:rPr>
          <w:rFonts w:ascii="Garamond" w:eastAsia="Times New Roman" w:hAnsi="Garamond" w:cs="Times New Roman"/>
          <w:bCs/>
          <w:sz w:val="24"/>
          <w:szCs w:val="24"/>
        </w:rPr>
        <w:t xml:space="preserve">Mbikëqyrjes efektive të tregjeve financiare jobankare përmes realizimit të 41 inspektimeve në vend, të ndërthurura me monitorimin e vazhdueshëm </w:t>
      </w:r>
      <w:r w:rsidR="006F4ADE" w:rsidRPr="00BD168B">
        <w:rPr>
          <w:rFonts w:ascii="Garamond" w:eastAsia="Times New Roman" w:hAnsi="Garamond" w:cs="Times New Roman"/>
          <w:bCs/>
          <w:i/>
          <w:iCs/>
          <w:sz w:val="24"/>
          <w:szCs w:val="24"/>
        </w:rPr>
        <w:t>off-site</w:t>
      </w:r>
      <w:r w:rsidR="006F4ADE" w:rsidRPr="00BD168B">
        <w:rPr>
          <w:rFonts w:ascii="Garamond" w:eastAsia="Times New Roman" w:hAnsi="Garamond" w:cs="Times New Roman"/>
          <w:bCs/>
          <w:sz w:val="24"/>
          <w:szCs w:val="24"/>
        </w:rPr>
        <w:t xml:space="preserve"> mbi bazën e treguesve financiarë dhe operativë, </w:t>
      </w:r>
      <w:r w:rsidR="006F4ADE" w:rsidRPr="00BD168B">
        <w:rPr>
          <w:rFonts w:ascii="Garamond" w:eastAsia="Times New Roman" w:hAnsi="Garamond" w:cs="Times New Roman"/>
          <w:bCs/>
          <w:sz w:val="24"/>
          <w:szCs w:val="24"/>
        </w:rPr>
        <w:lastRenderedPageBreak/>
        <w:t>duke përfshirë inspektime me bazë rreziku dhe kontrolle tematike në segmente kyçe të tregut, të cilat kanë konkluduar në marrjen e 13 masave administrative dhe korrigjuese, si dhe në një sërë rekomandimesh të adresuara për tregje dhe subjekte specifike.</w:t>
      </w:r>
    </w:p>
    <w:p w14:paraId="2AFF6496" w14:textId="19CEBE7F" w:rsidR="006F4ADE" w:rsidRPr="00BD168B" w:rsidRDefault="00A02D9D" w:rsidP="00A02D9D">
      <w:pPr>
        <w:spacing w:after="0" w:line="240" w:lineRule="auto"/>
        <w:ind w:firstLine="284"/>
        <w:jc w:val="both"/>
        <w:rPr>
          <w:rFonts w:ascii="Garamond" w:eastAsia="Times New Roman" w:hAnsi="Garamond" w:cs="Times New Roman"/>
          <w:bCs/>
          <w:sz w:val="24"/>
          <w:szCs w:val="24"/>
        </w:rPr>
      </w:pPr>
      <w:r w:rsidRPr="00BD168B">
        <w:rPr>
          <w:rFonts w:ascii="Garamond" w:eastAsia="Times New Roman" w:hAnsi="Garamond" w:cs="Times New Roman"/>
          <w:bCs/>
          <w:sz w:val="24"/>
          <w:szCs w:val="24"/>
        </w:rPr>
        <w:t xml:space="preserve"> </w:t>
      </w:r>
      <w:r w:rsidR="006F4ADE" w:rsidRPr="00BD168B">
        <w:rPr>
          <w:rFonts w:ascii="Garamond" w:eastAsia="Times New Roman" w:hAnsi="Garamond" w:cs="Times New Roman"/>
          <w:bCs/>
          <w:sz w:val="24"/>
          <w:szCs w:val="24"/>
        </w:rPr>
        <w:t>Zhvillimit të mekanizmave rregullatorë dhe mbikëqyrës në fushën e parandalimit të pastrimit të parave dhe financimit të terrorizmit (AML/CFT) përmes ndërhyrjeve të targetuara në 12 akte nënligjore, të cilat përmirësojnë identifikimin e pronarit përfitues fundor, përforcojnë verifikimin e listave të sanksioneve ndërkombëtare</w:t>
      </w:r>
      <w:r w:rsidR="00BD168B">
        <w:rPr>
          <w:rFonts w:ascii="Garamond" w:eastAsia="Times New Roman" w:hAnsi="Garamond" w:cs="Times New Roman"/>
          <w:bCs/>
          <w:sz w:val="24"/>
          <w:szCs w:val="24"/>
        </w:rPr>
        <w:t>,</w:t>
      </w:r>
      <w:r w:rsidR="006F4ADE" w:rsidRPr="00BD168B">
        <w:rPr>
          <w:rFonts w:ascii="Garamond" w:eastAsia="Times New Roman" w:hAnsi="Garamond" w:cs="Times New Roman"/>
          <w:bCs/>
          <w:sz w:val="24"/>
          <w:szCs w:val="24"/>
        </w:rPr>
        <w:t xml:space="preserve"> në kuadër të procesit “</w:t>
      </w:r>
      <w:r w:rsidR="006F4ADE" w:rsidRPr="00BD168B">
        <w:rPr>
          <w:rFonts w:ascii="Garamond" w:eastAsia="Times New Roman" w:hAnsi="Garamond" w:cs="Times New Roman"/>
          <w:bCs/>
          <w:i/>
          <w:iCs/>
          <w:sz w:val="24"/>
          <w:szCs w:val="24"/>
        </w:rPr>
        <w:t>fit and proper</w:t>
      </w:r>
      <w:r w:rsidR="006F4ADE" w:rsidRPr="00BD168B">
        <w:rPr>
          <w:rFonts w:ascii="Garamond" w:eastAsia="Times New Roman" w:hAnsi="Garamond" w:cs="Times New Roman"/>
          <w:bCs/>
          <w:sz w:val="24"/>
          <w:szCs w:val="24"/>
        </w:rPr>
        <w:t xml:space="preserve">” dhe rrisin standardet e monitorimit të integritetit të aksionarëve dhe drejtuesve, si dhe përmes intensifikimit të kontrollit në terren me realizimin e 10 inspektimeve </w:t>
      </w:r>
      <w:r w:rsidR="006F4ADE" w:rsidRPr="00BD168B">
        <w:rPr>
          <w:rFonts w:ascii="Garamond" w:eastAsia="Times New Roman" w:hAnsi="Garamond" w:cs="Times New Roman"/>
          <w:bCs/>
          <w:i/>
          <w:iCs/>
          <w:sz w:val="24"/>
          <w:szCs w:val="24"/>
        </w:rPr>
        <w:t>on-site</w:t>
      </w:r>
      <w:r w:rsidR="006F4ADE" w:rsidRPr="00BD168B">
        <w:rPr>
          <w:rFonts w:ascii="Garamond" w:eastAsia="Times New Roman" w:hAnsi="Garamond" w:cs="Times New Roman"/>
          <w:bCs/>
          <w:sz w:val="24"/>
          <w:szCs w:val="24"/>
        </w:rPr>
        <w:t xml:space="preserve"> pranë shoqërive komisionere, përfshirë edhe subjekte bankare, një pjesë e të cilave në bashkëpunim me Bankën e Shqipërisë.</w:t>
      </w:r>
    </w:p>
    <w:p w14:paraId="22C289EA" w14:textId="65F73F9C" w:rsidR="006F4ADE" w:rsidRPr="00BD168B" w:rsidRDefault="00A02D9D" w:rsidP="00A02D9D">
      <w:pPr>
        <w:spacing w:after="0" w:line="240" w:lineRule="auto"/>
        <w:ind w:firstLine="284"/>
        <w:jc w:val="both"/>
        <w:rPr>
          <w:rFonts w:ascii="Garamond" w:eastAsia="Times New Roman" w:hAnsi="Garamond" w:cs="Times New Roman"/>
          <w:bCs/>
          <w:sz w:val="24"/>
          <w:szCs w:val="24"/>
        </w:rPr>
      </w:pPr>
      <w:r w:rsidRPr="00BD168B">
        <w:rPr>
          <w:rFonts w:ascii="Garamond" w:eastAsia="Times New Roman" w:hAnsi="Garamond" w:cs="Times New Roman"/>
          <w:bCs/>
          <w:sz w:val="24"/>
          <w:szCs w:val="24"/>
        </w:rPr>
        <w:t xml:space="preserve"> </w:t>
      </w:r>
      <w:r w:rsidR="006F4ADE" w:rsidRPr="00BD168B">
        <w:rPr>
          <w:rFonts w:ascii="Garamond" w:eastAsia="Times New Roman" w:hAnsi="Garamond" w:cs="Times New Roman"/>
          <w:bCs/>
          <w:sz w:val="24"/>
          <w:szCs w:val="24"/>
        </w:rPr>
        <w:t>Përmirësimit të funksionimit të Fondit të Kompensimit nëpërmjet ushtrimit të mbikëqyrjes dhe kontrolleve mbi zbatimin e kuadrit ligjor, çka ka kontribuar në uljen e dëmeve pezull me 8.67% gjatë vitit, trajtimin e rreth 70% të rasteve me procedura të përshpejtuara dhe realizimin e pagesave në nivelin 98.5% të fondit vjetor, duke reflektuar një funksionim më efikas dhe një ndarje më të qartë të përgjegjësive</w:t>
      </w:r>
      <w:r w:rsidR="00BD168B">
        <w:rPr>
          <w:rFonts w:ascii="Garamond" w:eastAsia="Times New Roman" w:hAnsi="Garamond" w:cs="Times New Roman"/>
          <w:bCs/>
          <w:sz w:val="24"/>
          <w:szCs w:val="24"/>
        </w:rPr>
        <w:t>,</w:t>
      </w:r>
      <w:r w:rsidR="006F4ADE" w:rsidRPr="00BD168B">
        <w:rPr>
          <w:rFonts w:ascii="Garamond" w:eastAsia="Times New Roman" w:hAnsi="Garamond" w:cs="Times New Roman"/>
          <w:bCs/>
          <w:sz w:val="24"/>
          <w:szCs w:val="24"/>
        </w:rPr>
        <w:t xml:space="preserve"> në përputhje me ligjin nr. 32/2021</w:t>
      </w:r>
      <w:r w:rsidR="00BD168B">
        <w:rPr>
          <w:rFonts w:ascii="Garamond" w:eastAsia="Times New Roman" w:hAnsi="Garamond" w:cs="Times New Roman"/>
          <w:bCs/>
          <w:sz w:val="24"/>
          <w:szCs w:val="24"/>
        </w:rPr>
        <w:t>,</w:t>
      </w:r>
      <w:r w:rsidR="006F4ADE" w:rsidRPr="00BD168B">
        <w:rPr>
          <w:rFonts w:ascii="Garamond" w:eastAsia="Times New Roman" w:hAnsi="Garamond" w:cs="Times New Roman"/>
          <w:bCs/>
          <w:sz w:val="24"/>
          <w:szCs w:val="24"/>
        </w:rPr>
        <w:t xml:space="preserve"> “Për sigurimin e detyrueshëm në sektorin e transportit”, </w:t>
      </w:r>
      <w:r w:rsidR="00A626BB" w:rsidRPr="00BD168B">
        <w:rPr>
          <w:rFonts w:ascii="Garamond" w:eastAsia="Times New Roman" w:hAnsi="Garamond" w:cs="Times New Roman"/>
          <w:bCs/>
          <w:sz w:val="24"/>
          <w:szCs w:val="24"/>
        </w:rPr>
        <w:t>i</w:t>
      </w:r>
      <w:r w:rsidR="006F4ADE" w:rsidRPr="00BD168B">
        <w:rPr>
          <w:rFonts w:ascii="Garamond" w:eastAsia="Times New Roman" w:hAnsi="Garamond" w:cs="Times New Roman"/>
          <w:bCs/>
          <w:sz w:val="24"/>
          <w:szCs w:val="24"/>
        </w:rPr>
        <w:t xml:space="preserve"> ndryshuar.</w:t>
      </w:r>
    </w:p>
    <w:p w14:paraId="1C318B0F" w14:textId="55D8CF88" w:rsidR="006F4ADE" w:rsidRPr="00BD168B" w:rsidRDefault="00A02D9D" w:rsidP="00A02D9D">
      <w:pPr>
        <w:spacing w:after="0" w:line="240" w:lineRule="auto"/>
        <w:ind w:firstLine="284"/>
        <w:jc w:val="both"/>
        <w:rPr>
          <w:rFonts w:ascii="Garamond" w:eastAsia="Times New Roman" w:hAnsi="Garamond" w:cs="Times New Roman"/>
          <w:bCs/>
          <w:sz w:val="24"/>
          <w:szCs w:val="24"/>
        </w:rPr>
      </w:pPr>
      <w:r w:rsidRPr="00BD168B">
        <w:rPr>
          <w:rFonts w:ascii="Garamond" w:eastAsia="Times New Roman" w:hAnsi="Garamond" w:cs="Times New Roman"/>
          <w:bCs/>
          <w:sz w:val="24"/>
          <w:szCs w:val="24"/>
        </w:rPr>
        <w:t xml:space="preserve"> </w:t>
      </w:r>
      <w:r w:rsidR="006F4ADE" w:rsidRPr="00BD168B">
        <w:rPr>
          <w:rFonts w:ascii="Garamond" w:eastAsia="Times New Roman" w:hAnsi="Garamond" w:cs="Times New Roman"/>
          <w:bCs/>
          <w:sz w:val="24"/>
          <w:szCs w:val="24"/>
        </w:rPr>
        <w:t>Angazhimit në zhvillimin e financave të gjelbra dhe financimit të qëndrueshëm nëpërmjet përfshirjes në projektin e mbështetur nga Banka Botërore dhe financuar nga SECO, i cili ka përfshirë zhvillimin e komponentëve konkretë</w:t>
      </w:r>
      <w:r w:rsidR="00A626BB" w:rsidRPr="00BD168B">
        <w:rPr>
          <w:rFonts w:ascii="Garamond" w:eastAsia="Times New Roman" w:hAnsi="Garamond" w:cs="Times New Roman"/>
          <w:bCs/>
          <w:sz w:val="24"/>
          <w:szCs w:val="24"/>
        </w:rPr>
        <w:t>,</w:t>
      </w:r>
      <w:r w:rsidR="006F4ADE" w:rsidRPr="00BD168B">
        <w:rPr>
          <w:rFonts w:ascii="Garamond" w:eastAsia="Times New Roman" w:hAnsi="Garamond" w:cs="Times New Roman"/>
          <w:bCs/>
          <w:sz w:val="24"/>
          <w:szCs w:val="24"/>
        </w:rPr>
        <w:t xml:space="preserve"> si</w:t>
      </w:r>
      <w:r w:rsidR="00A626BB" w:rsidRPr="00BD168B">
        <w:rPr>
          <w:rFonts w:ascii="Garamond" w:eastAsia="Times New Roman" w:hAnsi="Garamond" w:cs="Times New Roman"/>
          <w:bCs/>
          <w:sz w:val="24"/>
          <w:szCs w:val="24"/>
        </w:rPr>
        <w:t>:</w:t>
      </w:r>
      <w:r w:rsidR="006F4ADE" w:rsidRPr="00BD168B">
        <w:rPr>
          <w:rFonts w:ascii="Garamond" w:eastAsia="Times New Roman" w:hAnsi="Garamond" w:cs="Times New Roman"/>
          <w:bCs/>
          <w:sz w:val="24"/>
          <w:szCs w:val="24"/>
        </w:rPr>
        <w:t xml:space="preserve"> rishikimi i kuadrit rregullator për fondet e pensioneve private, avancimi i instrumenteve të tregut të kapitaleve</w:t>
      </w:r>
      <w:r w:rsidR="007C4883" w:rsidRPr="00BD168B">
        <w:rPr>
          <w:rFonts w:ascii="Garamond" w:eastAsia="Times New Roman" w:hAnsi="Garamond" w:cs="Times New Roman"/>
          <w:bCs/>
          <w:sz w:val="24"/>
          <w:szCs w:val="24"/>
        </w:rPr>
        <w:t>,</w:t>
      </w:r>
      <w:r w:rsidR="006F4ADE" w:rsidRPr="00BD168B">
        <w:rPr>
          <w:rFonts w:ascii="Garamond" w:eastAsia="Times New Roman" w:hAnsi="Garamond" w:cs="Times New Roman"/>
          <w:bCs/>
          <w:sz w:val="24"/>
          <w:szCs w:val="24"/>
        </w:rPr>
        <w:t xml:space="preserve"> përfshirë obligacionet e gjelbra, si dhe përmirësimi i sistemeve të raportimit, në koordinim me Ministrinë e Financave dhe Bankën e Shqipërisë, duke krijuar baza më të qarta për orientimin e tregjeve jobankare drejt financimit të qëndrueshëm.</w:t>
      </w:r>
    </w:p>
    <w:p w14:paraId="33B08901" w14:textId="5098DA4C" w:rsidR="006F4ADE" w:rsidRPr="00BD168B" w:rsidRDefault="00A02D9D" w:rsidP="00A02D9D">
      <w:pPr>
        <w:spacing w:after="0" w:line="240" w:lineRule="auto"/>
        <w:ind w:firstLine="284"/>
        <w:jc w:val="both"/>
        <w:rPr>
          <w:rFonts w:ascii="Garamond" w:eastAsia="Times New Roman" w:hAnsi="Garamond" w:cs="Times New Roman"/>
          <w:bCs/>
          <w:sz w:val="24"/>
          <w:szCs w:val="24"/>
        </w:rPr>
      </w:pPr>
      <w:r w:rsidRPr="00BD168B">
        <w:rPr>
          <w:rFonts w:ascii="Garamond" w:eastAsia="Times New Roman" w:hAnsi="Garamond" w:cs="Times New Roman"/>
          <w:bCs/>
          <w:sz w:val="24"/>
          <w:szCs w:val="24"/>
        </w:rPr>
        <w:t xml:space="preserve"> </w:t>
      </w:r>
      <w:r w:rsidR="006F4ADE" w:rsidRPr="00BD168B">
        <w:rPr>
          <w:rFonts w:ascii="Garamond" w:eastAsia="Times New Roman" w:hAnsi="Garamond" w:cs="Times New Roman"/>
          <w:bCs/>
          <w:sz w:val="24"/>
          <w:szCs w:val="24"/>
        </w:rPr>
        <w:t>Zhvillimit të një qasjeje më të avancuar në mbrojtjen e konsumatorit dhe investitorit, duke e orientuar mbikëqyrjen përtej trajtimit individual të ankesave drejt analizës së sjelljes së tregut përmes raporteve tematike dhe analizës 12-mujore të ankesave.</w:t>
      </w:r>
    </w:p>
    <w:p w14:paraId="1684BAF1" w14:textId="5214EA47" w:rsidR="006F4ADE" w:rsidRPr="00BD168B" w:rsidRDefault="00A02D9D" w:rsidP="00A02D9D">
      <w:pPr>
        <w:spacing w:after="0" w:line="240" w:lineRule="auto"/>
        <w:ind w:firstLine="284"/>
        <w:jc w:val="both"/>
        <w:rPr>
          <w:rFonts w:ascii="Garamond" w:eastAsia="Times New Roman" w:hAnsi="Garamond" w:cs="Times New Roman"/>
          <w:bCs/>
          <w:sz w:val="24"/>
          <w:szCs w:val="24"/>
        </w:rPr>
      </w:pPr>
      <w:r w:rsidRPr="00BD168B">
        <w:rPr>
          <w:rFonts w:ascii="Garamond" w:eastAsia="Times New Roman" w:hAnsi="Garamond" w:cs="Times New Roman"/>
          <w:bCs/>
          <w:sz w:val="24"/>
          <w:szCs w:val="24"/>
        </w:rPr>
        <w:t xml:space="preserve"> </w:t>
      </w:r>
      <w:r w:rsidR="006F4ADE" w:rsidRPr="00BD168B">
        <w:rPr>
          <w:rFonts w:ascii="Garamond" w:eastAsia="Times New Roman" w:hAnsi="Garamond" w:cs="Times New Roman"/>
          <w:bCs/>
          <w:sz w:val="24"/>
          <w:szCs w:val="24"/>
        </w:rPr>
        <w:t xml:space="preserve">Forcimit të edukimit financiar përmes organizimit të aktiviteteve informuese dhe trajnimeve të dedikuara, si dhe bashkëpunimeve me partnerë institucionalë dhe programeve edukative që synojnë rritjen e njohurive </w:t>
      </w:r>
      <w:r w:rsidR="003E2A5C" w:rsidRPr="00BD168B">
        <w:rPr>
          <w:rFonts w:ascii="Garamond" w:eastAsia="Times New Roman" w:hAnsi="Garamond" w:cs="Times New Roman"/>
          <w:bCs/>
          <w:sz w:val="24"/>
          <w:szCs w:val="24"/>
        </w:rPr>
        <w:t>për</w:t>
      </w:r>
      <w:r w:rsidR="006F4ADE" w:rsidRPr="00BD168B">
        <w:rPr>
          <w:rFonts w:ascii="Garamond" w:eastAsia="Times New Roman" w:hAnsi="Garamond" w:cs="Times New Roman"/>
          <w:bCs/>
          <w:sz w:val="24"/>
          <w:szCs w:val="24"/>
        </w:rPr>
        <w:t xml:space="preserve"> tregjet financiare, përfshirë fondet e pensioneve private.</w:t>
      </w:r>
    </w:p>
    <w:p w14:paraId="7D045F47" w14:textId="088A24A2" w:rsidR="006F4ADE" w:rsidRPr="00BD168B" w:rsidRDefault="00A02D9D" w:rsidP="00A02D9D">
      <w:pPr>
        <w:spacing w:after="0" w:line="240" w:lineRule="auto"/>
        <w:ind w:firstLine="284"/>
        <w:jc w:val="both"/>
        <w:rPr>
          <w:rFonts w:ascii="Garamond" w:eastAsia="Times New Roman" w:hAnsi="Garamond" w:cs="Times New Roman"/>
          <w:bCs/>
          <w:sz w:val="24"/>
          <w:szCs w:val="24"/>
        </w:rPr>
      </w:pPr>
      <w:r w:rsidRPr="00BD168B">
        <w:rPr>
          <w:rFonts w:ascii="Garamond" w:eastAsia="Times New Roman" w:hAnsi="Garamond" w:cs="Times New Roman"/>
          <w:bCs/>
          <w:sz w:val="24"/>
          <w:szCs w:val="24"/>
        </w:rPr>
        <w:t xml:space="preserve"> </w:t>
      </w:r>
      <w:r w:rsidR="006F4ADE" w:rsidRPr="00BD168B">
        <w:rPr>
          <w:rFonts w:ascii="Garamond" w:eastAsia="Times New Roman" w:hAnsi="Garamond" w:cs="Times New Roman"/>
          <w:bCs/>
          <w:sz w:val="24"/>
          <w:szCs w:val="24"/>
        </w:rPr>
        <w:t>Vijimi</w:t>
      </w:r>
      <w:r w:rsidR="002626BB" w:rsidRPr="00BD168B">
        <w:rPr>
          <w:rFonts w:ascii="Garamond" w:eastAsia="Times New Roman" w:hAnsi="Garamond" w:cs="Times New Roman"/>
          <w:bCs/>
          <w:sz w:val="24"/>
          <w:szCs w:val="24"/>
        </w:rPr>
        <w:t>t të</w:t>
      </w:r>
      <w:r w:rsidR="006F4ADE" w:rsidRPr="00BD168B">
        <w:rPr>
          <w:rFonts w:ascii="Garamond" w:eastAsia="Times New Roman" w:hAnsi="Garamond" w:cs="Times New Roman"/>
          <w:bCs/>
          <w:sz w:val="24"/>
          <w:szCs w:val="24"/>
        </w:rPr>
        <w:t xml:space="preserve"> bashkëpunimit me Byronë Shqiptare të Sigurimit për zbatimin e rekomandimit të Komitetit të Përbashkët të Marrëveshjes së Tregtisë së Lirë të Evropës Qendrore (CEFTA) për lehtësimin e lëvizjes ndërkufitare të automjeteve, duke finalizuar procesin e lëshimi</w:t>
      </w:r>
      <w:r w:rsidR="00A67A4B" w:rsidRPr="00BD168B">
        <w:rPr>
          <w:rFonts w:ascii="Garamond" w:eastAsia="Times New Roman" w:hAnsi="Garamond" w:cs="Times New Roman"/>
          <w:bCs/>
          <w:sz w:val="24"/>
          <w:szCs w:val="24"/>
        </w:rPr>
        <w:t>t</w:t>
      </w:r>
      <w:r w:rsidR="006F4ADE" w:rsidRPr="00BD168B">
        <w:rPr>
          <w:rFonts w:ascii="Garamond" w:eastAsia="Times New Roman" w:hAnsi="Garamond" w:cs="Times New Roman"/>
          <w:bCs/>
          <w:sz w:val="24"/>
          <w:szCs w:val="24"/>
        </w:rPr>
        <w:t xml:space="preserve"> </w:t>
      </w:r>
      <w:r w:rsidR="00A67A4B" w:rsidRPr="00BD168B">
        <w:rPr>
          <w:rFonts w:ascii="Garamond" w:eastAsia="Times New Roman" w:hAnsi="Garamond" w:cs="Times New Roman"/>
          <w:bCs/>
          <w:sz w:val="24"/>
          <w:szCs w:val="24"/>
        </w:rPr>
        <w:t>të</w:t>
      </w:r>
      <w:r w:rsidR="006F4ADE" w:rsidRPr="00BD168B">
        <w:rPr>
          <w:rFonts w:ascii="Garamond" w:eastAsia="Times New Roman" w:hAnsi="Garamond" w:cs="Times New Roman"/>
          <w:bCs/>
          <w:sz w:val="24"/>
          <w:szCs w:val="24"/>
        </w:rPr>
        <w:t xml:space="preserve"> policave “Karton Jeshil”</w:t>
      </w:r>
      <w:r w:rsidR="00BD168B">
        <w:rPr>
          <w:rFonts w:ascii="Garamond" w:eastAsia="Times New Roman" w:hAnsi="Garamond" w:cs="Times New Roman"/>
          <w:bCs/>
          <w:sz w:val="24"/>
          <w:szCs w:val="24"/>
        </w:rPr>
        <w:t>,</w:t>
      </w:r>
      <w:r w:rsidR="006F4ADE" w:rsidRPr="00BD168B">
        <w:rPr>
          <w:rFonts w:ascii="Garamond" w:eastAsia="Times New Roman" w:hAnsi="Garamond" w:cs="Times New Roman"/>
          <w:bCs/>
          <w:sz w:val="24"/>
          <w:szCs w:val="24"/>
        </w:rPr>
        <w:t xml:space="preserve"> 1-vjeçare me prim të reduktuar drejt Malit të Zi dhe Maqedonisë së Veriut dhe </w:t>
      </w:r>
      <w:r w:rsidR="006B2FE1" w:rsidRPr="00BD168B">
        <w:rPr>
          <w:rFonts w:ascii="Garamond" w:eastAsia="Times New Roman" w:hAnsi="Garamond" w:cs="Times New Roman"/>
          <w:bCs/>
          <w:sz w:val="24"/>
          <w:szCs w:val="24"/>
        </w:rPr>
        <w:t xml:space="preserve">duke </w:t>
      </w:r>
      <w:r w:rsidR="006F4ADE" w:rsidRPr="00BD168B">
        <w:rPr>
          <w:rFonts w:ascii="Garamond" w:eastAsia="Times New Roman" w:hAnsi="Garamond" w:cs="Times New Roman"/>
          <w:bCs/>
          <w:sz w:val="24"/>
          <w:szCs w:val="24"/>
        </w:rPr>
        <w:t xml:space="preserve">kontribuar edhe </w:t>
      </w:r>
      <w:r w:rsidR="00F14530" w:rsidRPr="00BD168B">
        <w:rPr>
          <w:rFonts w:ascii="Garamond" w:eastAsia="Times New Roman" w:hAnsi="Garamond" w:cs="Times New Roman"/>
          <w:bCs/>
          <w:sz w:val="24"/>
          <w:szCs w:val="24"/>
        </w:rPr>
        <w:t xml:space="preserve">në </w:t>
      </w:r>
      <w:r w:rsidR="006F4ADE" w:rsidRPr="00BD168B">
        <w:rPr>
          <w:rFonts w:ascii="Garamond" w:eastAsia="Times New Roman" w:hAnsi="Garamond" w:cs="Times New Roman"/>
          <w:bCs/>
          <w:sz w:val="24"/>
          <w:szCs w:val="24"/>
        </w:rPr>
        <w:t>nxitjen e shkëmbimeve ekonomike mes këtyre vendeve.</w:t>
      </w:r>
    </w:p>
    <w:p w14:paraId="2BC81BAF" w14:textId="0AC8B995" w:rsidR="006F4ADE" w:rsidRPr="00BD168B" w:rsidRDefault="00A02D9D" w:rsidP="00A02D9D">
      <w:pPr>
        <w:spacing w:after="0" w:line="240" w:lineRule="auto"/>
        <w:ind w:firstLine="284"/>
        <w:jc w:val="both"/>
        <w:rPr>
          <w:rFonts w:ascii="Garamond" w:eastAsia="Times New Roman" w:hAnsi="Garamond" w:cs="Times New Roman"/>
          <w:bCs/>
          <w:sz w:val="24"/>
          <w:szCs w:val="24"/>
        </w:rPr>
      </w:pPr>
      <w:r w:rsidRPr="00BD168B">
        <w:rPr>
          <w:rFonts w:ascii="Garamond" w:eastAsia="Times New Roman" w:hAnsi="Garamond" w:cs="Times New Roman"/>
          <w:bCs/>
          <w:sz w:val="24"/>
          <w:szCs w:val="24"/>
        </w:rPr>
        <w:t xml:space="preserve"> </w:t>
      </w:r>
      <w:r w:rsidR="006F4ADE" w:rsidRPr="00BD168B">
        <w:rPr>
          <w:rFonts w:ascii="Garamond" w:eastAsia="Times New Roman" w:hAnsi="Garamond" w:cs="Times New Roman"/>
          <w:bCs/>
          <w:sz w:val="24"/>
          <w:szCs w:val="24"/>
        </w:rPr>
        <w:t>Angazhimit në hartimin e kuadrit për zhvillimin e sigurimeve në bujqësi përmes pjesëmarrjes aktive në grupin ndërinstitucional të punës, të ngritur në kuadër të bashkëpunimit me Ministrinë e Bujqësisë dhe Zhvillimit Rural dhe Ministrinë e Bujqësisë dhe Pylltarisë të Republikës së Turqisë, si dhe përmes shkëmbimit të praktikave më të mira ndërkombëtare, duke kontribuar në përcaktimin e elementeve rregullatore që lidhen me tarifimin, kufijtë e përgjegjësisë dhe administrimin e rrezikut, me synim krijimin e një skeme funksionale dhe të qëndrueshme për mbulimin e rreziqeve në sektorin bujqësor, e cila pritet të rrisë mbrojtjen financiare të fermerëve, të përmirësojë aksesin në financim dhe të nxisë zhvillimin e produkteve të reja të sigurimit në këtë segment ende të pazhvilluar të tregut</w:t>
      </w:r>
      <w:r w:rsidR="005D2EA7" w:rsidRPr="00BD168B">
        <w:rPr>
          <w:rFonts w:ascii="Garamond" w:eastAsia="Times New Roman" w:hAnsi="Garamond" w:cs="Times New Roman"/>
          <w:bCs/>
          <w:sz w:val="24"/>
          <w:szCs w:val="24"/>
        </w:rPr>
        <w:t>.</w:t>
      </w:r>
    </w:p>
    <w:p w14:paraId="027DF89A" w14:textId="5443BC2A" w:rsidR="006F4ADE" w:rsidRPr="00BD168B" w:rsidRDefault="006F4ADE" w:rsidP="00A02D9D">
      <w:pPr>
        <w:spacing w:after="0" w:line="240" w:lineRule="auto"/>
        <w:ind w:firstLine="284"/>
        <w:jc w:val="both"/>
        <w:rPr>
          <w:rFonts w:ascii="Garamond" w:eastAsia="Times New Roman" w:hAnsi="Garamond" w:cs="Times New Roman"/>
          <w:b/>
          <w:sz w:val="24"/>
          <w:szCs w:val="24"/>
        </w:rPr>
      </w:pPr>
      <w:r w:rsidRPr="00BD168B">
        <w:rPr>
          <w:rFonts w:ascii="Garamond" w:eastAsia="Times New Roman" w:hAnsi="Garamond" w:cs="Times New Roman"/>
          <w:b/>
          <w:sz w:val="24"/>
          <w:szCs w:val="24"/>
        </w:rPr>
        <w:t xml:space="preserve">Kuvendi </w:t>
      </w:r>
      <w:r w:rsidR="005D2EA7" w:rsidRPr="00BD168B">
        <w:rPr>
          <w:rFonts w:ascii="Garamond" w:eastAsia="Times New Roman" w:hAnsi="Garamond" w:cs="Times New Roman"/>
          <w:b/>
          <w:sz w:val="24"/>
          <w:szCs w:val="24"/>
        </w:rPr>
        <w:t>rekomandon</w:t>
      </w:r>
      <w:r w:rsidRPr="00BD168B">
        <w:rPr>
          <w:rFonts w:ascii="Garamond" w:eastAsia="Times New Roman" w:hAnsi="Garamond" w:cs="Times New Roman"/>
          <w:b/>
          <w:sz w:val="24"/>
          <w:szCs w:val="24"/>
        </w:rPr>
        <w:t xml:space="preserve"> që Autoriteti i Mbikëqyrjes Financiare për vitin 2026</w:t>
      </w:r>
      <w:r w:rsidR="00BD168B">
        <w:rPr>
          <w:rFonts w:ascii="Garamond" w:eastAsia="Times New Roman" w:hAnsi="Garamond" w:cs="Times New Roman"/>
          <w:b/>
          <w:sz w:val="24"/>
          <w:szCs w:val="24"/>
        </w:rPr>
        <w:t>,</w:t>
      </w:r>
      <w:r w:rsidRPr="00BD168B">
        <w:rPr>
          <w:rFonts w:ascii="Garamond" w:eastAsia="Times New Roman" w:hAnsi="Garamond" w:cs="Times New Roman"/>
          <w:b/>
          <w:sz w:val="24"/>
          <w:szCs w:val="24"/>
        </w:rPr>
        <w:t xml:space="preserve"> </w:t>
      </w:r>
      <w:r w:rsidR="00BD168B">
        <w:rPr>
          <w:rFonts w:ascii="Garamond" w:eastAsia="Times New Roman" w:hAnsi="Garamond" w:cs="Times New Roman"/>
          <w:b/>
          <w:sz w:val="24"/>
          <w:szCs w:val="24"/>
        </w:rPr>
        <w:t>të angazhohet në këto drejtime:</w:t>
      </w:r>
    </w:p>
    <w:p w14:paraId="44EDB52A" w14:textId="792C827E" w:rsidR="006F4ADE" w:rsidRPr="00BD168B" w:rsidRDefault="006F4ADE" w:rsidP="00A02D9D">
      <w:pPr>
        <w:spacing w:after="0" w:line="240" w:lineRule="auto"/>
        <w:ind w:firstLine="284"/>
        <w:jc w:val="both"/>
        <w:rPr>
          <w:rFonts w:ascii="Garamond" w:eastAsia="Times New Roman" w:hAnsi="Garamond" w:cs="Times New Roman"/>
          <w:bCs/>
          <w:sz w:val="24"/>
          <w:szCs w:val="24"/>
        </w:rPr>
      </w:pPr>
      <w:r w:rsidRPr="00BD168B">
        <w:rPr>
          <w:rFonts w:ascii="Garamond" w:eastAsia="Times New Roman" w:hAnsi="Garamond" w:cs="Times New Roman"/>
          <w:bCs/>
          <w:sz w:val="24"/>
          <w:szCs w:val="24"/>
        </w:rPr>
        <w:t>1.</w:t>
      </w:r>
      <w:r w:rsidR="005D2EA7" w:rsidRPr="00BD168B">
        <w:rPr>
          <w:rFonts w:ascii="Garamond" w:eastAsia="Times New Roman" w:hAnsi="Garamond" w:cs="Times New Roman"/>
          <w:bCs/>
          <w:sz w:val="24"/>
          <w:szCs w:val="24"/>
        </w:rPr>
        <w:t xml:space="preserve"> </w:t>
      </w:r>
      <w:r w:rsidRPr="00BD168B">
        <w:rPr>
          <w:rFonts w:ascii="Garamond" w:eastAsia="Times New Roman" w:hAnsi="Garamond" w:cs="Times New Roman"/>
          <w:bCs/>
          <w:sz w:val="24"/>
          <w:szCs w:val="24"/>
        </w:rPr>
        <w:t>Të përshpejtojë procesin e hartimit dhe miratimit të paketës së re ligjore në sektorin e sigurimeve, duke siguruar koordinim të plotë ndërmjet ligjit të ri “Për veprimtarinë e sigurimit dhe risigurimit”, kuadrit për rimëkëmbjen dhe ndërhyrjen e jashtëzakonshme në sigurime dhe ligjit “Për sigurimin e detyrueshëm në sektorin e transportit”</w:t>
      </w:r>
      <w:r w:rsidR="00BD168B">
        <w:rPr>
          <w:rFonts w:ascii="Garamond" w:eastAsia="Times New Roman" w:hAnsi="Garamond" w:cs="Times New Roman"/>
          <w:bCs/>
          <w:sz w:val="24"/>
          <w:szCs w:val="24"/>
        </w:rPr>
        <w:t>,</w:t>
      </w:r>
      <w:r w:rsidRPr="00BD168B">
        <w:rPr>
          <w:rFonts w:ascii="Garamond" w:eastAsia="Times New Roman" w:hAnsi="Garamond" w:cs="Times New Roman"/>
          <w:bCs/>
          <w:sz w:val="24"/>
          <w:szCs w:val="24"/>
        </w:rPr>
        <w:t xml:space="preserve"> në funksion të përafrimit të legjislacionit vendas me Direktivën 2009/138/EC “</w:t>
      </w:r>
      <w:r w:rsidRPr="00BD168B">
        <w:rPr>
          <w:rFonts w:ascii="Garamond" w:eastAsia="Times New Roman" w:hAnsi="Garamond" w:cs="Times New Roman"/>
          <w:bCs/>
          <w:i/>
          <w:iCs/>
          <w:sz w:val="24"/>
          <w:szCs w:val="24"/>
        </w:rPr>
        <w:t>Solvency II</w:t>
      </w:r>
      <w:r w:rsidRPr="00BD168B">
        <w:rPr>
          <w:rFonts w:ascii="Garamond" w:eastAsia="Times New Roman" w:hAnsi="Garamond" w:cs="Times New Roman"/>
          <w:bCs/>
          <w:sz w:val="24"/>
          <w:szCs w:val="24"/>
        </w:rPr>
        <w:t>”, Direktivën (BE) 2016/97 për shpërndarjen e sigurimeve, Direktivën 91/674/EEC për raportimin financiar të shoqërive të sigurimit, Direktivën (BE) 2025/1 për rimëkëmbjen dhe ndërhyrjen e jashtëzakonshme në sigurime, si dhe Direktivën 2009/103/EC të ndryshuar me Direktivën (BE) 2021/2118</w:t>
      </w:r>
      <w:r w:rsidR="00BD168B">
        <w:rPr>
          <w:rFonts w:ascii="Garamond" w:eastAsia="Times New Roman" w:hAnsi="Garamond" w:cs="Times New Roman"/>
          <w:bCs/>
          <w:sz w:val="24"/>
          <w:szCs w:val="24"/>
        </w:rPr>
        <w:t>,</w:t>
      </w:r>
      <w:r w:rsidRPr="00BD168B">
        <w:rPr>
          <w:rFonts w:ascii="Garamond" w:eastAsia="Times New Roman" w:hAnsi="Garamond" w:cs="Times New Roman"/>
          <w:bCs/>
          <w:sz w:val="24"/>
          <w:szCs w:val="24"/>
        </w:rPr>
        <w:t xml:space="preserve"> për sigurimin e detyrueshëm motorik, me qëllim krijimin e një kuadri të integruar prudencial dhe mbikëqyrës të harmonizuar me </w:t>
      </w:r>
      <w:r w:rsidRPr="00BD168B">
        <w:rPr>
          <w:rFonts w:ascii="Garamond" w:eastAsia="Times New Roman" w:hAnsi="Garamond" w:cs="Times New Roman"/>
          <w:bCs/>
          <w:i/>
          <w:iCs/>
          <w:sz w:val="24"/>
          <w:szCs w:val="24"/>
        </w:rPr>
        <w:t>acquis</w:t>
      </w:r>
      <w:r w:rsidR="00F14530" w:rsidRPr="00BD168B">
        <w:rPr>
          <w:rFonts w:ascii="Garamond" w:eastAsia="Times New Roman" w:hAnsi="Garamond" w:cs="Times New Roman"/>
          <w:bCs/>
          <w:i/>
          <w:iCs/>
          <w:sz w:val="24"/>
          <w:szCs w:val="24"/>
        </w:rPr>
        <w:t>-n e</w:t>
      </w:r>
      <w:r w:rsidRPr="00BD168B">
        <w:rPr>
          <w:rFonts w:ascii="Garamond" w:eastAsia="Times New Roman" w:hAnsi="Garamond" w:cs="Times New Roman"/>
          <w:bCs/>
          <w:sz w:val="24"/>
          <w:szCs w:val="24"/>
        </w:rPr>
        <w:t xml:space="preserve"> Bashkimit Evropian, si </w:t>
      </w:r>
      <w:r w:rsidRPr="00BD168B">
        <w:rPr>
          <w:rFonts w:ascii="Garamond" w:eastAsia="Times New Roman" w:hAnsi="Garamond" w:cs="Times New Roman"/>
          <w:bCs/>
          <w:sz w:val="24"/>
          <w:szCs w:val="24"/>
        </w:rPr>
        <w:lastRenderedPageBreak/>
        <w:t>dhe përcaktimin e qartë të afateve të zbatimit, masave tranzitore dhe kërkesave të reja prudenciale për tregun.</w:t>
      </w:r>
    </w:p>
    <w:p w14:paraId="6E4BF335" w14:textId="11BF7E00" w:rsidR="006F4ADE" w:rsidRPr="00BD168B" w:rsidRDefault="006F4ADE" w:rsidP="00A02D9D">
      <w:pPr>
        <w:spacing w:after="0" w:line="240" w:lineRule="auto"/>
        <w:ind w:firstLine="284"/>
        <w:jc w:val="both"/>
        <w:rPr>
          <w:rFonts w:ascii="Garamond" w:eastAsia="Times New Roman" w:hAnsi="Garamond" w:cs="Times New Roman"/>
          <w:bCs/>
          <w:sz w:val="24"/>
          <w:szCs w:val="24"/>
        </w:rPr>
      </w:pPr>
      <w:r w:rsidRPr="00BD168B">
        <w:rPr>
          <w:rFonts w:ascii="Garamond" w:eastAsia="Times New Roman" w:hAnsi="Garamond" w:cs="Times New Roman"/>
          <w:bCs/>
          <w:sz w:val="24"/>
          <w:szCs w:val="24"/>
        </w:rPr>
        <w:t>2.</w:t>
      </w:r>
      <w:r w:rsidR="00592A0A" w:rsidRPr="00BD168B">
        <w:rPr>
          <w:rFonts w:ascii="Garamond" w:eastAsia="Times New Roman" w:hAnsi="Garamond" w:cs="Times New Roman"/>
          <w:bCs/>
          <w:sz w:val="24"/>
          <w:szCs w:val="24"/>
        </w:rPr>
        <w:t xml:space="preserve"> </w:t>
      </w:r>
      <w:r w:rsidRPr="00BD168B">
        <w:rPr>
          <w:rFonts w:ascii="Garamond" w:eastAsia="Times New Roman" w:hAnsi="Garamond" w:cs="Times New Roman"/>
          <w:bCs/>
          <w:sz w:val="24"/>
          <w:szCs w:val="24"/>
        </w:rPr>
        <w:t xml:space="preserve">Të vijojë dhe të intensifikojë përgatitjet për zbatimin e udhërrëfyesit për përafrimin me regjimin </w:t>
      </w:r>
      <w:r w:rsidRPr="00BD168B">
        <w:rPr>
          <w:rFonts w:ascii="Garamond" w:eastAsia="Times New Roman" w:hAnsi="Garamond" w:cs="Times New Roman"/>
          <w:bCs/>
          <w:i/>
          <w:iCs/>
          <w:sz w:val="24"/>
          <w:szCs w:val="24"/>
        </w:rPr>
        <w:t>Solvency II</w:t>
      </w:r>
      <w:r w:rsidR="00BD168B">
        <w:rPr>
          <w:rFonts w:ascii="Garamond" w:eastAsia="Times New Roman" w:hAnsi="Garamond" w:cs="Times New Roman"/>
          <w:bCs/>
          <w:i/>
          <w:iCs/>
          <w:sz w:val="24"/>
          <w:szCs w:val="24"/>
        </w:rPr>
        <w:t>,</w:t>
      </w:r>
      <w:r w:rsidR="00A6387B" w:rsidRPr="00BD168B">
        <w:rPr>
          <w:rFonts w:ascii="Garamond" w:eastAsia="Times New Roman" w:hAnsi="Garamond" w:cs="Times New Roman"/>
          <w:bCs/>
          <w:sz w:val="24"/>
          <w:szCs w:val="24"/>
        </w:rPr>
        <w:t xml:space="preserve"> </w:t>
      </w:r>
      <w:r w:rsidRPr="00BD168B">
        <w:rPr>
          <w:rFonts w:ascii="Garamond" w:eastAsia="Times New Roman" w:hAnsi="Garamond" w:cs="Times New Roman"/>
          <w:bCs/>
          <w:sz w:val="24"/>
          <w:szCs w:val="24"/>
        </w:rPr>
        <w:t xml:space="preserve">duke konsoliduar kapacitetet teknike, institucionale dhe mbikëqyrëse të Autoritetit dhe të tregut të sigurimeve, përfshirë kryerjen e ushtrimeve teknike, vlerësimeve sasiore, analizave të hendekut dhe përgatitjen e metodologjive e projektakteve të nevojshme, si dhe forcimin e sistemeve të raportimit, menaxhimit të riskut dhe qeverisjes së brendshme të shoqërive të sigurimit. Në kuadër të ushtrimit të funksionit të llogaridhënies ndaj Kuvendit, të raportojë çdo 6 muaj </w:t>
      </w:r>
      <w:r w:rsidR="00A6387B" w:rsidRPr="00BD168B">
        <w:rPr>
          <w:rFonts w:ascii="Garamond" w:eastAsia="Times New Roman" w:hAnsi="Garamond" w:cs="Times New Roman"/>
          <w:bCs/>
          <w:sz w:val="24"/>
          <w:szCs w:val="24"/>
        </w:rPr>
        <w:t>për</w:t>
      </w:r>
      <w:r w:rsidRPr="00BD168B">
        <w:rPr>
          <w:rFonts w:ascii="Garamond" w:eastAsia="Times New Roman" w:hAnsi="Garamond" w:cs="Times New Roman"/>
          <w:bCs/>
          <w:sz w:val="24"/>
          <w:szCs w:val="24"/>
        </w:rPr>
        <w:t xml:space="preserve"> rezultatet e këtyre ushtrimeve, nivelin e gatishmërisë së tregut, problematikat e evidentuara, masat e ndërmarra për adresimin e tyre, si dhe ndikimin e pritshëm të reformës mbi aftësinë paguese, kërkesat për kapital dhe qëndrueshmërinë financiare të sektorit.</w:t>
      </w:r>
    </w:p>
    <w:p w14:paraId="72BE281E" w14:textId="15F251A8" w:rsidR="006F4ADE" w:rsidRPr="00BD168B" w:rsidRDefault="006F4ADE" w:rsidP="00A02D9D">
      <w:pPr>
        <w:spacing w:after="0" w:line="240" w:lineRule="auto"/>
        <w:ind w:firstLine="284"/>
        <w:jc w:val="both"/>
        <w:rPr>
          <w:rFonts w:ascii="Garamond" w:eastAsia="Times New Roman" w:hAnsi="Garamond" w:cs="Times New Roman"/>
          <w:bCs/>
          <w:sz w:val="24"/>
          <w:szCs w:val="24"/>
        </w:rPr>
      </w:pPr>
      <w:r w:rsidRPr="00BD168B">
        <w:rPr>
          <w:rFonts w:ascii="Garamond" w:eastAsia="Times New Roman" w:hAnsi="Garamond" w:cs="Times New Roman"/>
          <w:bCs/>
          <w:sz w:val="24"/>
          <w:szCs w:val="24"/>
        </w:rPr>
        <w:t>3.</w:t>
      </w:r>
      <w:r w:rsidR="00E83982" w:rsidRPr="00BD168B">
        <w:rPr>
          <w:rFonts w:ascii="Garamond" w:eastAsia="Times New Roman" w:hAnsi="Garamond" w:cs="Times New Roman"/>
          <w:bCs/>
          <w:sz w:val="24"/>
          <w:szCs w:val="24"/>
        </w:rPr>
        <w:t xml:space="preserve"> </w:t>
      </w:r>
      <w:r w:rsidRPr="00BD168B">
        <w:rPr>
          <w:rFonts w:ascii="Garamond" w:eastAsia="Times New Roman" w:hAnsi="Garamond" w:cs="Times New Roman"/>
          <w:bCs/>
          <w:sz w:val="24"/>
          <w:szCs w:val="24"/>
        </w:rPr>
        <w:t>Të forcojë kapacitetet institucionale dhe teknike për zbatimin e regjimit të ri prudencial nëpërmjet investimeve në sistemet e raportimit dhe analizës së riskut, trajnimit të specializuar të stafit mbikëqyrës dhe rritjes së bashkëpunimit me institucionet ndërkombëtare dhe autoritetet homologe evropiane, me qëllim garantimin e një tranzicioni efektiv dhe të qëndrueshëm të tregut shqiptar të sigurimeve drejt standardeve të Bashkimit Evropian.</w:t>
      </w:r>
    </w:p>
    <w:p w14:paraId="04160E73" w14:textId="2AAC694F" w:rsidR="006F4ADE" w:rsidRPr="00BD168B" w:rsidRDefault="006F4ADE" w:rsidP="00A02D9D">
      <w:pPr>
        <w:spacing w:after="0" w:line="240" w:lineRule="auto"/>
        <w:ind w:firstLine="284"/>
        <w:jc w:val="both"/>
        <w:rPr>
          <w:rFonts w:ascii="Garamond" w:eastAsia="Times New Roman" w:hAnsi="Garamond" w:cs="Times New Roman"/>
          <w:bCs/>
          <w:sz w:val="24"/>
          <w:szCs w:val="24"/>
        </w:rPr>
      </w:pPr>
      <w:r w:rsidRPr="00BD168B">
        <w:rPr>
          <w:rFonts w:ascii="Garamond" w:eastAsia="Times New Roman" w:hAnsi="Garamond" w:cs="Times New Roman"/>
          <w:bCs/>
          <w:sz w:val="24"/>
          <w:szCs w:val="24"/>
        </w:rPr>
        <w:t>4.</w:t>
      </w:r>
      <w:r w:rsidR="00E83982" w:rsidRPr="00BD168B">
        <w:rPr>
          <w:rFonts w:ascii="Garamond" w:eastAsia="Times New Roman" w:hAnsi="Garamond" w:cs="Times New Roman"/>
          <w:bCs/>
          <w:sz w:val="24"/>
          <w:szCs w:val="24"/>
        </w:rPr>
        <w:t xml:space="preserve"> </w:t>
      </w:r>
      <w:r w:rsidRPr="00BD168B">
        <w:rPr>
          <w:rFonts w:ascii="Garamond" w:eastAsia="Times New Roman" w:hAnsi="Garamond" w:cs="Times New Roman"/>
          <w:bCs/>
          <w:sz w:val="24"/>
          <w:szCs w:val="24"/>
        </w:rPr>
        <w:t xml:space="preserve">Të përgatisë tregun për zbatimin e SNRF 17 përmes kërkesës për plane konkrete implementimi nga shoqëritë e sigurimit, përcaktimit të kalendarëve të raportimit dhe monitorimit periodik të gatishmërisë së tregut, duke adresuar në kohë mangësitë që lidhen me sistemet IT, cilësinë e të dhënave, kapacitetet </w:t>
      </w:r>
      <w:r w:rsidRPr="00544C44">
        <w:rPr>
          <w:rFonts w:ascii="Garamond" w:eastAsia="Times New Roman" w:hAnsi="Garamond" w:cs="Times New Roman"/>
          <w:bCs/>
          <w:sz w:val="24"/>
          <w:szCs w:val="24"/>
        </w:rPr>
        <w:t>aktuariale, met</w:t>
      </w:r>
      <w:bookmarkStart w:id="0" w:name="_GoBack"/>
      <w:bookmarkEnd w:id="0"/>
      <w:r w:rsidRPr="00BD168B">
        <w:rPr>
          <w:rFonts w:ascii="Garamond" w:eastAsia="Times New Roman" w:hAnsi="Garamond" w:cs="Times New Roman"/>
          <w:bCs/>
          <w:sz w:val="24"/>
          <w:szCs w:val="24"/>
        </w:rPr>
        <w:t>odologjitë e vlerësimit dhe standardet e raportimit financiar, me synim rritjen e transparencës, krahasueshmërisë dhe cilësisë së pasqyrave financiare të tregut të sigurimeve.</w:t>
      </w:r>
    </w:p>
    <w:p w14:paraId="5D34F584" w14:textId="03564832" w:rsidR="006F4ADE" w:rsidRPr="00BD168B" w:rsidRDefault="006F4ADE" w:rsidP="00A02D9D">
      <w:pPr>
        <w:spacing w:after="0" w:line="240" w:lineRule="auto"/>
        <w:ind w:firstLine="284"/>
        <w:jc w:val="both"/>
        <w:rPr>
          <w:rFonts w:ascii="Garamond" w:eastAsia="Times New Roman" w:hAnsi="Garamond" w:cs="Times New Roman"/>
          <w:bCs/>
          <w:sz w:val="24"/>
          <w:szCs w:val="24"/>
        </w:rPr>
      </w:pPr>
      <w:r w:rsidRPr="00BD168B">
        <w:rPr>
          <w:rFonts w:ascii="Garamond" w:eastAsia="Times New Roman" w:hAnsi="Garamond" w:cs="Times New Roman"/>
          <w:bCs/>
          <w:sz w:val="24"/>
          <w:szCs w:val="24"/>
        </w:rPr>
        <w:t>5.</w:t>
      </w:r>
      <w:r w:rsidR="003A0A79" w:rsidRPr="00BD168B">
        <w:rPr>
          <w:rFonts w:ascii="Garamond" w:eastAsia="Times New Roman" w:hAnsi="Garamond" w:cs="Times New Roman"/>
          <w:bCs/>
          <w:sz w:val="24"/>
          <w:szCs w:val="24"/>
        </w:rPr>
        <w:t xml:space="preserve"> </w:t>
      </w:r>
      <w:r w:rsidRPr="00BD168B">
        <w:rPr>
          <w:rFonts w:ascii="Garamond" w:eastAsia="Times New Roman" w:hAnsi="Garamond" w:cs="Times New Roman"/>
          <w:bCs/>
          <w:sz w:val="24"/>
          <w:szCs w:val="24"/>
        </w:rPr>
        <w:t>Të nxisë zhvillimin e produkteve vullnetare në segmentet e sigurimit të pasurisë, jetës, shëndetit, bujqësisë dhe mbrojtjes ndaj katastrofave natyrore, duke analizuar praktikat dhe modelet më të mira ndërkombëtare për mbulimin e riskut katastrofik dhe riskut sizmik, si dhe duke përgatitur masa dhe instrumente konkrete për rritjen e penetrimit të këtyre produkteve në treg, forcimin e edukimit financiar dhe mbrojtjen e konsumatorit.</w:t>
      </w:r>
    </w:p>
    <w:p w14:paraId="53BBBB71" w14:textId="792EE478" w:rsidR="006F4ADE" w:rsidRPr="00BD168B" w:rsidRDefault="006F4ADE" w:rsidP="00A02D9D">
      <w:pPr>
        <w:spacing w:after="0" w:line="240" w:lineRule="auto"/>
        <w:ind w:firstLine="284"/>
        <w:jc w:val="both"/>
        <w:rPr>
          <w:rFonts w:ascii="Garamond" w:eastAsia="Times New Roman" w:hAnsi="Garamond" w:cs="Times New Roman"/>
          <w:bCs/>
          <w:sz w:val="24"/>
          <w:szCs w:val="24"/>
        </w:rPr>
      </w:pPr>
      <w:r w:rsidRPr="00BD168B">
        <w:rPr>
          <w:rFonts w:ascii="Garamond" w:eastAsia="Times New Roman" w:hAnsi="Garamond" w:cs="Times New Roman"/>
          <w:bCs/>
          <w:sz w:val="24"/>
          <w:szCs w:val="24"/>
        </w:rPr>
        <w:t>6.</w:t>
      </w:r>
      <w:r w:rsidR="00E118AE" w:rsidRPr="00BD168B">
        <w:rPr>
          <w:rFonts w:ascii="Garamond" w:eastAsia="Times New Roman" w:hAnsi="Garamond" w:cs="Times New Roman"/>
          <w:bCs/>
          <w:sz w:val="24"/>
          <w:szCs w:val="24"/>
        </w:rPr>
        <w:t xml:space="preserve"> </w:t>
      </w:r>
      <w:r w:rsidRPr="00BD168B">
        <w:rPr>
          <w:rFonts w:ascii="Garamond" w:eastAsia="Times New Roman" w:hAnsi="Garamond" w:cs="Times New Roman"/>
          <w:bCs/>
          <w:sz w:val="24"/>
          <w:szCs w:val="24"/>
        </w:rPr>
        <w:t>Të ndërmarrë masa konkrete për zhvillimin e tregut të kapitaleve dhe diversifikimin e instrumenteve financiare, duke përshpejtuar krijimin dhe funksionalizimin e Skemës së Kompensimit të Investitorëve, në bashkëpunim me Agjencinë e Sigurimit të Depozitave, si një mekanizëm thelbësor për rritjen e mbrojtjes së investitorëve dhe besimit në treg.</w:t>
      </w:r>
    </w:p>
    <w:p w14:paraId="6412CCDE" w14:textId="5498F08B" w:rsidR="006F4ADE" w:rsidRPr="00BD168B" w:rsidRDefault="006F4ADE" w:rsidP="00A02D9D">
      <w:pPr>
        <w:spacing w:after="0" w:line="240" w:lineRule="auto"/>
        <w:ind w:firstLine="284"/>
        <w:jc w:val="both"/>
        <w:rPr>
          <w:rFonts w:ascii="Garamond" w:eastAsia="Times New Roman" w:hAnsi="Garamond" w:cs="Times New Roman"/>
          <w:bCs/>
          <w:sz w:val="24"/>
          <w:szCs w:val="24"/>
        </w:rPr>
      </w:pPr>
      <w:r w:rsidRPr="00BD168B">
        <w:rPr>
          <w:rFonts w:ascii="Garamond" w:eastAsia="Times New Roman" w:hAnsi="Garamond" w:cs="Times New Roman"/>
          <w:bCs/>
          <w:sz w:val="24"/>
          <w:szCs w:val="24"/>
        </w:rPr>
        <w:t>7.</w:t>
      </w:r>
      <w:r w:rsidR="00E118AE" w:rsidRPr="00BD168B">
        <w:rPr>
          <w:rFonts w:ascii="Garamond" w:eastAsia="Times New Roman" w:hAnsi="Garamond" w:cs="Times New Roman"/>
          <w:bCs/>
          <w:sz w:val="24"/>
          <w:szCs w:val="24"/>
        </w:rPr>
        <w:t xml:space="preserve"> </w:t>
      </w:r>
      <w:r w:rsidRPr="00BD168B">
        <w:rPr>
          <w:rFonts w:ascii="Garamond" w:eastAsia="Times New Roman" w:hAnsi="Garamond" w:cs="Times New Roman"/>
          <w:bCs/>
          <w:sz w:val="24"/>
          <w:szCs w:val="24"/>
        </w:rPr>
        <w:t xml:space="preserve">Të vijojë punën për hartimin e ligjit të ri “Për tregjet e kapitalit” dhe akteve përkatëse nënligjore, në kuadër të përafrimit të legjislacionit vendas me </w:t>
      </w:r>
      <w:r w:rsidRPr="00BD168B">
        <w:rPr>
          <w:rFonts w:ascii="Garamond" w:eastAsia="Times New Roman" w:hAnsi="Garamond" w:cs="Times New Roman"/>
          <w:bCs/>
          <w:i/>
          <w:iCs/>
          <w:sz w:val="24"/>
          <w:szCs w:val="24"/>
        </w:rPr>
        <w:t>acquis</w:t>
      </w:r>
      <w:r w:rsidR="003A2151" w:rsidRPr="00BD168B">
        <w:rPr>
          <w:rFonts w:ascii="Garamond" w:eastAsia="Times New Roman" w:hAnsi="Garamond" w:cs="Times New Roman"/>
          <w:bCs/>
          <w:i/>
          <w:iCs/>
          <w:sz w:val="24"/>
          <w:szCs w:val="24"/>
        </w:rPr>
        <w:t>-n</w:t>
      </w:r>
      <w:r w:rsidRPr="00BD168B">
        <w:rPr>
          <w:rFonts w:ascii="Garamond" w:eastAsia="Times New Roman" w:hAnsi="Garamond" w:cs="Times New Roman"/>
          <w:bCs/>
          <w:sz w:val="24"/>
          <w:szCs w:val="24"/>
        </w:rPr>
        <w:t xml:space="preserve"> </w:t>
      </w:r>
      <w:r w:rsidR="003A2151" w:rsidRPr="00BD168B">
        <w:rPr>
          <w:rFonts w:ascii="Garamond" w:eastAsia="Times New Roman" w:hAnsi="Garamond" w:cs="Times New Roman"/>
          <w:bCs/>
          <w:sz w:val="24"/>
          <w:szCs w:val="24"/>
        </w:rPr>
        <w:t>e</w:t>
      </w:r>
      <w:r w:rsidRPr="00BD168B">
        <w:rPr>
          <w:rFonts w:ascii="Garamond" w:eastAsia="Times New Roman" w:hAnsi="Garamond" w:cs="Times New Roman"/>
          <w:bCs/>
          <w:sz w:val="24"/>
          <w:szCs w:val="24"/>
        </w:rPr>
        <w:t xml:space="preserve"> Bashkimit Evropian për tregjet e kapitalit dhe infrastrukturat financiare, përfshirë Direktivën MiFID II, kuadrin prudencial IFD/IFR për shoqëritë e investimit, Rregulloren CSDR për depozitarët qendrorë të titujve dhe Rregulloren EMIR për derivativët, kundërpalët qendrore dhe regjistrat e transaksioneve, si dhe të finalizojë kuadrin për obligacionet e mbuluara, me synim zgjerimin e instrumenteve financiare, forcimin e sigurisë dhe eficiencës së infrastrukturave financiare, përmirësimin e mbrojtjes së investitorëve dhe krijimin e alternativave më të zhvilluara të financimit për ekonominë shqiptare.</w:t>
      </w:r>
    </w:p>
    <w:p w14:paraId="404A534A" w14:textId="2B0414A8" w:rsidR="006F4ADE" w:rsidRPr="00BD168B" w:rsidRDefault="006F4ADE" w:rsidP="00A02D9D">
      <w:pPr>
        <w:spacing w:after="0" w:line="240" w:lineRule="auto"/>
        <w:ind w:firstLine="284"/>
        <w:jc w:val="both"/>
        <w:rPr>
          <w:rFonts w:ascii="Garamond" w:eastAsia="Times New Roman" w:hAnsi="Garamond" w:cs="Times New Roman"/>
          <w:bCs/>
          <w:sz w:val="24"/>
          <w:szCs w:val="24"/>
        </w:rPr>
      </w:pPr>
      <w:r w:rsidRPr="00BD168B">
        <w:rPr>
          <w:rFonts w:ascii="Garamond" w:eastAsia="Times New Roman" w:hAnsi="Garamond" w:cs="Times New Roman"/>
          <w:bCs/>
          <w:sz w:val="24"/>
          <w:szCs w:val="24"/>
        </w:rPr>
        <w:t>8.</w:t>
      </w:r>
      <w:r w:rsidR="004D3D72" w:rsidRPr="00BD168B">
        <w:rPr>
          <w:rFonts w:ascii="Garamond" w:eastAsia="Times New Roman" w:hAnsi="Garamond" w:cs="Times New Roman"/>
          <w:bCs/>
          <w:sz w:val="24"/>
          <w:szCs w:val="24"/>
        </w:rPr>
        <w:t xml:space="preserve"> </w:t>
      </w:r>
      <w:r w:rsidRPr="00BD168B">
        <w:rPr>
          <w:rFonts w:ascii="Garamond" w:eastAsia="Times New Roman" w:hAnsi="Garamond" w:cs="Times New Roman"/>
          <w:bCs/>
          <w:sz w:val="24"/>
          <w:szCs w:val="24"/>
        </w:rPr>
        <w:t xml:space="preserve">Të avancojë në miratimin e projektligjit “Për sipërmarrjet e investimeve kolektive” dhe projektligjit “Për administruesit e fondeve të investimeve alternative” në funksion të përafrimit të kuadrit ligjor dhe rregullator me </w:t>
      </w:r>
      <w:r w:rsidRPr="00BD168B">
        <w:rPr>
          <w:rFonts w:ascii="Garamond" w:eastAsia="Times New Roman" w:hAnsi="Garamond" w:cs="Times New Roman"/>
          <w:bCs/>
          <w:i/>
          <w:iCs/>
          <w:sz w:val="24"/>
          <w:szCs w:val="24"/>
        </w:rPr>
        <w:t>acquis</w:t>
      </w:r>
      <w:r w:rsidR="003A2151" w:rsidRPr="00BD168B">
        <w:rPr>
          <w:rFonts w:ascii="Garamond" w:eastAsia="Times New Roman" w:hAnsi="Garamond" w:cs="Times New Roman"/>
          <w:bCs/>
          <w:i/>
          <w:iCs/>
          <w:sz w:val="24"/>
          <w:szCs w:val="24"/>
        </w:rPr>
        <w:t>-n e</w:t>
      </w:r>
      <w:r w:rsidRPr="00BD168B">
        <w:rPr>
          <w:rFonts w:ascii="Garamond" w:eastAsia="Times New Roman" w:hAnsi="Garamond" w:cs="Times New Roman"/>
          <w:bCs/>
          <w:sz w:val="24"/>
          <w:szCs w:val="24"/>
        </w:rPr>
        <w:t xml:space="preserve"> Bashkimit Evropian për fondet e investimit dhe administrimin e aseteve, si dhe njëkohësisht të forcojë mbikëqyrjen e këtij segmenti përmes rritjes së kapaciteteve për monitorimin e riskut, likuiditetit, transparencës dhe produkteve të reja financiare, me qëllim garantimin e stabilitetit të sektorit dhe rritjen e mbrojtjes së investitorëve.</w:t>
      </w:r>
    </w:p>
    <w:p w14:paraId="7E6A1446" w14:textId="3EE5F3D9" w:rsidR="006F4ADE" w:rsidRPr="00BD168B" w:rsidRDefault="006F4ADE" w:rsidP="00A02D9D">
      <w:pPr>
        <w:spacing w:after="0" w:line="240" w:lineRule="auto"/>
        <w:ind w:firstLine="284"/>
        <w:jc w:val="both"/>
        <w:rPr>
          <w:rFonts w:ascii="Garamond" w:eastAsia="Times New Roman" w:hAnsi="Garamond" w:cs="Times New Roman"/>
          <w:bCs/>
          <w:sz w:val="24"/>
          <w:szCs w:val="24"/>
        </w:rPr>
      </w:pPr>
      <w:r w:rsidRPr="00BD168B">
        <w:rPr>
          <w:rFonts w:ascii="Garamond" w:eastAsia="Times New Roman" w:hAnsi="Garamond" w:cs="Times New Roman"/>
          <w:bCs/>
          <w:sz w:val="24"/>
          <w:szCs w:val="24"/>
        </w:rPr>
        <w:t>9.</w:t>
      </w:r>
      <w:r w:rsidR="003A32B7" w:rsidRPr="00BD168B">
        <w:rPr>
          <w:rFonts w:ascii="Garamond" w:eastAsia="Times New Roman" w:hAnsi="Garamond" w:cs="Times New Roman"/>
          <w:bCs/>
          <w:sz w:val="24"/>
          <w:szCs w:val="24"/>
        </w:rPr>
        <w:t xml:space="preserve"> </w:t>
      </w:r>
      <w:r w:rsidRPr="00BD168B">
        <w:rPr>
          <w:rFonts w:ascii="Garamond" w:eastAsia="Times New Roman" w:hAnsi="Garamond" w:cs="Times New Roman"/>
          <w:bCs/>
          <w:sz w:val="24"/>
          <w:szCs w:val="24"/>
        </w:rPr>
        <w:t>Të avancojë me ndryshimet në ligjin kuadër të Autoritetit të Mbikëqyrjes Financiare dhe paraqitjen e tyre në Kuvend, me qëllim përafrimin e kuadrit të funksionimit dhe qeverisjes së Autoritetit me standardet dhe praktikat e autoriteteve homologe mbikëqyrëse financiare, në përputhje me rekomandimet e IAIS dhe audituesit të pavarur, duke përfshirë rishikimin e mënyrës së përllogaritjes së fondit rezervë, administrimin e suficitit financiar, si dhe politikat e paspunësimit për stafin dhe drejtuesit, në funksion të forcimit të pavarësisë institucionale, integritetit, transparencës dhe shmangies së konfliktit të interesit.</w:t>
      </w:r>
    </w:p>
    <w:p w14:paraId="4698ABD4" w14:textId="5BCD78AF" w:rsidR="006F4ADE" w:rsidRPr="00BD168B" w:rsidRDefault="006F4ADE" w:rsidP="00A02D9D">
      <w:pPr>
        <w:spacing w:after="0" w:line="240" w:lineRule="auto"/>
        <w:ind w:firstLine="284"/>
        <w:jc w:val="both"/>
        <w:rPr>
          <w:rFonts w:ascii="Garamond" w:eastAsia="Times New Roman" w:hAnsi="Garamond" w:cs="Times New Roman"/>
          <w:bCs/>
          <w:sz w:val="24"/>
          <w:szCs w:val="24"/>
        </w:rPr>
      </w:pPr>
      <w:r w:rsidRPr="00BD168B">
        <w:rPr>
          <w:rFonts w:ascii="Garamond" w:eastAsia="Times New Roman" w:hAnsi="Garamond" w:cs="Times New Roman"/>
          <w:bCs/>
          <w:sz w:val="24"/>
          <w:szCs w:val="24"/>
        </w:rPr>
        <w:t>10.</w:t>
      </w:r>
      <w:r w:rsidR="00A02D9D" w:rsidRPr="00BD168B">
        <w:rPr>
          <w:rFonts w:ascii="Garamond" w:eastAsia="Times New Roman" w:hAnsi="Garamond" w:cs="Times New Roman"/>
          <w:bCs/>
          <w:sz w:val="24"/>
          <w:szCs w:val="24"/>
        </w:rPr>
        <w:t xml:space="preserve"> </w:t>
      </w:r>
      <w:r w:rsidRPr="00BD168B">
        <w:rPr>
          <w:rFonts w:ascii="Garamond" w:eastAsia="Times New Roman" w:hAnsi="Garamond" w:cs="Times New Roman"/>
          <w:bCs/>
          <w:sz w:val="24"/>
          <w:szCs w:val="24"/>
        </w:rPr>
        <w:t xml:space="preserve">Të konsolidojë modelin e mbikëqyrjes me bazë rreziku përmes forcimit të analizës </w:t>
      </w:r>
      <w:r w:rsidRPr="00BD168B">
        <w:rPr>
          <w:rFonts w:ascii="Garamond" w:eastAsia="Times New Roman" w:hAnsi="Garamond" w:cs="Times New Roman"/>
          <w:bCs/>
          <w:i/>
          <w:iCs/>
          <w:sz w:val="24"/>
          <w:szCs w:val="24"/>
        </w:rPr>
        <w:t>off-site</w:t>
      </w:r>
      <w:r w:rsidRPr="00BD168B">
        <w:rPr>
          <w:rFonts w:ascii="Garamond" w:eastAsia="Times New Roman" w:hAnsi="Garamond" w:cs="Times New Roman"/>
          <w:bCs/>
          <w:sz w:val="24"/>
          <w:szCs w:val="24"/>
        </w:rPr>
        <w:t xml:space="preserve">, instrumenteve të paralajmërimit të hershëm dhe monitorimit të treguesve prudencialë, si dhe të rrisë </w:t>
      </w:r>
      <w:r w:rsidRPr="00BD168B">
        <w:rPr>
          <w:rFonts w:ascii="Garamond" w:eastAsia="Times New Roman" w:hAnsi="Garamond" w:cs="Times New Roman"/>
          <w:bCs/>
          <w:sz w:val="24"/>
          <w:szCs w:val="24"/>
        </w:rPr>
        <w:lastRenderedPageBreak/>
        <w:t>mbulimin dhe frekuencën e inspektimeve në vend, veçanërisht në segmentet me mbikëqyrje më të kufizuar gjatë vitit 2025, përfshirë ndërmjetësit në sigurime, fondet alternative të investimit, subjektet e tregut të kapitalit dhe aktivitetet e lidhura me asetet virtuale, duke forcuar njëkohësisht kontrollin në drejtim të mbrojtjes së konsumatorit dhe parandalimit të pastrimit të parave.</w:t>
      </w:r>
    </w:p>
    <w:p w14:paraId="6A04BB28" w14:textId="130053B3" w:rsidR="006F4ADE" w:rsidRPr="00BD168B" w:rsidRDefault="006F4ADE" w:rsidP="00A02D9D">
      <w:pPr>
        <w:spacing w:after="0" w:line="240" w:lineRule="auto"/>
        <w:ind w:firstLine="284"/>
        <w:jc w:val="both"/>
        <w:rPr>
          <w:rFonts w:ascii="Garamond" w:eastAsia="Times New Roman" w:hAnsi="Garamond" w:cs="Times New Roman"/>
          <w:bCs/>
          <w:sz w:val="24"/>
          <w:szCs w:val="24"/>
        </w:rPr>
      </w:pPr>
      <w:r w:rsidRPr="00BD168B">
        <w:rPr>
          <w:rFonts w:ascii="Garamond" w:eastAsia="Times New Roman" w:hAnsi="Garamond" w:cs="Times New Roman"/>
          <w:bCs/>
          <w:sz w:val="24"/>
          <w:szCs w:val="24"/>
        </w:rPr>
        <w:t>11.</w:t>
      </w:r>
      <w:r w:rsidR="00A02D9D" w:rsidRPr="00BD168B">
        <w:rPr>
          <w:rFonts w:ascii="Garamond" w:eastAsia="Times New Roman" w:hAnsi="Garamond" w:cs="Times New Roman"/>
          <w:bCs/>
          <w:sz w:val="24"/>
          <w:szCs w:val="24"/>
        </w:rPr>
        <w:t xml:space="preserve"> </w:t>
      </w:r>
      <w:r w:rsidRPr="00BD168B">
        <w:rPr>
          <w:rFonts w:ascii="Garamond" w:eastAsia="Times New Roman" w:hAnsi="Garamond" w:cs="Times New Roman"/>
          <w:bCs/>
          <w:sz w:val="24"/>
          <w:szCs w:val="24"/>
        </w:rPr>
        <w:t>Të forcojë kontrollin mbikëqyrës mbi Fondin e Kompensimit dhe Byronë Shqiptare të Sigurimit, me synim uljen e mëtejshme të stokut të dëmeve pezull, ndjekjen e detyrimeve të prapambetura dhe interesave të papaguara, rritjen e frekuencës së verifikimeve dhe përmirësimin e trajtimit të kërkesave për dëmshpërblim dhe kohës së pagesës ndaj qytetarëve.</w:t>
      </w:r>
    </w:p>
    <w:p w14:paraId="528CD0E3" w14:textId="20A8259D" w:rsidR="006F4ADE" w:rsidRPr="00BD168B" w:rsidRDefault="006F4ADE" w:rsidP="00A02D9D">
      <w:pPr>
        <w:spacing w:after="0" w:line="240" w:lineRule="auto"/>
        <w:ind w:firstLine="284"/>
        <w:jc w:val="both"/>
        <w:rPr>
          <w:rFonts w:ascii="Garamond" w:eastAsia="Times New Roman" w:hAnsi="Garamond" w:cs="Times New Roman"/>
          <w:bCs/>
          <w:sz w:val="24"/>
          <w:szCs w:val="24"/>
        </w:rPr>
      </w:pPr>
      <w:r w:rsidRPr="00BD168B">
        <w:rPr>
          <w:rFonts w:ascii="Garamond" w:eastAsia="Times New Roman" w:hAnsi="Garamond" w:cs="Times New Roman"/>
          <w:bCs/>
          <w:sz w:val="24"/>
          <w:szCs w:val="24"/>
        </w:rPr>
        <w:t>12.</w:t>
      </w:r>
      <w:r w:rsidR="00A02D9D" w:rsidRPr="00BD168B">
        <w:rPr>
          <w:rFonts w:ascii="Garamond" w:eastAsia="Times New Roman" w:hAnsi="Garamond" w:cs="Times New Roman"/>
          <w:bCs/>
          <w:sz w:val="24"/>
          <w:szCs w:val="24"/>
        </w:rPr>
        <w:t xml:space="preserve"> </w:t>
      </w:r>
      <w:r w:rsidRPr="00BD168B">
        <w:rPr>
          <w:rFonts w:ascii="Garamond" w:eastAsia="Times New Roman" w:hAnsi="Garamond" w:cs="Times New Roman"/>
          <w:bCs/>
          <w:sz w:val="24"/>
          <w:szCs w:val="24"/>
        </w:rPr>
        <w:t>Të forcojë transparencën institucionale dhe llogaridhënien publike në procesin vendimmarrës të Bordit, duke publikuar aktet rregullatore të miratuara dhe ndryshimet përkatëse, si dhe vendimet për marrjen e masave administrative dhe korrigjuese, me evidentimin e votimit individual të anëtarëve të Bordit dhe të rasteve të përjashtimit nga vendimmarrja për shkak të konfliktit të i</w:t>
      </w:r>
      <w:r w:rsidR="001043AA" w:rsidRPr="00BD168B">
        <w:rPr>
          <w:rFonts w:ascii="Garamond" w:eastAsia="Times New Roman" w:hAnsi="Garamond" w:cs="Times New Roman"/>
          <w:bCs/>
          <w:sz w:val="24"/>
          <w:szCs w:val="24"/>
        </w:rPr>
        <w:t>nteresit, në zbatim të nenit 22</w:t>
      </w:r>
      <w:r w:rsidR="00D978B9">
        <w:rPr>
          <w:rFonts w:ascii="Garamond" w:eastAsia="Times New Roman" w:hAnsi="Garamond" w:cs="Times New Roman"/>
          <w:bCs/>
          <w:sz w:val="24"/>
          <w:szCs w:val="24"/>
        </w:rPr>
        <w:t>,</w:t>
      </w:r>
      <w:r w:rsidR="001043AA" w:rsidRPr="00BD168B">
        <w:rPr>
          <w:rFonts w:ascii="Garamond" w:eastAsia="Times New Roman" w:hAnsi="Garamond" w:cs="Times New Roman"/>
          <w:bCs/>
          <w:sz w:val="24"/>
          <w:szCs w:val="24"/>
        </w:rPr>
        <w:t xml:space="preserve"> të ligjit nr. 9572, datë 3.7.2006</w:t>
      </w:r>
      <w:r w:rsidR="00D978B9">
        <w:rPr>
          <w:rFonts w:ascii="Garamond" w:eastAsia="Times New Roman" w:hAnsi="Garamond" w:cs="Times New Roman"/>
          <w:bCs/>
          <w:sz w:val="24"/>
          <w:szCs w:val="24"/>
        </w:rPr>
        <w:t>,</w:t>
      </w:r>
      <w:r w:rsidR="001043AA" w:rsidRPr="00BD168B">
        <w:rPr>
          <w:rFonts w:ascii="Garamond" w:eastAsia="Times New Roman" w:hAnsi="Garamond" w:cs="Times New Roman"/>
          <w:bCs/>
          <w:sz w:val="24"/>
          <w:szCs w:val="24"/>
        </w:rPr>
        <w:t xml:space="preserve"> “Për Autoritetin e Mbikëqyrjes Financiare”</w:t>
      </w:r>
      <w:r w:rsidR="00167292" w:rsidRPr="00BD168B">
        <w:rPr>
          <w:rFonts w:ascii="Garamond" w:eastAsia="Times New Roman" w:hAnsi="Garamond" w:cs="Times New Roman"/>
          <w:bCs/>
          <w:sz w:val="24"/>
          <w:szCs w:val="24"/>
        </w:rPr>
        <w:t>,</w:t>
      </w:r>
      <w:r w:rsidR="001043AA" w:rsidRPr="00BD168B">
        <w:rPr>
          <w:rFonts w:ascii="Garamond" w:eastAsia="Times New Roman" w:hAnsi="Garamond" w:cs="Times New Roman"/>
          <w:bCs/>
          <w:sz w:val="24"/>
          <w:szCs w:val="24"/>
        </w:rPr>
        <w:t xml:space="preserve"> </w:t>
      </w:r>
      <w:r w:rsidR="00167292" w:rsidRPr="00BD168B">
        <w:rPr>
          <w:rFonts w:ascii="Garamond" w:eastAsia="Times New Roman" w:hAnsi="Garamond" w:cs="Times New Roman"/>
          <w:bCs/>
          <w:sz w:val="24"/>
          <w:szCs w:val="24"/>
        </w:rPr>
        <w:t>i</w:t>
      </w:r>
      <w:r w:rsidR="001043AA" w:rsidRPr="00BD168B">
        <w:rPr>
          <w:rFonts w:ascii="Garamond" w:eastAsia="Times New Roman" w:hAnsi="Garamond" w:cs="Times New Roman"/>
          <w:bCs/>
          <w:sz w:val="24"/>
          <w:szCs w:val="24"/>
        </w:rPr>
        <w:t xml:space="preserve"> ndryshuar</w:t>
      </w:r>
      <w:r w:rsidRPr="00BD168B">
        <w:rPr>
          <w:rFonts w:ascii="Garamond" w:eastAsia="Times New Roman" w:hAnsi="Garamond" w:cs="Times New Roman"/>
          <w:bCs/>
          <w:sz w:val="24"/>
          <w:szCs w:val="24"/>
        </w:rPr>
        <w:t>. Publikimi të kryhet në përputhje me parimin e proporcionalitetit, duke garantuar mbrojtjen vetëm të atyre elementeve që përbëjnë informacion konfidencial sipas nenit 24</w:t>
      </w:r>
      <w:r w:rsidR="00D978B9">
        <w:rPr>
          <w:rFonts w:ascii="Garamond" w:eastAsia="Times New Roman" w:hAnsi="Garamond" w:cs="Times New Roman"/>
          <w:bCs/>
          <w:sz w:val="24"/>
          <w:szCs w:val="24"/>
        </w:rPr>
        <w:t>,</w:t>
      </w:r>
      <w:r w:rsidRPr="00BD168B">
        <w:rPr>
          <w:rFonts w:ascii="Garamond" w:eastAsia="Times New Roman" w:hAnsi="Garamond" w:cs="Times New Roman"/>
          <w:bCs/>
          <w:sz w:val="24"/>
          <w:szCs w:val="24"/>
        </w:rPr>
        <w:t xml:space="preserve"> të ligjit </w:t>
      </w:r>
      <w:r w:rsidR="000D6F14" w:rsidRPr="00BD168B">
        <w:rPr>
          <w:rFonts w:ascii="Garamond" w:eastAsia="Times New Roman" w:hAnsi="Garamond" w:cs="Times New Roman"/>
          <w:bCs/>
          <w:sz w:val="24"/>
          <w:szCs w:val="24"/>
        </w:rPr>
        <w:t>nr.</w:t>
      </w:r>
      <w:r w:rsidR="00D978B9">
        <w:rPr>
          <w:rFonts w:ascii="Garamond" w:eastAsia="Times New Roman" w:hAnsi="Garamond" w:cs="Times New Roman"/>
          <w:bCs/>
          <w:sz w:val="24"/>
          <w:szCs w:val="24"/>
        </w:rPr>
        <w:t xml:space="preserve"> </w:t>
      </w:r>
      <w:r w:rsidR="000D6F14" w:rsidRPr="00BD168B">
        <w:rPr>
          <w:rFonts w:ascii="Garamond" w:eastAsia="Times New Roman" w:hAnsi="Garamond" w:cs="Times New Roman"/>
          <w:bCs/>
          <w:sz w:val="24"/>
          <w:szCs w:val="24"/>
        </w:rPr>
        <w:t>9572, datë</w:t>
      </w:r>
      <w:r w:rsidR="00167292" w:rsidRPr="00BD168B">
        <w:rPr>
          <w:rFonts w:ascii="Garamond" w:eastAsia="Times New Roman" w:hAnsi="Garamond" w:cs="Times New Roman"/>
          <w:bCs/>
          <w:sz w:val="24"/>
          <w:szCs w:val="24"/>
        </w:rPr>
        <w:t xml:space="preserve"> </w:t>
      </w:r>
      <w:r w:rsidR="000D6F14" w:rsidRPr="00BD168B">
        <w:rPr>
          <w:rFonts w:ascii="Garamond" w:eastAsia="Times New Roman" w:hAnsi="Garamond" w:cs="Times New Roman"/>
          <w:bCs/>
          <w:sz w:val="24"/>
          <w:szCs w:val="24"/>
        </w:rPr>
        <w:t>3.7.2006</w:t>
      </w:r>
      <w:r w:rsidR="00167292" w:rsidRPr="00BD168B">
        <w:rPr>
          <w:rFonts w:ascii="Garamond" w:eastAsia="Times New Roman" w:hAnsi="Garamond" w:cs="Times New Roman"/>
          <w:bCs/>
          <w:sz w:val="24"/>
          <w:szCs w:val="24"/>
        </w:rPr>
        <w:t>,</w:t>
      </w:r>
      <w:r w:rsidR="000D6F14" w:rsidRPr="00BD168B">
        <w:rPr>
          <w:rFonts w:ascii="Garamond" w:eastAsia="Times New Roman" w:hAnsi="Garamond" w:cs="Times New Roman"/>
          <w:bCs/>
          <w:sz w:val="24"/>
          <w:szCs w:val="24"/>
        </w:rPr>
        <w:t xml:space="preserve"> “Për Autoritetin e Mbikëqyrjes Financiare”</w:t>
      </w:r>
      <w:r w:rsidR="00167292" w:rsidRPr="00BD168B">
        <w:rPr>
          <w:rFonts w:ascii="Garamond" w:eastAsia="Times New Roman" w:hAnsi="Garamond" w:cs="Times New Roman"/>
          <w:bCs/>
          <w:sz w:val="24"/>
          <w:szCs w:val="24"/>
        </w:rPr>
        <w:t>,</w:t>
      </w:r>
      <w:r w:rsidR="000D6F14" w:rsidRPr="00BD168B">
        <w:rPr>
          <w:rFonts w:ascii="Garamond" w:eastAsia="Times New Roman" w:hAnsi="Garamond" w:cs="Times New Roman"/>
          <w:bCs/>
          <w:sz w:val="24"/>
          <w:szCs w:val="24"/>
        </w:rPr>
        <w:t xml:space="preserve"> </w:t>
      </w:r>
      <w:r w:rsidR="00167292" w:rsidRPr="00BD168B">
        <w:rPr>
          <w:rFonts w:ascii="Garamond" w:eastAsia="Times New Roman" w:hAnsi="Garamond" w:cs="Times New Roman"/>
          <w:bCs/>
          <w:sz w:val="24"/>
          <w:szCs w:val="24"/>
        </w:rPr>
        <w:t>i</w:t>
      </w:r>
      <w:r w:rsidR="000D6F14" w:rsidRPr="00BD168B">
        <w:rPr>
          <w:rFonts w:ascii="Garamond" w:eastAsia="Times New Roman" w:hAnsi="Garamond" w:cs="Times New Roman"/>
          <w:bCs/>
          <w:sz w:val="24"/>
          <w:szCs w:val="24"/>
        </w:rPr>
        <w:t xml:space="preserve"> ndryshuar</w:t>
      </w:r>
      <w:r w:rsidRPr="00BD168B">
        <w:rPr>
          <w:rFonts w:ascii="Garamond" w:eastAsia="Times New Roman" w:hAnsi="Garamond" w:cs="Times New Roman"/>
          <w:bCs/>
          <w:sz w:val="24"/>
          <w:szCs w:val="24"/>
        </w:rPr>
        <w:t>, nëpërmjet anonimizimit ose redaktimit të pjesshëm, pa cenuar publikimin e vetë aktit, bazës ligjore, arsyetimit dhe elementeve thelbësore të vendimmarrjes.</w:t>
      </w:r>
    </w:p>
    <w:p w14:paraId="7F3668C1" w14:textId="746712FD" w:rsidR="006F4ADE" w:rsidRPr="00BD168B" w:rsidRDefault="006F4ADE" w:rsidP="00A02D9D">
      <w:pPr>
        <w:spacing w:after="0" w:line="240" w:lineRule="auto"/>
        <w:ind w:firstLine="284"/>
        <w:jc w:val="both"/>
        <w:rPr>
          <w:rFonts w:ascii="Garamond" w:eastAsia="Times New Roman" w:hAnsi="Garamond" w:cs="Times New Roman"/>
          <w:bCs/>
          <w:sz w:val="24"/>
          <w:szCs w:val="24"/>
        </w:rPr>
      </w:pPr>
      <w:r w:rsidRPr="00BD168B">
        <w:rPr>
          <w:rFonts w:ascii="Garamond" w:eastAsia="Times New Roman" w:hAnsi="Garamond" w:cs="Times New Roman"/>
          <w:bCs/>
          <w:sz w:val="24"/>
          <w:szCs w:val="24"/>
        </w:rPr>
        <w:t>13.</w:t>
      </w:r>
      <w:r w:rsidR="00A02D9D" w:rsidRPr="00BD168B">
        <w:rPr>
          <w:rFonts w:ascii="Garamond" w:eastAsia="Times New Roman" w:hAnsi="Garamond" w:cs="Times New Roman"/>
          <w:bCs/>
          <w:sz w:val="24"/>
          <w:szCs w:val="24"/>
        </w:rPr>
        <w:t xml:space="preserve"> </w:t>
      </w:r>
      <w:r w:rsidRPr="00BD168B">
        <w:rPr>
          <w:rFonts w:ascii="Garamond" w:eastAsia="Times New Roman" w:hAnsi="Garamond" w:cs="Times New Roman"/>
          <w:bCs/>
          <w:sz w:val="24"/>
          <w:szCs w:val="24"/>
        </w:rPr>
        <w:t>Të forcojë koordinimin ndërinstitucional për stabilitetin financiar dhe parandalimin e pastrimit të parave dhe financimit të terrorizmit, duke rritur shkëmbimin e informacionit me institucionet partnere dhe monitorimin e ekspozimeve të subjekteve të mbikëqyrura ndaj rreziqeve të lidhura me integritetin financiar dhe sanksionet ndërkombëtare.</w:t>
      </w:r>
    </w:p>
    <w:p w14:paraId="655DC193" w14:textId="766F2F1C" w:rsidR="006F4ADE" w:rsidRPr="00BD168B" w:rsidRDefault="006F4ADE" w:rsidP="00A02D9D">
      <w:pPr>
        <w:spacing w:after="0" w:line="240" w:lineRule="auto"/>
        <w:ind w:firstLine="284"/>
        <w:jc w:val="both"/>
        <w:rPr>
          <w:rFonts w:ascii="Garamond" w:eastAsia="Times New Roman" w:hAnsi="Garamond" w:cs="Times New Roman"/>
          <w:bCs/>
          <w:sz w:val="24"/>
          <w:szCs w:val="24"/>
        </w:rPr>
      </w:pPr>
      <w:r w:rsidRPr="00BD168B">
        <w:rPr>
          <w:rFonts w:ascii="Garamond" w:eastAsia="Times New Roman" w:hAnsi="Garamond" w:cs="Times New Roman"/>
          <w:bCs/>
          <w:sz w:val="24"/>
          <w:szCs w:val="24"/>
        </w:rPr>
        <w:t>14.</w:t>
      </w:r>
      <w:r w:rsidR="00A02D9D" w:rsidRPr="00BD168B">
        <w:rPr>
          <w:rFonts w:ascii="Garamond" w:eastAsia="Times New Roman" w:hAnsi="Garamond" w:cs="Times New Roman"/>
          <w:bCs/>
          <w:sz w:val="24"/>
          <w:szCs w:val="24"/>
        </w:rPr>
        <w:t xml:space="preserve"> </w:t>
      </w:r>
      <w:r w:rsidRPr="00BD168B">
        <w:rPr>
          <w:rFonts w:ascii="Garamond" w:eastAsia="Times New Roman" w:hAnsi="Garamond" w:cs="Times New Roman"/>
          <w:bCs/>
          <w:sz w:val="24"/>
          <w:szCs w:val="24"/>
        </w:rPr>
        <w:t>Të përmirësojë kapacitetet institucionale dhe administrative në funksion të procesit të integrimit evropian dhe rritjes së kompleksitetit të mbikëqyrjes, duke plotësuar vakancat ekzistuese, duke përmirësuar politikat e rekrutimit dhe zhvillimit profesional, si dhe duke garantuar që struktura e re organizative të shoqërohet me rritje reale të kapaciteteve teknike dhe jo vetëm me ndryshime formale organizative.</w:t>
      </w:r>
    </w:p>
    <w:p w14:paraId="58D82235" w14:textId="2046F6E6" w:rsidR="006F4ADE" w:rsidRPr="00BD168B" w:rsidRDefault="006F4ADE" w:rsidP="00A02D9D">
      <w:pPr>
        <w:spacing w:after="0" w:line="240" w:lineRule="auto"/>
        <w:ind w:firstLine="284"/>
        <w:jc w:val="both"/>
        <w:rPr>
          <w:rFonts w:ascii="Garamond" w:eastAsia="Times New Roman" w:hAnsi="Garamond" w:cs="Times New Roman"/>
          <w:bCs/>
          <w:sz w:val="24"/>
          <w:szCs w:val="24"/>
        </w:rPr>
      </w:pPr>
      <w:r w:rsidRPr="00BD168B">
        <w:rPr>
          <w:rFonts w:ascii="Garamond" w:eastAsia="Times New Roman" w:hAnsi="Garamond" w:cs="Times New Roman"/>
          <w:bCs/>
          <w:sz w:val="24"/>
          <w:szCs w:val="24"/>
        </w:rPr>
        <w:t>15.</w:t>
      </w:r>
      <w:r w:rsidR="00A02D9D" w:rsidRPr="00BD168B">
        <w:rPr>
          <w:rFonts w:ascii="Garamond" w:eastAsia="Times New Roman" w:hAnsi="Garamond" w:cs="Times New Roman"/>
          <w:bCs/>
          <w:sz w:val="24"/>
          <w:szCs w:val="24"/>
        </w:rPr>
        <w:t xml:space="preserve"> </w:t>
      </w:r>
      <w:r w:rsidRPr="00BD168B">
        <w:rPr>
          <w:rFonts w:ascii="Garamond" w:eastAsia="Times New Roman" w:hAnsi="Garamond" w:cs="Times New Roman"/>
          <w:bCs/>
          <w:sz w:val="24"/>
          <w:szCs w:val="24"/>
        </w:rPr>
        <w:t>Të intensifikojë investimet në digjitalizim, siguri kibernetike dhe qëndrueshmëri operacionale në përputhje me standardet dhe zhvillimet e reja teknologjike, duke garantuar mbrojtjen e infrastrukturës institucionale dhe vazhdimësinë e funksioneve kritike mbikëqyrëse.</w:t>
      </w:r>
    </w:p>
    <w:p w14:paraId="76A5241E" w14:textId="4493BF4A" w:rsidR="006F4ADE" w:rsidRPr="00BD168B" w:rsidRDefault="006F4ADE" w:rsidP="00A02D9D">
      <w:pPr>
        <w:spacing w:after="0" w:line="240" w:lineRule="auto"/>
        <w:ind w:firstLine="284"/>
        <w:jc w:val="both"/>
        <w:rPr>
          <w:rFonts w:ascii="Garamond" w:eastAsia="Times New Roman" w:hAnsi="Garamond" w:cs="Times New Roman"/>
          <w:bCs/>
          <w:sz w:val="24"/>
          <w:szCs w:val="24"/>
        </w:rPr>
      </w:pPr>
      <w:r w:rsidRPr="00BD168B">
        <w:rPr>
          <w:rFonts w:ascii="Garamond" w:eastAsia="Times New Roman" w:hAnsi="Garamond" w:cs="Times New Roman"/>
          <w:bCs/>
          <w:sz w:val="24"/>
          <w:szCs w:val="24"/>
        </w:rPr>
        <w:t>16.</w:t>
      </w:r>
      <w:r w:rsidR="00A02D9D" w:rsidRPr="00BD168B">
        <w:rPr>
          <w:rFonts w:ascii="Garamond" w:eastAsia="Times New Roman" w:hAnsi="Garamond" w:cs="Times New Roman"/>
          <w:bCs/>
          <w:sz w:val="24"/>
          <w:szCs w:val="24"/>
        </w:rPr>
        <w:t xml:space="preserve"> </w:t>
      </w:r>
      <w:r w:rsidRPr="00BD168B">
        <w:rPr>
          <w:rFonts w:ascii="Garamond" w:eastAsia="Times New Roman" w:hAnsi="Garamond" w:cs="Times New Roman"/>
          <w:bCs/>
          <w:sz w:val="24"/>
          <w:szCs w:val="24"/>
        </w:rPr>
        <w:t>Të ndërmarrë masa për rritjen e edukimit financiar dhe ndërgjegjësimit publik në tregjet financiare jobankare, me fokus të veçantë në pensionet private, fondet e investimit dhe produktet e sigurimit me komponent investimi, duke kaluar nga aktivitetet sporadike informuese drejt programeve të strukturuara, të matshme dhe të vazhdueshme të edukimit financiar.</w:t>
      </w:r>
    </w:p>
    <w:p w14:paraId="38677D13" w14:textId="6CB29B0F" w:rsidR="006F4ADE" w:rsidRPr="00BD168B" w:rsidRDefault="006F4ADE" w:rsidP="00A02D9D">
      <w:pPr>
        <w:spacing w:after="0" w:line="240" w:lineRule="auto"/>
        <w:ind w:firstLine="284"/>
        <w:jc w:val="both"/>
        <w:rPr>
          <w:rFonts w:ascii="Garamond" w:eastAsia="Times New Roman" w:hAnsi="Garamond" w:cs="Times New Roman"/>
          <w:bCs/>
          <w:sz w:val="24"/>
          <w:szCs w:val="24"/>
        </w:rPr>
      </w:pPr>
      <w:r w:rsidRPr="00BD168B">
        <w:rPr>
          <w:rFonts w:ascii="Garamond" w:eastAsia="Times New Roman" w:hAnsi="Garamond" w:cs="Times New Roman"/>
          <w:bCs/>
          <w:sz w:val="24"/>
          <w:szCs w:val="24"/>
        </w:rPr>
        <w:t>17.</w:t>
      </w:r>
      <w:r w:rsidR="00A02D9D" w:rsidRPr="00BD168B">
        <w:rPr>
          <w:rFonts w:ascii="Garamond" w:eastAsia="Times New Roman" w:hAnsi="Garamond" w:cs="Times New Roman"/>
          <w:bCs/>
          <w:sz w:val="24"/>
          <w:szCs w:val="24"/>
        </w:rPr>
        <w:t xml:space="preserve"> </w:t>
      </w:r>
      <w:r w:rsidRPr="00BD168B">
        <w:rPr>
          <w:rFonts w:ascii="Garamond" w:eastAsia="Times New Roman" w:hAnsi="Garamond" w:cs="Times New Roman"/>
          <w:bCs/>
          <w:sz w:val="24"/>
          <w:szCs w:val="24"/>
        </w:rPr>
        <w:t>Të monitorojë strukturën e investimeve të shoqërive të sigurimit, me fokus rreziqet që burojnë nga përqendrimi i lartë në pasuri të paluajtshme, duke nxitur diversifikimin e portofolit drejt instrumenteve të tjera financiare, në përputhje standardet ndërkombëtare dhe zhvillimin e qëndrueshëm të tregut financiar.</w:t>
      </w:r>
    </w:p>
    <w:p w14:paraId="75360436" w14:textId="1A39EEE5" w:rsidR="006F4ADE" w:rsidRPr="00BD168B" w:rsidRDefault="006F4ADE" w:rsidP="00A02D9D">
      <w:pPr>
        <w:spacing w:after="0" w:line="240" w:lineRule="auto"/>
        <w:ind w:firstLine="284"/>
        <w:jc w:val="both"/>
        <w:rPr>
          <w:rFonts w:ascii="Garamond" w:eastAsia="Times New Roman" w:hAnsi="Garamond" w:cs="Times New Roman"/>
          <w:bCs/>
          <w:i/>
          <w:iCs/>
          <w:sz w:val="24"/>
          <w:szCs w:val="24"/>
        </w:rPr>
      </w:pPr>
      <w:r w:rsidRPr="00BD168B">
        <w:rPr>
          <w:rFonts w:ascii="Garamond" w:eastAsia="Times New Roman" w:hAnsi="Garamond" w:cs="Times New Roman"/>
          <w:bCs/>
          <w:sz w:val="24"/>
          <w:szCs w:val="24"/>
        </w:rPr>
        <w:t>18.</w:t>
      </w:r>
      <w:r w:rsidR="00A02D9D" w:rsidRPr="00BD168B">
        <w:rPr>
          <w:rFonts w:ascii="Garamond" w:eastAsia="Times New Roman" w:hAnsi="Garamond" w:cs="Times New Roman"/>
          <w:bCs/>
          <w:sz w:val="24"/>
          <w:szCs w:val="24"/>
        </w:rPr>
        <w:t xml:space="preserve"> </w:t>
      </w:r>
      <w:r w:rsidR="000D6F14" w:rsidRPr="00BD168B">
        <w:rPr>
          <w:rFonts w:ascii="Garamond" w:eastAsia="Times New Roman" w:hAnsi="Garamond" w:cs="Times New Roman"/>
          <w:bCs/>
          <w:sz w:val="24"/>
          <w:szCs w:val="24"/>
        </w:rPr>
        <w:t>Deri në fund të vitit 2026 të kryejë një analizë të plotë të zbatimit dhe efektivitetit të Rregullores nr. 156/2024</w:t>
      </w:r>
      <w:r w:rsidR="004E7E0E">
        <w:rPr>
          <w:rFonts w:ascii="Garamond" w:eastAsia="Times New Roman" w:hAnsi="Garamond" w:cs="Times New Roman"/>
          <w:bCs/>
          <w:sz w:val="24"/>
          <w:szCs w:val="24"/>
        </w:rPr>
        <w:t>,</w:t>
      </w:r>
      <w:r w:rsidR="000D6F14" w:rsidRPr="00BD168B">
        <w:rPr>
          <w:rFonts w:ascii="Garamond" w:eastAsia="Times New Roman" w:hAnsi="Garamond" w:cs="Times New Roman"/>
          <w:bCs/>
          <w:sz w:val="24"/>
          <w:szCs w:val="24"/>
        </w:rPr>
        <w:t xml:space="preserve"> “Për përcaktimin e faktorëve të riskut që përfshihen në përllogaritjen e primit për produktet e sigurimit të detyrueshëm në sektorin e transportit”, duke e krahasuar atë me praktikat më të mira të vendeve të Bashkimit Evropian dhe mbi bazën e rezultateve të analizës</w:t>
      </w:r>
      <w:r w:rsidR="004E7E0E">
        <w:rPr>
          <w:rFonts w:ascii="Garamond" w:eastAsia="Times New Roman" w:hAnsi="Garamond" w:cs="Times New Roman"/>
          <w:bCs/>
          <w:sz w:val="24"/>
          <w:szCs w:val="24"/>
        </w:rPr>
        <w:t>,</w:t>
      </w:r>
      <w:r w:rsidR="000D6F14" w:rsidRPr="00BD168B">
        <w:rPr>
          <w:rFonts w:ascii="Garamond" w:eastAsia="Times New Roman" w:hAnsi="Garamond" w:cs="Times New Roman"/>
          <w:bCs/>
          <w:sz w:val="24"/>
          <w:szCs w:val="24"/>
        </w:rPr>
        <w:t xml:space="preserve"> të ndërmarrë ndryshimet e nevojshme rregullatore për zgjerimin e faktorëve të aplikueshëm të riskut, rishikimin e koeficientëve përkatës, në veçanti për faktorin “zona gjeografike”, përmes një klasifikimi më të detajuar të territorit sipas karakteristikave dhe nivelit të ekspozimit të secilës zonë, me qëllim përmirësimin e përllogaritjes së primit dhe forcimin e funksionimit të sistemit </w:t>
      </w:r>
      <w:r w:rsidR="000D6F14" w:rsidRPr="00BD168B">
        <w:rPr>
          <w:rFonts w:ascii="Garamond" w:eastAsia="Times New Roman" w:hAnsi="Garamond" w:cs="Times New Roman"/>
          <w:bCs/>
          <w:i/>
          <w:iCs/>
          <w:sz w:val="24"/>
          <w:szCs w:val="24"/>
        </w:rPr>
        <w:t>bonus–malus.</w:t>
      </w:r>
    </w:p>
    <w:p w14:paraId="344C824E" w14:textId="1538BD3D" w:rsidR="006F4ADE" w:rsidRPr="00BD168B" w:rsidRDefault="006F4ADE" w:rsidP="00A02D9D">
      <w:pPr>
        <w:spacing w:after="0" w:line="240" w:lineRule="auto"/>
        <w:ind w:firstLine="284"/>
        <w:jc w:val="both"/>
        <w:rPr>
          <w:rFonts w:ascii="Garamond" w:eastAsia="Times New Roman" w:hAnsi="Garamond" w:cs="Times New Roman"/>
          <w:bCs/>
          <w:sz w:val="24"/>
          <w:szCs w:val="24"/>
        </w:rPr>
      </w:pPr>
      <w:r w:rsidRPr="00BD168B">
        <w:rPr>
          <w:rFonts w:ascii="Garamond" w:eastAsia="Times New Roman" w:hAnsi="Garamond" w:cs="Times New Roman"/>
          <w:bCs/>
          <w:sz w:val="24"/>
          <w:szCs w:val="24"/>
        </w:rPr>
        <w:t>19.</w:t>
      </w:r>
      <w:r w:rsidR="00A02D9D" w:rsidRPr="00BD168B">
        <w:rPr>
          <w:rFonts w:ascii="Garamond" w:eastAsia="Times New Roman" w:hAnsi="Garamond" w:cs="Times New Roman"/>
          <w:bCs/>
          <w:sz w:val="24"/>
          <w:szCs w:val="24"/>
        </w:rPr>
        <w:t xml:space="preserve"> </w:t>
      </w:r>
      <w:r w:rsidRPr="00BD168B">
        <w:rPr>
          <w:rFonts w:ascii="Garamond" w:eastAsia="Times New Roman" w:hAnsi="Garamond" w:cs="Times New Roman"/>
          <w:bCs/>
          <w:sz w:val="24"/>
          <w:szCs w:val="24"/>
        </w:rPr>
        <w:t>Të monitorojë në mënyrë periodike</w:t>
      </w:r>
      <w:r w:rsidR="004E7E0E">
        <w:rPr>
          <w:rFonts w:ascii="Garamond" w:eastAsia="Times New Roman" w:hAnsi="Garamond" w:cs="Times New Roman"/>
          <w:bCs/>
          <w:sz w:val="24"/>
          <w:szCs w:val="24"/>
        </w:rPr>
        <w:t>,</w:t>
      </w:r>
      <w:r w:rsidRPr="00BD168B">
        <w:rPr>
          <w:rFonts w:ascii="Garamond" w:eastAsia="Times New Roman" w:hAnsi="Garamond" w:cs="Times New Roman"/>
          <w:bCs/>
          <w:sz w:val="24"/>
          <w:szCs w:val="24"/>
        </w:rPr>
        <w:t xml:space="preserve"> në kuadër të kompetencave të saj mbikëqyrëse</w:t>
      </w:r>
      <w:r w:rsidR="004E7E0E">
        <w:rPr>
          <w:rFonts w:ascii="Garamond" w:eastAsia="Times New Roman" w:hAnsi="Garamond" w:cs="Times New Roman"/>
          <w:bCs/>
          <w:sz w:val="24"/>
          <w:szCs w:val="24"/>
        </w:rPr>
        <w:t>,</w:t>
      </w:r>
      <w:r w:rsidRPr="00BD168B">
        <w:rPr>
          <w:rFonts w:ascii="Garamond" w:eastAsia="Times New Roman" w:hAnsi="Garamond" w:cs="Times New Roman"/>
          <w:bCs/>
          <w:sz w:val="24"/>
          <w:szCs w:val="24"/>
        </w:rPr>
        <w:t xml:space="preserve"> funksionimin e sistemit të shkëmbimit të informacionit në tregun e sigurimit të detyrueshëm TPL/MTPL, duke verifikuar korrektësinë e raportimit në kohë reale të policave dhe primeve të sigurimit, respektimin e kërkesave që lidhen me funksionimin e sistemit, si dhe ndikimin e tij në transparencën e tregut, mbrojtjen e interesave të konsumatorëve dhe funksionimin efektiv të tregut të sigurimeve, duke raportuar çdo 6 muaj </w:t>
      </w:r>
      <w:r w:rsidR="00233BAB" w:rsidRPr="00BD168B">
        <w:rPr>
          <w:rFonts w:ascii="Garamond" w:eastAsia="Times New Roman" w:hAnsi="Garamond" w:cs="Times New Roman"/>
          <w:bCs/>
          <w:sz w:val="24"/>
          <w:szCs w:val="24"/>
        </w:rPr>
        <w:t>për</w:t>
      </w:r>
      <w:r w:rsidRPr="00BD168B">
        <w:rPr>
          <w:rFonts w:ascii="Garamond" w:eastAsia="Times New Roman" w:hAnsi="Garamond" w:cs="Times New Roman"/>
          <w:bCs/>
          <w:sz w:val="24"/>
          <w:szCs w:val="24"/>
        </w:rPr>
        <w:t xml:space="preserve"> rezultatet e monitorimit dhe problematikat e evidentuara.</w:t>
      </w:r>
    </w:p>
    <w:p w14:paraId="762FB962" w14:textId="22714752" w:rsidR="006F4ADE" w:rsidRPr="00BD168B" w:rsidRDefault="006F4ADE" w:rsidP="00A02D9D">
      <w:pPr>
        <w:spacing w:after="0" w:line="240" w:lineRule="auto"/>
        <w:ind w:firstLine="284"/>
        <w:jc w:val="both"/>
        <w:rPr>
          <w:rFonts w:ascii="Garamond" w:eastAsia="Times New Roman" w:hAnsi="Garamond" w:cs="Times New Roman"/>
          <w:bCs/>
          <w:sz w:val="24"/>
          <w:szCs w:val="24"/>
        </w:rPr>
      </w:pPr>
      <w:r w:rsidRPr="00BD168B">
        <w:rPr>
          <w:rFonts w:ascii="Garamond" w:eastAsia="Times New Roman" w:hAnsi="Garamond" w:cs="Times New Roman"/>
          <w:bCs/>
          <w:sz w:val="24"/>
          <w:szCs w:val="24"/>
        </w:rPr>
        <w:lastRenderedPageBreak/>
        <w:t>20.</w:t>
      </w:r>
      <w:r w:rsidR="00A02D9D" w:rsidRPr="00BD168B">
        <w:rPr>
          <w:rFonts w:ascii="Garamond" w:eastAsia="Times New Roman" w:hAnsi="Garamond" w:cs="Times New Roman"/>
          <w:bCs/>
          <w:sz w:val="24"/>
          <w:szCs w:val="24"/>
        </w:rPr>
        <w:t xml:space="preserve"> </w:t>
      </w:r>
      <w:r w:rsidRPr="00BD168B">
        <w:rPr>
          <w:rFonts w:ascii="Garamond" w:eastAsia="Times New Roman" w:hAnsi="Garamond" w:cs="Times New Roman"/>
          <w:bCs/>
          <w:sz w:val="24"/>
          <w:szCs w:val="24"/>
        </w:rPr>
        <w:t xml:space="preserve">Të sigurojë zbatimin në kohë të rekomandimeve dhe vendimeve të institucioneve të pavarura, duke raportuar periodikisht çdo 4-muaj në Kuvend </w:t>
      </w:r>
      <w:r w:rsidR="00FE013B" w:rsidRPr="00BD168B">
        <w:rPr>
          <w:rFonts w:ascii="Garamond" w:eastAsia="Times New Roman" w:hAnsi="Garamond" w:cs="Times New Roman"/>
          <w:bCs/>
          <w:sz w:val="24"/>
          <w:szCs w:val="24"/>
        </w:rPr>
        <w:t>për</w:t>
      </w:r>
      <w:r w:rsidRPr="00BD168B">
        <w:rPr>
          <w:rFonts w:ascii="Garamond" w:eastAsia="Times New Roman" w:hAnsi="Garamond" w:cs="Times New Roman"/>
          <w:bCs/>
          <w:sz w:val="24"/>
          <w:szCs w:val="24"/>
        </w:rPr>
        <w:t xml:space="preserve"> masat e ndërmarra dhe statusin e zbatimit të tyre</w:t>
      </w:r>
      <w:r w:rsidR="00FE013B" w:rsidRPr="00BD168B">
        <w:rPr>
          <w:rFonts w:ascii="Garamond" w:eastAsia="Times New Roman" w:hAnsi="Garamond" w:cs="Times New Roman"/>
          <w:bCs/>
          <w:sz w:val="24"/>
          <w:szCs w:val="24"/>
        </w:rPr>
        <w:t xml:space="preserve"> </w:t>
      </w:r>
      <w:r w:rsidRPr="00BD168B">
        <w:rPr>
          <w:rFonts w:ascii="Garamond" w:eastAsia="Times New Roman" w:hAnsi="Garamond" w:cs="Times New Roman"/>
          <w:bCs/>
          <w:sz w:val="24"/>
          <w:szCs w:val="24"/>
        </w:rPr>
        <w:t>në përmbushje të detyrimeve institucionale, si dhe standardeve evropiane.</w:t>
      </w:r>
    </w:p>
    <w:p w14:paraId="1FE7D6A5" w14:textId="213D6FFF" w:rsidR="006F4ADE" w:rsidRPr="00BD168B" w:rsidRDefault="006F4ADE" w:rsidP="00A02D9D">
      <w:pPr>
        <w:spacing w:after="0" w:line="240" w:lineRule="auto"/>
        <w:ind w:firstLine="284"/>
        <w:jc w:val="both"/>
        <w:rPr>
          <w:rFonts w:ascii="Garamond" w:eastAsia="Times New Roman" w:hAnsi="Garamond" w:cs="Times New Roman"/>
          <w:bCs/>
          <w:sz w:val="24"/>
          <w:szCs w:val="24"/>
        </w:rPr>
      </w:pPr>
      <w:r w:rsidRPr="00BD168B">
        <w:rPr>
          <w:rFonts w:ascii="Garamond" w:eastAsia="Times New Roman" w:hAnsi="Garamond" w:cs="Times New Roman"/>
          <w:bCs/>
          <w:sz w:val="24"/>
          <w:szCs w:val="24"/>
        </w:rPr>
        <w:t>21.</w:t>
      </w:r>
      <w:r w:rsidR="00A02D9D" w:rsidRPr="00BD168B">
        <w:rPr>
          <w:rFonts w:ascii="Garamond" w:eastAsia="Times New Roman" w:hAnsi="Garamond" w:cs="Times New Roman"/>
          <w:bCs/>
          <w:sz w:val="24"/>
          <w:szCs w:val="24"/>
        </w:rPr>
        <w:t xml:space="preserve"> </w:t>
      </w:r>
      <w:r w:rsidRPr="00BD168B">
        <w:rPr>
          <w:rFonts w:ascii="Garamond" w:eastAsia="Times New Roman" w:hAnsi="Garamond" w:cs="Times New Roman"/>
          <w:bCs/>
          <w:sz w:val="24"/>
          <w:szCs w:val="24"/>
        </w:rPr>
        <w:t>Të konsolidojë mekanizmat e transparencës institucionale</w:t>
      </w:r>
      <w:r w:rsidR="004E7E0E">
        <w:rPr>
          <w:rFonts w:ascii="Garamond" w:eastAsia="Times New Roman" w:hAnsi="Garamond" w:cs="Times New Roman"/>
          <w:bCs/>
          <w:sz w:val="24"/>
          <w:szCs w:val="24"/>
        </w:rPr>
        <w:t>,</w:t>
      </w:r>
      <w:r w:rsidRPr="00BD168B">
        <w:rPr>
          <w:rFonts w:ascii="Garamond" w:eastAsia="Times New Roman" w:hAnsi="Garamond" w:cs="Times New Roman"/>
          <w:bCs/>
          <w:sz w:val="24"/>
          <w:szCs w:val="24"/>
        </w:rPr>
        <w:t xml:space="preserve"> duke forcuar funksionin e koordinatorit për të drejtën e informimit dhe duke garantuar publikimin e informacionit sipas standardeve të të dhënave të hapura dhe ripërdorimit të informacionit të sektorit publik.</w:t>
      </w:r>
    </w:p>
    <w:p w14:paraId="1C223D1A" w14:textId="65425CB4" w:rsidR="006F4ADE" w:rsidRPr="00BD168B" w:rsidRDefault="006F4ADE" w:rsidP="00A02D9D">
      <w:pPr>
        <w:spacing w:after="0" w:line="240" w:lineRule="auto"/>
        <w:ind w:firstLine="284"/>
        <w:jc w:val="both"/>
        <w:rPr>
          <w:rFonts w:ascii="Garamond" w:eastAsia="Times New Roman" w:hAnsi="Garamond" w:cs="Times New Roman"/>
          <w:bCs/>
          <w:sz w:val="24"/>
          <w:szCs w:val="24"/>
        </w:rPr>
      </w:pPr>
      <w:r w:rsidRPr="00BD168B">
        <w:rPr>
          <w:rFonts w:ascii="Garamond" w:eastAsia="Times New Roman" w:hAnsi="Garamond" w:cs="Times New Roman"/>
          <w:bCs/>
          <w:sz w:val="24"/>
          <w:szCs w:val="24"/>
        </w:rPr>
        <w:t>22.</w:t>
      </w:r>
      <w:r w:rsidR="00A02D9D" w:rsidRPr="00BD168B">
        <w:rPr>
          <w:rFonts w:ascii="Garamond" w:eastAsia="Times New Roman" w:hAnsi="Garamond" w:cs="Times New Roman"/>
          <w:bCs/>
          <w:sz w:val="24"/>
          <w:szCs w:val="24"/>
        </w:rPr>
        <w:t xml:space="preserve"> </w:t>
      </w:r>
      <w:r w:rsidRPr="00BD168B">
        <w:rPr>
          <w:rFonts w:ascii="Garamond" w:eastAsia="Times New Roman" w:hAnsi="Garamond" w:cs="Times New Roman"/>
          <w:bCs/>
          <w:sz w:val="24"/>
          <w:szCs w:val="24"/>
        </w:rPr>
        <w:t>Të bashkëpunojë me strukturat përgjegjëse të Kuvendit të Shqipërisë për zhvillimin dhe konsolidimin e metodologjisë së standardizuar të treguesve kyç të performancës, si bazë për monitorimin dhe vlerësimin e zbatimit të rekomandimeve të rezolutës, në funksion të forcimit të llogaridhënies dhe mbikëqyrjes parlamentare. Ky angazhim të përmbushet brenda 3</w:t>
      </w:r>
      <w:r w:rsidR="00695EFD" w:rsidRPr="00BD168B">
        <w:rPr>
          <w:rFonts w:ascii="Garamond" w:eastAsia="Times New Roman" w:hAnsi="Garamond" w:cs="Times New Roman"/>
          <w:bCs/>
          <w:sz w:val="24"/>
          <w:szCs w:val="24"/>
        </w:rPr>
        <w:t>-</w:t>
      </w:r>
      <w:r w:rsidRPr="00BD168B">
        <w:rPr>
          <w:rFonts w:ascii="Garamond" w:eastAsia="Times New Roman" w:hAnsi="Garamond" w:cs="Times New Roman"/>
          <w:bCs/>
          <w:sz w:val="24"/>
          <w:szCs w:val="24"/>
        </w:rPr>
        <w:t>mujorit të tretë të vitit 2026.</w:t>
      </w:r>
    </w:p>
    <w:p w14:paraId="686F6AAE" w14:textId="77777777" w:rsidR="0042060E" w:rsidRPr="00BD168B" w:rsidRDefault="0042060E" w:rsidP="00A02D9D">
      <w:pPr>
        <w:spacing w:after="0" w:line="240" w:lineRule="auto"/>
        <w:ind w:firstLine="284"/>
        <w:jc w:val="both"/>
        <w:rPr>
          <w:rFonts w:ascii="Garamond" w:eastAsia="Times New Roman" w:hAnsi="Garamond" w:cs="Times New Roman"/>
          <w:b/>
          <w:sz w:val="24"/>
          <w:szCs w:val="24"/>
        </w:rPr>
      </w:pPr>
    </w:p>
    <w:p w14:paraId="221649EC" w14:textId="7EF4BB86" w:rsidR="00EB62DE" w:rsidRPr="00BD168B" w:rsidRDefault="00A755F6" w:rsidP="00A02D9D">
      <w:pPr>
        <w:spacing w:after="0" w:line="240" w:lineRule="auto"/>
        <w:ind w:firstLine="284"/>
        <w:jc w:val="both"/>
        <w:rPr>
          <w:rFonts w:ascii="Garamond" w:hAnsi="Garamond" w:cs="Times New Roman"/>
          <w:sz w:val="24"/>
          <w:szCs w:val="24"/>
        </w:rPr>
      </w:pPr>
      <w:r w:rsidRPr="00BD168B">
        <w:rPr>
          <w:rFonts w:ascii="Garamond" w:hAnsi="Garamond" w:cs="Times New Roman"/>
          <w:sz w:val="24"/>
          <w:szCs w:val="24"/>
        </w:rPr>
        <w:t xml:space="preserve">Miratuar në datën </w:t>
      </w:r>
      <w:r w:rsidR="00181D50" w:rsidRPr="00BD168B">
        <w:rPr>
          <w:rFonts w:ascii="Garamond" w:hAnsi="Garamond" w:cs="Times New Roman"/>
          <w:sz w:val="24"/>
          <w:szCs w:val="24"/>
        </w:rPr>
        <w:t>1</w:t>
      </w:r>
      <w:r w:rsidR="00804B36" w:rsidRPr="00BD168B">
        <w:rPr>
          <w:rFonts w:ascii="Garamond" w:hAnsi="Garamond" w:cs="Times New Roman"/>
          <w:sz w:val="24"/>
          <w:szCs w:val="24"/>
        </w:rPr>
        <w:t>6</w:t>
      </w:r>
      <w:r w:rsidR="00181D50" w:rsidRPr="00BD168B">
        <w:rPr>
          <w:rFonts w:ascii="Garamond" w:hAnsi="Garamond" w:cs="Times New Roman"/>
          <w:sz w:val="24"/>
          <w:szCs w:val="24"/>
        </w:rPr>
        <w:t>.</w:t>
      </w:r>
      <w:r w:rsidR="000729FB" w:rsidRPr="00BD168B">
        <w:rPr>
          <w:rFonts w:ascii="Garamond" w:hAnsi="Garamond" w:cs="Times New Roman"/>
          <w:sz w:val="24"/>
          <w:szCs w:val="24"/>
        </w:rPr>
        <w:t>7</w:t>
      </w:r>
      <w:r w:rsidR="00181D50" w:rsidRPr="00BD168B">
        <w:rPr>
          <w:rFonts w:ascii="Garamond" w:hAnsi="Garamond" w:cs="Times New Roman"/>
          <w:sz w:val="24"/>
          <w:szCs w:val="24"/>
        </w:rPr>
        <w:t>.</w:t>
      </w:r>
      <w:r w:rsidR="003C57D3" w:rsidRPr="00BD168B">
        <w:rPr>
          <w:rFonts w:ascii="Garamond" w:hAnsi="Garamond" w:cs="Times New Roman"/>
          <w:sz w:val="24"/>
          <w:szCs w:val="24"/>
        </w:rPr>
        <w:t>202</w:t>
      </w:r>
      <w:r w:rsidR="00275863" w:rsidRPr="00BD168B">
        <w:rPr>
          <w:rFonts w:ascii="Garamond" w:hAnsi="Garamond" w:cs="Times New Roman"/>
          <w:sz w:val="24"/>
          <w:szCs w:val="24"/>
        </w:rPr>
        <w:t>6</w:t>
      </w:r>
      <w:r w:rsidR="004E7E0E">
        <w:rPr>
          <w:rFonts w:ascii="Garamond" w:hAnsi="Garamond" w:cs="Times New Roman"/>
          <w:sz w:val="24"/>
          <w:szCs w:val="24"/>
        </w:rPr>
        <w:t>.</w:t>
      </w:r>
    </w:p>
    <w:p w14:paraId="182AA5D6" w14:textId="77777777" w:rsidR="002D21E8" w:rsidRPr="00BD168B" w:rsidRDefault="002D21E8" w:rsidP="00A02D9D">
      <w:pPr>
        <w:spacing w:after="0" w:line="240" w:lineRule="auto"/>
        <w:ind w:firstLine="284"/>
        <w:jc w:val="both"/>
        <w:rPr>
          <w:rFonts w:ascii="Garamond" w:eastAsia="Times New Roman" w:hAnsi="Garamond" w:cs="Times New Roman"/>
          <w:color w:val="000000" w:themeColor="text1"/>
          <w:sz w:val="24"/>
          <w:szCs w:val="24"/>
        </w:rPr>
      </w:pPr>
    </w:p>
    <w:p w14:paraId="1780F126" w14:textId="77777777" w:rsidR="00A02D9D" w:rsidRPr="00BD168B" w:rsidRDefault="00A02D9D" w:rsidP="00A02D9D">
      <w:pPr>
        <w:spacing w:after="0" w:line="240" w:lineRule="auto"/>
        <w:jc w:val="right"/>
        <w:rPr>
          <w:rFonts w:ascii="Garamond" w:eastAsia="MS Mincho" w:hAnsi="Garamond" w:cs="Times New Roman"/>
          <w:sz w:val="24"/>
          <w:szCs w:val="24"/>
        </w:rPr>
      </w:pPr>
      <w:r w:rsidRPr="00BD168B">
        <w:rPr>
          <w:rFonts w:ascii="Garamond" w:eastAsia="MS Mincho" w:hAnsi="Garamond" w:cs="Times New Roman"/>
          <w:sz w:val="24"/>
          <w:szCs w:val="24"/>
        </w:rPr>
        <w:t xml:space="preserve">KRYETAR </w:t>
      </w:r>
    </w:p>
    <w:p w14:paraId="48AFF846" w14:textId="77777777" w:rsidR="00A02D9D" w:rsidRPr="00BD168B" w:rsidRDefault="00A02D9D" w:rsidP="00A02D9D">
      <w:pPr>
        <w:spacing w:after="0" w:line="240" w:lineRule="auto"/>
        <w:jc w:val="right"/>
        <w:rPr>
          <w:rFonts w:ascii="Garamond" w:eastAsia="MS Mincho" w:hAnsi="Garamond" w:cs="Times New Roman"/>
          <w:b/>
          <w:bCs/>
          <w:sz w:val="24"/>
          <w:szCs w:val="24"/>
        </w:rPr>
      </w:pPr>
      <w:r w:rsidRPr="00BD168B">
        <w:rPr>
          <w:rFonts w:ascii="Garamond" w:eastAsia="MS Mincho" w:hAnsi="Garamond" w:cs="Times New Roman"/>
          <w:b/>
          <w:bCs/>
          <w:sz w:val="24"/>
          <w:szCs w:val="24"/>
        </w:rPr>
        <w:t>Niko Peleshi</w:t>
      </w:r>
    </w:p>
    <w:p w14:paraId="05A8005D" w14:textId="77777777" w:rsidR="00841A15" w:rsidRPr="00BD168B" w:rsidRDefault="00841A15" w:rsidP="00A02D9D">
      <w:pPr>
        <w:spacing w:after="0" w:line="240" w:lineRule="auto"/>
        <w:ind w:firstLine="284"/>
        <w:rPr>
          <w:rFonts w:ascii="Garamond" w:eastAsia="Times New Roman" w:hAnsi="Garamond" w:cs="Times New Roman"/>
          <w:sz w:val="24"/>
          <w:szCs w:val="24"/>
        </w:rPr>
      </w:pPr>
    </w:p>
    <w:p w14:paraId="1B441005" w14:textId="77777777" w:rsidR="00841A15" w:rsidRPr="00BD168B" w:rsidRDefault="00841A15" w:rsidP="00A02D9D">
      <w:pPr>
        <w:spacing w:after="0" w:line="240" w:lineRule="auto"/>
        <w:ind w:firstLine="284"/>
        <w:rPr>
          <w:rFonts w:ascii="Garamond" w:eastAsia="Times New Roman" w:hAnsi="Garamond" w:cs="Times New Roman"/>
          <w:sz w:val="24"/>
          <w:szCs w:val="24"/>
        </w:rPr>
      </w:pPr>
    </w:p>
    <w:p w14:paraId="328FB015" w14:textId="77777777" w:rsidR="003C57D3" w:rsidRPr="00BD168B" w:rsidRDefault="003C57D3" w:rsidP="00A02D9D">
      <w:pPr>
        <w:spacing w:after="0" w:line="240" w:lineRule="auto"/>
        <w:ind w:firstLine="284"/>
        <w:rPr>
          <w:rFonts w:ascii="Garamond" w:eastAsia="Times New Roman" w:hAnsi="Garamond" w:cs="Times New Roman"/>
          <w:sz w:val="24"/>
          <w:szCs w:val="24"/>
        </w:rPr>
      </w:pPr>
    </w:p>
    <w:p w14:paraId="3E9909DF" w14:textId="77777777" w:rsidR="0079748A" w:rsidRPr="00BD168B" w:rsidRDefault="0079748A" w:rsidP="00A02D9D">
      <w:pPr>
        <w:spacing w:after="0" w:line="240" w:lineRule="auto"/>
        <w:ind w:firstLine="284"/>
        <w:rPr>
          <w:rFonts w:ascii="Garamond" w:eastAsia="Times New Roman" w:hAnsi="Garamond" w:cs="Times New Roman"/>
          <w:sz w:val="24"/>
          <w:szCs w:val="24"/>
        </w:rPr>
      </w:pPr>
    </w:p>
    <w:sectPr w:rsidR="0079748A" w:rsidRPr="00BD168B" w:rsidSect="008D54B5">
      <w:footerReference w:type="default" r:id="rId13"/>
      <w:pgSz w:w="11907" w:h="16840" w:code="9"/>
      <w:pgMar w:top="1152" w:right="1152" w:bottom="1152" w:left="115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75C746" w14:textId="77777777" w:rsidR="00544C44" w:rsidRDefault="00544C44" w:rsidP="00C86383">
      <w:pPr>
        <w:spacing w:after="0" w:line="240" w:lineRule="auto"/>
      </w:pPr>
      <w:r>
        <w:separator/>
      </w:r>
    </w:p>
  </w:endnote>
  <w:endnote w:type="continuationSeparator" w:id="0">
    <w:p w14:paraId="27BC7F4F" w14:textId="77777777" w:rsidR="00544C44" w:rsidRDefault="00544C44" w:rsidP="00C86383">
      <w:pPr>
        <w:spacing w:after="0" w:line="240" w:lineRule="auto"/>
      </w:pPr>
      <w:r>
        <w:continuationSeparator/>
      </w:r>
    </w:p>
  </w:endnote>
  <w:endnote w:type="continuationNotice" w:id="1">
    <w:p w14:paraId="5CE2F599" w14:textId="77777777" w:rsidR="00950744" w:rsidRDefault="0095074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28131234"/>
      <w:docPartObj>
        <w:docPartGallery w:val="Page Numbers (Bottom of Page)"/>
        <w:docPartUnique/>
      </w:docPartObj>
    </w:sdtPr>
    <w:sdtEndPr>
      <w:rPr>
        <w:rFonts w:ascii="Times New Roman" w:hAnsi="Times New Roman" w:cs="Times New Roman"/>
        <w:noProof/>
        <w:sz w:val="24"/>
        <w:szCs w:val="24"/>
      </w:rPr>
    </w:sdtEndPr>
    <w:sdtContent>
      <w:p w14:paraId="3978455A" w14:textId="048B30A3" w:rsidR="00544C44" w:rsidRPr="00E7684C" w:rsidRDefault="00544C44">
        <w:pPr>
          <w:pStyle w:val="Footer"/>
          <w:jc w:val="center"/>
          <w:rPr>
            <w:rFonts w:ascii="Times New Roman" w:hAnsi="Times New Roman" w:cs="Times New Roman"/>
            <w:sz w:val="24"/>
            <w:szCs w:val="24"/>
          </w:rPr>
        </w:pPr>
        <w:r w:rsidRPr="00E7684C">
          <w:rPr>
            <w:rFonts w:ascii="Times New Roman" w:hAnsi="Times New Roman" w:cs="Times New Roman"/>
            <w:sz w:val="24"/>
            <w:szCs w:val="24"/>
          </w:rPr>
          <w:fldChar w:fldCharType="begin"/>
        </w:r>
        <w:r w:rsidRPr="00E7684C">
          <w:rPr>
            <w:rFonts w:ascii="Times New Roman" w:hAnsi="Times New Roman" w:cs="Times New Roman"/>
            <w:sz w:val="24"/>
            <w:szCs w:val="24"/>
          </w:rPr>
          <w:instrText xml:space="preserve"> PAGE   \* MERGEFORMAT </w:instrText>
        </w:r>
        <w:r w:rsidRPr="00E7684C">
          <w:rPr>
            <w:rFonts w:ascii="Times New Roman" w:hAnsi="Times New Roman" w:cs="Times New Roman"/>
            <w:sz w:val="24"/>
            <w:szCs w:val="24"/>
          </w:rPr>
          <w:fldChar w:fldCharType="separate"/>
        </w:r>
        <w:r>
          <w:rPr>
            <w:rFonts w:ascii="Times New Roman" w:hAnsi="Times New Roman" w:cs="Times New Roman"/>
            <w:noProof/>
            <w:sz w:val="24"/>
            <w:szCs w:val="24"/>
          </w:rPr>
          <w:t>5</w:t>
        </w:r>
        <w:r w:rsidRPr="00E7684C">
          <w:rPr>
            <w:rFonts w:ascii="Times New Roman" w:hAnsi="Times New Roman" w:cs="Times New Roman"/>
            <w:noProof/>
            <w:sz w:val="24"/>
            <w:szCs w:val="24"/>
          </w:rPr>
          <w:fldChar w:fldCharType="end"/>
        </w:r>
      </w:p>
    </w:sdtContent>
  </w:sdt>
  <w:p w14:paraId="07261E55" w14:textId="77777777" w:rsidR="00544C44" w:rsidRDefault="00544C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1CACEC" w14:textId="77777777" w:rsidR="00544C44" w:rsidRDefault="00544C44" w:rsidP="00C86383">
      <w:pPr>
        <w:spacing w:after="0" w:line="240" w:lineRule="auto"/>
      </w:pPr>
      <w:r>
        <w:separator/>
      </w:r>
    </w:p>
  </w:footnote>
  <w:footnote w:type="continuationSeparator" w:id="0">
    <w:p w14:paraId="3EABBBE4" w14:textId="77777777" w:rsidR="00544C44" w:rsidRDefault="00544C44" w:rsidP="00C86383">
      <w:pPr>
        <w:spacing w:after="0" w:line="240" w:lineRule="auto"/>
      </w:pPr>
      <w:r>
        <w:continuationSeparator/>
      </w:r>
    </w:p>
  </w:footnote>
  <w:footnote w:type="continuationNotice" w:id="1">
    <w:p w14:paraId="6FA3C5B1" w14:textId="77777777" w:rsidR="00950744" w:rsidRDefault="0095074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978E0"/>
    <w:multiLevelType w:val="hybridMultilevel"/>
    <w:tmpl w:val="5EA0B5BE"/>
    <w:lvl w:ilvl="0" w:tplc="EB187D4C">
      <w:start w:val="5"/>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15:restartNumberingAfterBreak="0">
    <w:nsid w:val="08F72DF8"/>
    <w:multiLevelType w:val="hybridMultilevel"/>
    <w:tmpl w:val="65D4E524"/>
    <w:lvl w:ilvl="0" w:tplc="ED045C04">
      <w:numFmt w:val="bullet"/>
      <w:lvlText w:val="-"/>
      <w:lvlJc w:val="left"/>
      <w:pPr>
        <w:ind w:left="720" w:hanging="360"/>
      </w:pPr>
      <w:rPr>
        <w:rFonts w:ascii="Garamond" w:eastAsia="Calibri"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B349C0"/>
    <w:multiLevelType w:val="hybridMultilevel"/>
    <w:tmpl w:val="076AD4E2"/>
    <w:lvl w:ilvl="0" w:tplc="44D4D662">
      <w:numFmt w:val="bullet"/>
      <w:lvlText w:val="-"/>
      <w:lvlJc w:val="left"/>
      <w:pPr>
        <w:ind w:left="720" w:hanging="360"/>
      </w:pPr>
      <w:rPr>
        <w:rFonts w:ascii="Times New Roman" w:eastAsia="Times New Roman" w:hAnsi="Times New Roman" w:cs="Times New Roman" w:hint="default"/>
        <w:b w:val="0"/>
        <w:i w:val="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0A853002"/>
    <w:multiLevelType w:val="hybridMultilevel"/>
    <w:tmpl w:val="677ECF20"/>
    <w:lvl w:ilvl="0" w:tplc="47840A96">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15:restartNumberingAfterBreak="0">
    <w:nsid w:val="14A411B8"/>
    <w:multiLevelType w:val="hybridMultilevel"/>
    <w:tmpl w:val="FA0429A0"/>
    <w:lvl w:ilvl="0" w:tplc="3B2ECE04">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15:restartNumberingAfterBreak="0">
    <w:nsid w:val="14C5108F"/>
    <w:multiLevelType w:val="hybridMultilevel"/>
    <w:tmpl w:val="4D6CAAB2"/>
    <w:lvl w:ilvl="0" w:tplc="4732BF6C">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15:restartNumberingAfterBreak="0">
    <w:nsid w:val="19D66A64"/>
    <w:multiLevelType w:val="hybridMultilevel"/>
    <w:tmpl w:val="BE02EFC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 w15:restartNumberingAfterBreak="0">
    <w:nsid w:val="1F2B7B0B"/>
    <w:multiLevelType w:val="hybridMultilevel"/>
    <w:tmpl w:val="4D22644E"/>
    <w:lvl w:ilvl="0" w:tplc="B2CCAE68">
      <w:numFmt w:val="bullet"/>
      <w:lvlText w:val="-"/>
      <w:lvlJc w:val="left"/>
      <w:pPr>
        <w:ind w:left="720" w:hanging="360"/>
      </w:pPr>
      <w:rPr>
        <w:rFonts w:ascii="Calibri" w:eastAsiaTheme="minorHAnsi" w:hAnsi="Calibri" w:cstheme="minorBidi" w:hint="default"/>
        <w:b w:val="0"/>
        <w:color w:val="auto"/>
        <w:sz w:val="22"/>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 w15:restartNumberingAfterBreak="0">
    <w:nsid w:val="22F36DC6"/>
    <w:multiLevelType w:val="hybridMultilevel"/>
    <w:tmpl w:val="8A60E71C"/>
    <w:lvl w:ilvl="0" w:tplc="55CE1B82">
      <w:numFmt w:val="bullet"/>
      <w:lvlText w:val="-"/>
      <w:lvlJc w:val="left"/>
      <w:pPr>
        <w:ind w:left="700" w:hanging="360"/>
      </w:pPr>
      <w:rPr>
        <w:rFonts w:ascii="Times New Roman" w:eastAsia="Times New Roman" w:hAnsi="Times New Roman" w:cs="Times New Roman" w:hint="default"/>
      </w:rPr>
    </w:lvl>
    <w:lvl w:ilvl="1" w:tplc="041C0003" w:tentative="1">
      <w:start w:val="1"/>
      <w:numFmt w:val="bullet"/>
      <w:lvlText w:val="o"/>
      <w:lvlJc w:val="left"/>
      <w:pPr>
        <w:ind w:left="1420" w:hanging="360"/>
      </w:pPr>
      <w:rPr>
        <w:rFonts w:ascii="Courier New" w:hAnsi="Courier New" w:cs="Courier New" w:hint="default"/>
      </w:rPr>
    </w:lvl>
    <w:lvl w:ilvl="2" w:tplc="041C0005" w:tentative="1">
      <w:start w:val="1"/>
      <w:numFmt w:val="bullet"/>
      <w:lvlText w:val=""/>
      <w:lvlJc w:val="left"/>
      <w:pPr>
        <w:ind w:left="2140" w:hanging="360"/>
      </w:pPr>
      <w:rPr>
        <w:rFonts w:ascii="Wingdings" w:hAnsi="Wingdings" w:hint="default"/>
      </w:rPr>
    </w:lvl>
    <w:lvl w:ilvl="3" w:tplc="041C0001" w:tentative="1">
      <w:start w:val="1"/>
      <w:numFmt w:val="bullet"/>
      <w:lvlText w:val=""/>
      <w:lvlJc w:val="left"/>
      <w:pPr>
        <w:ind w:left="2860" w:hanging="360"/>
      </w:pPr>
      <w:rPr>
        <w:rFonts w:ascii="Symbol" w:hAnsi="Symbol" w:hint="default"/>
      </w:rPr>
    </w:lvl>
    <w:lvl w:ilvl="4" w:tplc="041C0003" w:tentative="1">
      <w:start w:val="1"/>
      <w:numFmt w:val="bullet"/>
      <w:lvlText w:val="o"/>
      <w:lvlJc w:val="left"/>
      <w:pPr>
        <w:ind w:left="3580" w:hanging="360"/>
      </w:pPr>
      <w:rPr>
        <w:rFonts w:ascii="Courier New" w:hAnsi="Courier New" w:cs="Courier New" w:hint="default"/>
      </w:rPr>
    </w:lvl>
    <w:lvl w:ilvl="5" w:tplc="041C0005" w:tentative="1">
      <w:start w:val="1"/>
      <w:numFmt w:val="bullet"/>
      <w:lvlText w:val=""/>
      <w:lvlJc w:val="left"/>
      <w:pPr>
        <w:ind w:left="4300" w:hanging="360"/>
      </w:pPr>
      <w:rPr>
        <w:rFonts w:ascii="Wingdings" w:hAnsi="Wingdings" w:hint="default"/>
      </w:rPr>
    </w:lvl>
    <w:lvl w:ilvl="6" w:tplc="041C0001" w:tentative="1">
      <w:start w:val="1"/>
      <w:numFmt w:val="bullet"/>
      <w:lvlText w:val=""/>
      <w:lvlJc w:val="left"/>
      <w:pPr>
        <w:ind w:left="5020" w:hanging="360"/>
      </w:pPr>
      <w:rPr>
        <w:rFonts w:ascii="Symbol" w:hAnsi="Symbol" w:hint="default"/>
      </w:rPr>
    </w:lvl>
    <w:lvl w:ilvl="7" w:tplc="041C0003" w:tentative="1">
      <w:start w:val="1"/>
      <w:numFmt w:val="bullet"/>
      <w:lvlText w:val="o"/>
      <w:lvlJc w:val="left"/>
      <w:pPr>
        <w:ind w:left="5740" w:hanging="360"/>
      </w:pPr>
      <w:rPr>
        <w:rFonts w:ascii="Courier New" w:hAnsi="Courier New" w:cs="Courier New" w:hint="default"/>
      </w:rPr>
    </w:lvl>
    <w:lvl w:ilvl="8" w:tplc="041C0005" w:tentative="1">
      <w:start w:val="1"/>
      <w:numFmt w:val="bullet"/>
      <w:lvlText w:val=""/>
      <w:lvlJc w:val="left"/>
      <w:pPr>
        <w:ind w:left="6460" w:hanging="360"/>
      </w:pPr>
      <w:rPr>
        <w:rFonts w:ascii="Wingdings" w:hAnsi="Wingdings" w:hint="default"/>
      </w:rPr>
    </w:lvl>
  </w:abstractNum>
  <w:abstractNum w:abstractNumId="9" w15:restartNumberingAfterBreak="0">
    <w:nsid w:val="24BB51B0"/>
    <w:multiLevelType w:val="hybridMultilevel"/>
    <w:tmpl w:val="72DA977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2C241627"/>
    <w:multiLevelType w:val="hybridMultilevel"/>
    <w:tmpl w:val="808E4498"/>
    <w:lvl w:ilvl="0" w:tplc="66207776">
      <w:numFmt w:val="bullet"/>
      <w:lvlText w:val="-"/>
      <w:lvlJc w:val="left"/>
      <w:pPr>
        <w:ind w:left="720" w:hanging="360"/>
      </w:pPr>
      <w:rPr>
        <w:rFonts w:ascii="Times New Roman" w:eastAsiaTheme="minorHAnsi" w:hAnsi="Times New Roman" w:cs="Times New Roman" w:hint="default"/>
        <w:color w:val="00000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 w15:restartNumberingAfterBreak="0">
    <w:nsid w:val="32DF64CF"/>
    <w:multiLevelType w:val="hybridMultilevel"/>
    <w:tmpl w:val="DD06D33E"/>
    <w:lvl w:ilvl="0" w:tplc="CB20027E">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15:restartNumberingAfterBreak="0">
    <w:nsid w:val="343F09FB"/>
    <w:multiLevelType w:val="hybridMultilevel"/>
    <w:tmpl w:val="66AA0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D17B4A"/>
    <w:multiLevelType w:val="hybridMultilevel"/>
    <w:tmpl w:val="A598249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 w15:restartNumberingAfterBreak="0">
    <w:nsid w:val="437E0B4C"/>
    <w:multiLevelType w:val="hybridMultilevel"/>
    <w:tmpl w:val="638C5802"/>
    <w:lvl w:ilvl="0" w:tplc="30C45F0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5" w15:restartNumberingAfterBreak="0">
    <w:nsid w:val="48733540"/>
    <w:multiLevelType w:val="hybridMultilevel"/>
    <w:tmpl w:val="6838BE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A36BE8"/>
    <w:multiLevelType w:val="hybridMultilevel"/>
    <w:tmpl w:val="B2D2D0B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15:restartNumberingAfterBreak="0">
    <w:nsid w:val="495055FE"/>
    <w:multiLevelType w:val="hybridMultilevel"/>
    <w:tmpl w:val="BA92FF50"/>
    <w:lvl w:ilvl="0" w:tplc="EA927340">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 w15:restartNumberingAfterBreak="0">
    <w:nsid w:val="4FE121DB"/>
    <w:multiLevelType w:val="hybridMultilevel"/>
    <w:tmpl w:val="89FAAC50"/>
    <w:lvl w:ilvl="0" w:tplc="041C0001">
      <w:start w:val="1"/>
      <w:numFmt w:val="bullet"/>
      <w:lvlText w:val=""/>
      <w:lvlJc w:val="left"/>
      <w:pPr>
        <w:ind w:left="780" w:hanging="360"/>
      </w:pPr>
      <w:rPr>
        <w:rFonts w:ascii="Symbol" w:hAnsi="Symbol" w:hint="default"/>
      </w:rPr>
    </w:lvl>
    <w:lvl w:ilvl="1" w:tplc="041C0003" w:tentative="1">
      <w:start w:val="1"/>
      <w:numFmt w:val="bullet"/>
      <w:lvlText w:val="o"/>
      <w:lvlJc w:val="left"/>
      <w:pPr>
        <w:ind w:left="1500" w:hanging="360"/>
      </w:pPr>
      <w:rPr>
        <w:rFonts w:ascii="Courier New" w:hAnsi="Courier New" w:cs="Courier New" w:hint="default"/>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19" w15:restartNumberingAfterBreak="0">
    <w:nsid w:val="50C965A9"/>
    <w:multiLevelType w:val="hybridMultilevel"/>
    <w:tmpl w:val="B810EB02"/>
    <w:lvl w:ilvl="0" w:tplc="27F42408">
      <w:numFmt w:val="bullet"/>
      <w:lvlText w:val="-"/>
      <w:lvlJc w:val="left"/>
      <w:pPr>
        <w:ind w:left="720" w:hanging="360"/>
      </w:pPr>
      <w:rPr>
        <w:rFonts w:ascii="Times New Roman" w:eastAsiaTheme="minorHAnsi" w:hAnsi="Times New Roman" w:cs="Times New Roman" w:hint="default"/>
        <w:w w:val="105"/>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 w15:restartNumberingAfterBreak="0">
    <w:nsid w:val="577B6235"/>
    <w:multiLevelType w:val="hybridMultilevel"/>
    <w:tmpl w:val="DA940CC6"/>
    <w:lvl w:ilvl="0" w:tplc="041C0001">
      <w:start w:val="1"/>
      <w:numFmt w:val="bullet"/>
      <w:lvlText w:val=""/>
      <w:lvlJc w:val="left"/>
      <w:pPr>
        <w:ind w:left="780" w:hanging="360"/>
      </w:pPr>
      <w:rPr>
        <w:rFonts w:ascii="Symbol" w:hAnsi="Symbol" w:hint="default"/>
      </w:rPr>
    </w:lvl>
    <w:lvl w:ilvl="1" w:tplc="C9D20992">
      <w:numFmt w:val="bullet"/>
      <w:lvlText w:val="-"/>
      <w:lvlJc w:val="left"/>
      <w:pPr>
        <w:ind w:left="1500" w:hanging="360"/>
      </w:pPr>
      <w:rPr>
        <w:rFonts w:ascii="Times New Roman" w:eastAsiaTheme="minorHAnsi" w:hAnsi="Times New Roman" w:cs="Times New Roman" w:hint="default"/>
        <w:color w:val="auto"/>
        <w:w w:val="105"/>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21" w15:restartNumberingAfterBreak="0">
    <w:nsid w:val="5BD77F50"/>
    <w:multiLevelType w:val="hybridMultilevel"/>
    <w:tmpl w:val="6ABACB78"/>
    <w:lvl w:ilvl="0" w:tplc="4ED22B8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2" w15:restartNumberingAfterBreak="0">
    <w:nsid w:val="7B5843CD"/>
    <w:multiLevelType w:val="hybridMultilevel"/>
    <w:tmpl w:val="93D4A512"/>
    <w:lvl w:ilvl="0" w:tplc="1382DB38">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3" w15:restartNumberingAfterBreak="0">
    <w:nsid w:val="7C80059D"/>
    <w:multiLevelType w:val="hybridMultilevel"/>
    <w:tmpl w:val="8346A3DE"/>
    <w:lvl w:ilvl="0" w:tplc="53F42F42">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5"/>
  </w:num>
  <w:num w:numId="2">
    <w:abstractNumId w:val="16"/>
  </w:num>
  <w:num w:numId="3">
    <w:abstractNumId w:val="3"/>
  </w:num>
  <w:num w:numId="4">
    <w:abstractNumId w:val="10"/>
  </w:num>
  <w:num w:numId="5">
    <w:abstractNumId w:val="22"/>
  </w:num>
  <w:num w:numId="6">
    <w:abstractNumId w:val="5"/>
  </w:num>
  <w:num w:numId="7">
    <w:abstractNumId w:val="17"/>
  </w:num>
  <w:num w:numId="8">
    <w:abstractNumId w:val="4"/>
  </w:num>
  <w:num w:numId="9">
    <w:abstractNumId w:val="0"/>
  </w:num>
  <w:num w:numId="10">
    <w:abstractNumId w:val="20"/>
  </w:num>
  <w:num w:numId="11">
    <w:abstractNumId w:val="19"/>
  </w:num>
  <w:num w:numId="12">
    <w:abstractNumId w:val="6"/>
  </w:num>
  <w:num w:numId="13">
    <w:abstractNumId w:val="9"/>
  </w:num>
  <w:num w:numId="14">
    <w:abstractNumId w:val="14"/>
  </w:num>
  <w:num w:numId="15">
    <w:abstractNumId w:val="21"/>
  </w:num>
  <w:num w:numId="16">
    <w:abstractNumId w:val="11"/>
  </w:num>
  <w:num w:numId="17">
    <w:abstractNumId w:val="23"/>
  </w:num>
  <w:num w:numId="18">
    <w:abstractNumId w:val="12"/>
  </w:num>
  <w:num w:numId="19">
    <w:abstractNumId w:val="18"/>
  </w:num>
  <w:num w:numId="20">
    <w:abstractNumId w:val="7"/>
  </w:num>
  <w:num w:numId="21">
    <w:abstractNumId w:val="2"/>
  </w:num>
  <w:num w:numId="22">
    <w:abstractNumId w:val="13"/>
  </w:num>
  <w:num w:numId="23">
    <w:abstractNumId w:val="1"/>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5DB"/>
    <w:rsid w:val="00005C6F"/>
    <w:rsid w:val="00007948"/>
    <w:rsid w:val="0001371B"/>
    <w:rsid w:val="00013F99"/>
    <w:rsid w:val="00013FC1"/>
    <w:rsid w:val="0001705C"/>
    <w:rsid w:val="00017F55"/>
    <w:rsid w:val="00020115"/>
    <w:rsid w:val="000224FD"/>
    <w:rsid w:val="000225F5"/>
    <w:rsid w:val="00022B06"/>
    <w:rsid w:val="000278AC"/>
    <w:rsid w:val="00027E1F"/>
    <w:rsid w:val="00030181"/>
    <w:rsid w:val="00032ACF"/>
    <w:rsid w:val="00037E73"/>
    <w:rsid w:val="00044096"/>
    <w:rsid w:val="00044C1F"/>
    <w:rsid w:val="00051513"/>
    <w:rsid w:val="00055B91"/>
    <w:rsid w:val="0005725B"/>
    <w:rsid w:val="00062B6C"/>
    <w:rsid w:val="00062F7F"/>
    <w:rsid w:val="0007298B"/>
    <w:rsid w:val="000729FB"/>
    <w:rsid w:val="00073681"/>
    <w:rsid w:val="00082B98"/>
    <w:rsid w:val="00083230"/>
    <w:rsid w:val="00091EE7"/>
    <w:rsid w:val="000A08B2"/>
    <w:rsid w:val="000A0B41"/>
    <w:rsid w:val="000C05DF"/>
    <w:rsid w:val="000C0CFC"/>
    <w:rsid w:val="000C1BC4"/>
    <w:rsid w:val="000C7182"/>
    <w:rsid w:val="000D0397"/>
    <w:rsid w:val="000D0F13"/>
    <w:rsid w:val="000D1518"/>
    <w:rsid w:val="000D476A"/>
    <w:rsid w:val="000D6847"/>
    <w:rsid w:val="000D6F14"/>
    <w:rsid w:val="000E127F"/>
    <w:rsid w:val="000E3E8D"/>
    <w:rsid w:val="000E4797"/>
    <w:rsid w:val="000E5355"/>
    <w:rsid w:val="000F121E"/>
    <w:rsid w:val="000F417A"/>
    <w:rsid w:val="0010178D"/>
    <w:rsid w:val="001043AA"/>
    <w:rsid w:val="001049FD"/>
    <w:rsid w:val="00106FBF"/>
    <w:rsid w:val="001075BB"/>
    <w:rsid w:val="001113F8"/>
    <w:rsid w:val="00114DD0"/>
    <w:rsid w:val="001156F1"/>
    <w:rsid w:val="00121DB5"/>
    <w:rsid w:val="00125D8E"/>
    <w:rsid w:val="001315C1"/>
    <w:rsid w:val="001325AF"/>
    <w:rsid w:val="00132AD7"/>
    <w:rsid w:val="001336E2"/>
    <w:rsid w:val="001356DB"/>
    <w:rsid w:val="001424BF"/>
    <w:rsid w:val="001432F5"/>
    <w:rsid w:val="00143A0C"/>
    <w:rsid w:val="001501FF"/>
    <w:rsid w:val="0016140E"/>
    <w:rsid w:val="00162EC4"/>
    <w:rsid w:val="00167292"/>
    <w:rsid w:val="00176BBD"/>
    <w:rsid w:val="0018119B"/>
    <w:rsid w:val="00181B37"/>
    <w:rsid w:val="00181D50"/>
    <w:rsid w:val="00184409"/>
    <w:rsid w:val="001858C3"/>
    <w:rsid w:val="00191634"/>
    <w:rsid w:val="001A2BA8"/>
    <w:rsid w:val="001A79AF"/>
    <w:rsid w:val="001B134B"/>
    <w:rsid w:val="001B6D41"/>
    <w:rsid w:val="001B7CF3"/>
    <w:rsid w:val="001C1147"/>
    <w:rsid w:val="001E2085"/>
    <w:rsid w:val="001E3542"/>
    <w:rsid w:val="001F4CD5"/>
    <w:rsid w:val="00202011"/>
    <w:rsid w:val="0020553B"/>
    <w:rsid w:val="002063FE"/>
    <w:rsid w:val="0021115C"/>
    <w:rsid w:val="002129CF"/>
    <w:rsid w:val="00215C02"/>
    <w:rsid w:val="002176D7"/>
    <w:rsid w:val="002202CB"/>
    <w:rsid w:val="00223BB0"/>
    <w:rsid w:val="0022618D"/>
    <w:rsid w:val="00231161"/>
    <w:rsid w:val="00233BAB"/>
    <w:rsid w:val="002359AF"/>
    <w:rsid w:val="00237CB2"/>
    <w:rsid w:val="00240C54"/>
    <w:rsid w:val="00240E91"/>
    <w:rsid w:val="00243068"/>
    <w:rsid w:val="00244B19"/>
    <w:rsid w:val="00244D0F"/>
    <w:rsid w:val="002626BB"/>
    <w:rsid w:val="00262768"/>
    <w:rsid w:val="00262C8A"/>
    <w:rsid w:val="00266214"/>
    <w:rsid w:val="00275863"/>
    <w:rsid w:val="00275F33"/>
    <w:rsid w:val="00283031"/>
    <w:rsid w:val="00286E87"/>
    <w:rsid w:val="0029415F"/>
    <w:rsid w:val="002A1841"/>
    <w:rsid w:val="002A28DD"/>
    <w:rsid w:val="002A4484"/>
    <w:rsid w:val="002B2319"/>
    <w:rsid w:val="002B42ED"/>
    <w:rsid w:val="002B6674"/>
    <w:rsid w:val="002C0BF7"/>
    <w:rsid w:val="002D21E8"/>
    <w:rsid w:val="002D28BD"/>
    <w:rsid w:val="002D47BF"/>
    <w:rsid w:val="002D6F17"/>
    <w:rsid w:val="002E049D"/>
    <w:rsid w:val="002E203D"/>
    <w:rsid w:val="002E30A1"/>
    <w:rsid w:val="002E3E9A"/>
    <w:rsid w:val="002E40A6"/>
    <w:rsid w:val="002E57A2"/>
    <w:rsid w:val="002F1E84"/>
    <w:rsid w:val="002F495E"/>
    <w:rsid w:val="002F56DF"/>
    <w:rsid w:val="00310428"/>
    <w:rsid w:val="00312A26"/>
    <w:rsid w:val="00321277"/>
    <w:rsid w:val="00323548"/>
    <w:rsid w:val="00327E49"/>
    <w:rsid w:val="003305FA"/>
    <w:rsid w:val="0033383F"/>
    <w:rsid w:val="003345F5"/>
    <w:rsid w:val="00335564"/>
    <w:rsid w:val="00342BAE"/>
    <w:rsid w:val="00343599"/>
    <w:rsid w:val="00343D14"/>
    <w:rsid w:val="0034558C"/>
    <w:rsid w:val="00351908"/>
    <w:rsid w:val="003556E0"/>
    <w:rsid w:val="003557DA"/>
    <w:rsid w:val="00373D67"/>
    <w:rsid w:val="003802C5"/>
    <w:rsid w:val="00380CE5"/>
    <w:rsid w:val="00382072"/>
    <w:rsid w:val="00384791"/>
    <w:rsid w:val="00384A0F"/>
    <w:rsid w:val="003918EF"/>
    <w:rsid w:val="00391D0F"/>
    <w:rsid w:val="00393AEF"/>
    <w:rsid w:val="00393D81"/>
    <w:rsid w:val="003962DE"/>
    <w:rsid w:val="00397B89"/>
    <w:rsid w:val="003A0A79"/>
    <w:rsid w:val="003A2151"/>
    <w:rsid w:val="003A2FD5"/>
    <w:rsid w:val="003A32B7"/>
    <w:rsid w:val="003A3D56"/>
    <w:rsid w:val="003A751C"/>
    <w:rsid w:val="003C3B41"/>
    <w:rsid w:val="003C51DC"/>
    <w:rsid w:val="003C57D3"/>
    <w:rsid w:val="003D23B3"/>
    <w:rsid w:val="003D6B2B"/>
    <w:rsid w:val="003E08F3"/>
    <w:rsid w:val="003E193B"/>
    <w:rsid w:val="003E2A5C"/>
    <w:rsid w:val="003E3131"/>
    <w:rsid w:val="003E334D"/>
    <w:rsid w:val="003E39E2"/>
    <w:rsid w:val="003E3F68"/>
    <w:rsid w:val="003E53A6"/>
    <w:rsid w:val="003E6C60"/>
    <w:rsid w:val="003F623E"/>
    <w:rsid w:val="003F66F6"/>
    <w:rsid w:val="004029FA"/>
    <w:rsid w:val="00402A6A"/>
    <w:rsid w:val="00413F47"/>
    <w:rsid w:val="0042060E"/>
    <w:rsid w:val="004215B2"/>
    <w:rsid w:val="00430EDA"/>
    <w:rsid w:val="004354FA"/>
    <w:rsid w:val="0043625A"/>
    <w:rsid w:val="00440837"/>
    <w:rsid w:val="00441F4D"/>
    <w:rsid w:val="004530EE"/>
    <w:rsid w:val="0045672F"/>
    <w:rsid w:val="00457EDB"/>
    <w:rsid w:val="004615DB"/>
    <w:rsid w:val="00462270"/>
    <w:rsid w:val="00463738"/>
    <w:rsid w:val="0046513F"/>
    <w:rsid w:val="00477C33"/>
    <w:rsid w:val="00480E67"/>
    <w:rsid w:val="00480EEA"/>
    <w:rsid w:val="004819A5"/>
    <w:rsid w:val="004847B6"/>
    <w:rsid w:val="00485242"/>
    <w:rsid w:val="00491856"/>
    <w:rsid w:val="00493028"/>
    <w:rsid w:val="0049616C"/>
    <w:rsid w:val="004A3A52"/>
    <w:rsid w:val="004A5109"/>
    <w:rsid w:val="004B0605"/>
    <w:rsid w:val="004B13B2"/>
    <w:rsid w:val="004B79D3"/>
    <w:rsid w:val="004C36BB"/>
    <w:rsid w:val="004C430E"/>
    <w:rsid w:val="004C4CF2"/>
    <w:rsid w:val="004D1840"/>
    <w:rsid w:val="004D3D72"/>
    <w:rsid w:val="004D508B"/>
    <w:rsid w:val="004D62AE"/>
    <w:rsid w:val="004E0456"/>
    <w:rsid w:val="004E639B"/>
    <w:rsid w:val="004E7623"/>
    <w:rsid w:val="004E7E0E"/>
    <w:rsid w:val="004F08BE"/>
    <w:rsid w:val="00501097"/>
    <w:rsid w:val="00502636"/>
    <w:rsid w:val="0050328A"/>
    <w:rsid w:val="00505558"/>
    <w:rsid w:val="00505674"/>
    <w:rsid w:val="00513A51"/>
    <w:rsid w:val="00514B00"/>
    <w:rsid w:val="00520F52"/>
    <w:rsid w:val="005228B2"/>
    <w:rsid w:val="005228E2"/>
    <w:rsid w:val="00524B85"/>
    <w:rsid w:val="00526332"/>
    <w:rsid w:val="00533A29"/>
    <w:rsid w:val="00540968"/>
    <w:rsid w:val="00541D13"/>
    <w:rsid w:val="00544C44"/>
    <w:rsid w:val="00544ED5"/>
    <w:rsid w:val="00545007"/>
    <w:rsid w:val="005464CA"/>
    <w:rsid w:val="00546B87"/>
    <w:rsid w:val="00551654"/>
    <w:rsid w:val="00551A0C"/>
    <w:rsid w:val="00555F66"/>
    <w:rsid w:val="00556003"/>
    <w:rsid w:val="00556EBC"/>
    <w:rsid w:val="00564D41"/>
    <w:rsid w:val="00566A66"/>
    <w:rsid w:val="00567336"/>
    <w:rsid w:val="005675CA"/>
    <w:rsid w:val="00567814"/>
    <w:rsid w:val="00592A0A"/>
    <w:rsid w:val="00595D7E"/>
    <w:rsid w:val="00597F1B"/>
    <w:rsid w:val="005A4BF2"/>
    <w:rsid w:val="005A6A5B"/>
    <w:rsid w:val="005B4F54"/>
    <w:rsid w:val="005C0232"/>
    <w:rsid w:val="005C275E"/>
    <w:rsid w:val="005C443B"/>
    <w:rsid w:val="005C7FD6"/>
    <w:rsid w:val="005D008B"/>
    <w:rsid w:val="005D2C27"/>
    <w:rsid w:val="005D2EA7"/>
    <w:rsid w:val="005D79C0"/>
    <w:rsid w:val="005E0B16"/>
    <w:rsid w:val="005E3C64"/>
    <w:rsid w:val="005E4979"/>
    <w:rsid w:val="005F08C5"/>
    <w:rsid w:val="005F7BAE"/>
    <w:rsid w:val="00600647"/>
    <w:rsid w:val="00606A64"/>
    <w:rsid w:val="00611AFD"/>
    <w:rsid w:val="00612758"/>
    <w:rsid w:val="006236C3"/>
    <w:rsid w:val="00630061"/>
    <w:rsid w:val="00630EA6"/>
    <w:rsid w:val="006344E9"/>
    <w:rsid w:val="00635067"/>
    <w:rsid w:val="00660B59"/>
    <w:rsid w:val="006619B4"/>
    <w:rsid w:val="0066462F"/>
    <w:rsid w:val="00664CC2"/>
    <w:rsid w:val="00666637"/>
    <w:rsid w:val="006672E6"/>
    <w:rsid w:val="0067489C"/>
    <w:rsid w:val="0067607A"/>
    <w:rsid w:val="00680190"/>
    <w:rsid w:val="00684857"/>
    <w:rsid w:val="00686471"/>
    <w:rsid w:val="006870DA"/>
    <w:rsid w:val="00687937"/>
    <w:rsid w:val="00695534"/>
    <w:rsid w:val="00695EFD"/>
    <w:rsid w:val="006A1126"/>
    <w:rsid w:val="006A771F"/>
    <w:rsid w:val="006B27CE"/>
    <w:rsid w:val="006B2B4C"/>
    <w:rsid w:val="006B2FE1"/>
    <w:rsid w:val="006B790D"/>
    <w:rsid w:val="006C2AEE"/>
    <w:rsid w:val="006D3004"/>
    <w:rsid w:val="006D6CF7"/>
    <w:rsid w:val="006E5794"/>
    <w:rsid w:val="006F2FA3"/>
    <w:rsid w:val="006F4ADE"/>
    <w:rsid w:val="006F6C44"/>
    <w:rsid w:val="00700DFF"/>
    <w:rsid w:val="00702A04"/>
    <w:rsid w:val="0070337B"/>
    <w:rsid w:val="00704D02"/>
    <w:rsid w:val="007064AB"/>
    <w:rsid w:val="00706557"/>
    <w:rsid w:val="00707C51"/>
    <w:rsid w:val="007134F3"/>
    <w:rsid w:val="0071531C"/>
    <w:rsid w:val="00717DD1"/>
    <w:rsid w:val="00721911"/>
    <w:rsid w:val="00721F94"/>
    <w:rsid w:val="00722A76"/>
    <w:rsid w:val="007259CC"/>
    <w:rsid w:val="007312D6"/>
    <w:rsid w:val="007427F3"/>
    <w:rsid w:val="00750776"/>
    <w:rsid w:val="00752319"/>
    <w:rsid w:val="00757B31"/>
    <w:rsid w:val="00761637"/>
    <w:rsid w:val="00761C31"/>
    <w:rsid w:val="00761C60"/>
    <w:rsid w:val="00761F57"/>
    <w:rsid w:val="007832F6"/>
    <w:rsid w:val="00783CAA"/>
    <w:rsid w:val="007841E1"/>
    <w:rsid w:val="00784660"/>
    <w:rsid w:val="007850C4"/>
    <w:rsid w:val="0078612B"/>
    <w:rsid w:val="00786E43"/>
    <w:rsid w:val="0078764B"/>
    <w:rsid w:val="0078778A"/>
    <w:rsid w:val="0079170F"/>
    <w:rsid w:val="00794562"/>
    <w:rsid w:val="0079748A"/>
    <w:rsid w:val="007A1453"/>
    <w:rsid w:val="007A24F8"/>
    <w:rsid w:val="007A4144"/>
    <w:rsid w:val="007A54D2"/>
    <w:rsid w:val="007A6000"/>
    <w:rsid w:val="007A744F"/>
    <w:rsid w:val="007B6844"/>
    <w:rsid w:val="007B7A9E"/>
    <w:rsid w:val="007C05DC"/>
    <w:rsid w:val="007C0DC8"/>
    <w:rsid w:val="007C1E4A"/>
    <w:rsid w:val="007C4883"/>
    <w:rsid w:val="007C6F84"/>
    <w:rsid w:val="007F04D3"/>
    <w:rsid w:val="007F16F8"/>
    <w:rsid w:val="007F1C28"/>
    <w:rsid w:val="007F2061"/>
    <w:rsid w:val="007F43C4"/>
    <w:rsid w:val="007F750C"/>
    <w:rsid w:val="008010B2"/>
    <w:rsid w:val="00802041"/>
    <w:rsid w:val="00802244"/>
    <w:rsid w:val="00803B7B"/>
    <w:rsid w:val="00804B36"/>
    <w:rsid w:val="00807BC6"/>
    <w:rsid w:val="00813AD7"/>
    <w:rsid w:val="00814941"/>
    <w:rsid w:val="00821505"/>
    <w:rsid w:val="0082316D"/>
    <w:rsid w:val="00824042"/>
    <w:rsid w:val="00824A4B"/>
    <w:rsid w:val="008258AB"/>
    <w:rsid w:val="00827BC7"/>
    <w:rsid w:val="00831CD1"/>
    <w:rsid w:val="00833B9B"/>
    <w:rsid w:val="00841A15"/>
    <w:rsid w:val="00847CF0"/>
    <w:rsid w:val="00851363"/>
    <w:rsid w:val="00851711"/>
    <w:rsid w:val="00852454"/>
    <w:rsid w:val="00854276"/>
    <w:rsid w:val="00856F1E"/>
    <w:rsid w:val="00857954"/>
    <w:rsid w:val="00862566"/>
    <w:rsid w:val="00863D55"/>
    <w:rsid w:val="008650FD"/>
    <w:rsid w:val="00867DF3"/>
    <w:rsid w:val="008713F3"/>
    <w:rsid w:val="00872A03"/>
    <w:rsid w:val="00881347"/>
    <w:rsid w:val="00883800"/>
    <w:rsid w:val="0088785E"/>
    <w:rsid w:val="00890D60"/>
    <w:rsid w:val="00892480"/>
    <w:rsid w:val="00897A30"/>
    <w:rsid w:val="008A400D"/>
    <w:rsid w:val="008A7044"/>
    <w:rsid w:val="008B35F7"/>
    <w:rsid w:val="008B6833"/>
    <w:rsid w:val="008B6B1A"/>
    <w:rsid w:val="008B74C4"/>
    <w:rsid w:val="008C2832"/>
    <w:rsid w:val="008C4109"/>
    <w:rsid w:val="008C42CC"/>
    <w:rsid w:val="008C498A"/>
    <w:rsid w:val="008C63A2"/>
    <w:rsid w:val="008C7273"/>
    <w:rsid w:val="008D114F"/>
    <w:rsid w:val="008D3DD2"/>
    <w:rsid w:val="008D41C9"/>
    <w:rsid w:val="008D54B5"/>
    <w:rsid w:val="008D5CDA"/>
    <w:rsid w:val="008D7A71"/>
    <w:rsid w:val="008E13AA"/>
    <w:rsid w:val="008E2C2A"/>
    <w:rsid w:val="008F0F64"/>
    <w:rsid w:val="008F16D6"/>
    <w:rsid w:val="008F3C04"/>
    <w:rsid w:val="008F3C44"/>
    <w:rsid w:val="008F5EF5"/>
    <w:rsid w:val="008F668F"/>
    <w:rsid w:val="008F6781"/>
    <w:rsid w:val="009051F4"/>
    <w:rsid w:val="00911575"/>
    <w:rsid w:val="0092415F"/>
    <w:rsid w:val="009256DD"/>
    <w:rsid w:val="0094122A"/>
    <w:rsid w:val="00946A54"/>
    <w:rsid w:val="00946C72"/>
    <w:rsid w:val="00950744"/>
    <w:rsid w:val="0095624F"/>
    <w:rsid w:val="009571C2"/>
    <w:rsid w:val="00960704"/>
    <w:rsid w:val="00960B17"/>
    <w:rsid w:val="00964622"/>
    <w:rsid w:val="009700C5"/>
    <w:rsid w:val="00971602"/>
    <w:rsid w:val="00984769"/>
    <w:rsid w:val="0098506C"/>
    <w:rsid w:val="009854D5"/>
    <w:rsid w:val="00992C48"/>
    <w:rsid w:val="00993F35"/>
    <w:rsid w:val="00995CC4"/>
    <w:rsid w:val="0099713F"/>
    <w:rsid w:val="009A0CB1"/>
    <w:rsid w:val="009A67C9"/>
    <w:rsid w:val="009A734A"/>
    <w:rsid w:val="009B3A7B"/>
    <w:rsid w:val="009B6083"/>
    <w:rsid w:val="009D0BB6"/>
    <w:rsid w:val="009D3A41"/>
    <w:rsid w:val="009D5991"/>
    <w:rsid w:val="009D76B9"/>
    <w:rsid w:val="009E1F39"/>
    <w:rsid w:val="009E3C1B"/>
    <w:rsid w:val="009E6CA9"/>
    <w:rsid w:val="009E7F8D"/>
    <w:rsid w:val="009F1F17"/>
    <w:rsid w:val="009F5E40"/>
    <w:rsid w:val="00A02D9D"/>
    <w:rsid w:val="00A07E25"/>
    <w:rsid w:val="00A14187"/>
    <w:rsid w:val="00A14640"/>
    <w:rsid w:val="00A14720"/>
    <w:rsid w:val="00A16B59"/>
    <w:rsid w:val="00A16E2C"/>
    <w:rsid w:val="00A215AB"/>
    <w:rsid w:val="00A22178"/>
    <w:rsid w:val="00A241B8"/>
    <w:rsid w:val="00A3090A"/>
    <w:rsid w:val="00A503B4"/>
    <w:rsid w:val="00A5392D"/>
    <w:rsid w:val="00A558AE"/>
    <w:rsid w:val="00A564E2"/>
    <w:rsid w:val="00A626BB"/>
    <w:rsid w:val="00A6387B"/>
    <w:rsid w:val="00A67678"/>
    <w:rsid w:val="00A67A4B"/>
    <w:rsid w:val="00A74915"/>
    <w:rsid w:val="00A755F6"/>
    <w:rsid w:val="00A854F0"/>
    <w:rsid w:val="00A86E2D"/>
    <w:rsid w:val="00A87823"/>
    <w:rsid w:val="00A92792"/>
    <w:rsid w:val="00A94DF9"/>
    <w:rsid w:val="00A96323"/>
    <w:rsid w:val="00A97D69"/>
    <w:rsid w:val="00AA09BC"/>
    <w:rsid w:val="00AA0C18"/>
    <w:rsid w:val="00AA33CA"/>
    <w:rsid w:val="00AA33DD"/>
    <w:rsid w:val="00AB4EBC"/>
    <w:rsid w:val="00AB50B7"/>
    <w:rsid w:val="00AC035F"/>
    <w:rsid w:val="00AC116E"/>
    <w:rsid w:val="00AC28C6"/>
    <w:rsid w:val="00AC5B21"/>
    <w:rsid w:val="00AC764D"/>
    <w:rsid w:val="00AC7D5A"/>
    <w:rsid w:val="00AD526B"/>
    <w:rsid w:val="00AD5761"/>
    <w:rsid w:val="00AD67B1"/>
    <w:rsid w:val="00AD7DFE"/>
    <w:rsid w:val="00AE3363"/>
    <w:rsid w:val="00AE413A"/>
    <w:rsid w:val="00AE5AB4"/>
    <w:rsid w:val="00AE6DAB"/>
    <w:rsid w:val="00AF1CA2"/>
    <w:rsid w:val="00AF5A5B"/>
    <w:rsid w:val="00AF78C9"/>
    <w:rsid w:val="00B03133"/>
    <w:rsid w:val="00B074F2"/>
    <w:rsid w:val="00B07B19"/>
    <w:rsid w:val="00B1268D"/>
    <w:rsid w:val="00B14DA6"/>
    <w:rsid w:val="00B1678C"/>
    <w:rsid w:val="00B22C15"/>
    <w:rsid w:val="00B242A8"/>
    <w:rsid w:val="00B35261"/>
    <w:rsid w:val="00B41476"/>
    <w:rsid w:val="00B52376"/>
    <w:rsid w:val="00B53958"/>
    <w:rsid w:val="00B53DAC"/>
    <w:rsid w:val="00B542F0"/>
    <w:rsid w:val="00B645D1"/>
    <w:rsid w:val="00B65D03"/>
    <w:rsid w:val="00B71AED"/>
    <w:rsid w:val="00B750FF"/>
    <w:rsid w:val="00B7731C"/>
    <w:rsid w:val="00B77321"/>
    <w:rsid w:val="00B7748B"/>
    <w:rsid w:val="00B826D3"/>
    <w:rsid w:val="00B85B4C"/>
    <w:rsid w:val="00B91916"/>
    <w:rsid w:val="00B91EE6"/>
    <w:rsid w:val="00B93967"/>
    <w:rsid w:val="00B96BF9"/>
    <w:rsid w:val="00BA2D77"/>
    <w:rsid w:val="00BA7E66"/>
    <w:rsid w:val="00BB1D27"/>
    <w:rsid w:val="00BB4C3C"/>
    <w:rsid w:val="00BB5EC4"/>
    <w:rsid w:val="00BC2A76"/>
    <w:rsid w:val="00BD168B"/>
    <w:rsid w:val="00BD592D"/>
    <w:rsid w:val="00BD5A4B"/>
    <w:rsid w:val="00BF0A3E"/>
    <w:rsid w:val="00BF1682"/>
    <w:rsid w:val="00BF3D89"/>
    <w:rsid w:val="00C011E1"/>
    <w:rsid w:val="00C01267"/>
    <w:rsid w:val="00C01362"/>
    <w:rsid w:val="00C15B46"/>
    <w:rsid w:val="00C2107A"/>
    <w:rsid w:val="00C22617"/>
    <w:rsid w:val="00C277DC"/>
    <w:rsid w:val="00C310C5"/>
    <w:rsid w:val="00C3396C"/>
    <w:rsid w:val="00C34368"/>
    <w:rsid w:val="00C356CF"/>
    <w:rsid w:val="00C35AFC"/>
    <w:rsid w:val="00C42220"/>
    <w:rsid w:val="00C440CA"/>
    <w:rsid w:val="00C46623"/>
    <w:rsid w:val="00C50843"/>
    <w:rsid w:val="00C569D5"/>
    <w:rsid w:val="00C65542"/>
    <w:rsid w:val="00C70893"/>
    <w:rsid w:val="00C829DC"/>
    <w:rsid w:val="00C86383"/>
    <w:rsid w:val="00C9434B"/>
    <w:rsid w:val="00C950EB"/>
    <w:rsid w:val="00C95C91"/>
    <w:rsid w:val="00C96F2B"/>
    <w:rsid w:val="00CA0814"/>
    <w:rsid w:val="00CA0EBE"/>
    <w:rsid w:val="00CA57B6"/>
    <w:rsid w:val="00CB1F79"/>
    <w:rsid w:val="00CC6F24"/>
    <w:rsid w:val="00CD31B5"/>
    <w:rsid w:val="00CD3633"/>
    <w:rsid w:val="00CD48BD"/>
    <w:rsid w:val="00CE032B"/>
    <w:rsid w:val="00CE0964"/>
    <w:rsid w:val="00CE0B9A"/>
    <w:rsid w:val="00CE0CCB"/>
    <w:rsid w:val="00CE5869"/>
    <w:rsid w:val="00CE6F13"/>
    <w:rsid w:val="00D05C90"/>
    <w:rsid w:val="00D0709B"/>
    <w:rsid w:val="00D121EC"/>
    <w:rsid w:val="00D17929"/>
    <w:rsid w:val="00D2027A"/>
    <w:rsid w:val="00D22C59"/>
    <w:rsid w:val="00D27092"/>
    <w:rsid w:val="00D31426"/>
    <w:rsid w:val="00D31E4D"/>
    <w:rsid w:val="00D332B5"/>
    <w:rsid w:val="00D34AAF"/>
    <w:rsid w:val="00D40BD5"/>
    <w:rsid w:val="00D44DC4"/>
    <w:rsid w:val="00D4668A"/>
    <w:rsid w:val="00D57B3A"/>
    <w:rsid w:val="00D600F3"/>
    <w:rsid w:val="00D621BE"/>
    <w:rsid w:val="00D62BE5"/>
    <w:rsid w:val="00D66EB0"/>
    <w:rsid w:val="00D704A8"/>
    <w:rsid w:val="00D719E7"/>
    <w:rsid w:val="00D823E2"/>
    <w:rsid w:val="00D84BF4"/>
    <w:rsid w:val="00D864D2"/>
    <w:rsid w:val="00D874FB"/>
    <w:rsid w:val="00D90262"/>
    <w:rsid w:val="00D91041"/>
    <w:rsid w:val="00D9402D"/>
    <w:rsid w:val="00D94954"/>
    <w:rsid w:val="00D978B9"/>
    <w:rsid w:val="00DA5786"/>
    <w:rsid w:val="00DB28BF"/>
    <w:rsid w:val="00DB3852"/>
    <w:rsid w:val="00DB5ECD"/>
    <w:rsid w:val="00DB7E09"/>
    <w:rsid w:val="00DC57B4"/>
    <w:rsid w:val="00DD32F3"/>
    <w:rsid w:val="00DD3DDE"/>
    <w:rsid w:val="00DD473E"/>
    <w:rsid w:val="00DE3466"/>
    <w:rsid w:val="00DF0BAA"/>
    <w:rsid w:val="00DF1BC6"/>
    <w:rsid w:val="00DF6555"/>
    <w:rsid w:val="00DF6CD2"/>
    <w:rsid w:val="00E01793"/>
    <w:rsid w:val="00E02D8F"/>
    <w:rsid w:val="00E03371"/>
    <w:rsid w:val="00E042C2"/>
    <w:rsid w:val="00E06BA5"/>
    <w:rsid w:val="00E118AE"/>
    <w:rsid w:val="00E12C4C"/>
    <w:rsid w:val="00E16E23"/>
    <w:rsid w:val="00E24099"/>
    <w:rsid w:val="00E26211"/>
    <w:rsid w:val="00E318C7"/>
    <w:rsid w:val="00E33AAA"/>
    <w:rsid w:val="00E34C07"/>
    <w:rsid w:val="00E36067"/>
    <w:rsid w:val="00E442DC"/>
    <w:rsid w:val="00E51DFA"/>
    <w:rsid w:val="00E51E75"/>
    <w:rsid w:val="00E62137"/>
    <w:rsid w:val="00E67822"/>
    <w:rsid w:val="00E71C84"/>
    <w:rsid w:val="00E72235"/>
    <w:rsid w:val="00E73CAD"/>
    <w:rsid w:val="00E741E6"/>
    <w:rsid w:val="00E749F1"/>
    <w:rsid w:val="00E76633"/>
    <w:rsid w:val="00E7684C"/>
    <w:rsid w:val="00E77892"/>
    <w:rsid w:val="00E778F6"/>
    <w:rsid w:val="00E8339C"/>
    <w:rsid w:val="00E83982"/>
    <w:rsid w:val="00E849E5"/>
    <w:rsid w:val="00E868B3"/>
    <w:rsid w:val="00E875A3"/>
    <w:rsid w:val="00E926CD"/>
    <w:rsid w:val="00E93BD9"/>
    <w:rsid w:val="00E9426A"/>
    <w:rsid w:val="00E945D4"/>
    <w:rsid w:val="00EA15E5"/>
    <w:rsid w:val="00EA7B60"/>
    <w:rsid w:val="00EB31F6"/>
    <w:rsid w:val="00EB4EE4"/>
    <w:rsid w:val="00EB5365"/>
    <w:rsid w:val="00EB62DE"/>
    <w:rsid w:val="00EC0024"/>
    <w:rsid w:val="00ED4C45"/>
    <w:rsid w:val="00ED5AEE"/>
    <w:rsid w:val="00ED668D"/>
    <w:rsid w:val="00EE1FA6"/>
    <w:rsid w:val="00EE4C8B"/>
    <w:rsid w:val="00EE6A25"/>
    <w:rsid w:val="00EF5EAC"/>
    <w:rsid w:val="00EF6235"/>
    <w:rsid w:val="00F05169"/>
    <w:rsid w:val="00F0526E"/>
    <w:rsid w:val="00F05EA7"/>
    <w:rsid w:val="00F142C1"/>
    <w:rsid w:val="00F14530"/>
    <w:rsid w:val="00F1525A"/>
    <w:rsid w:val="00F23A22"/>
    <w:rsid w:val="00F261B9"/>
    <w:rsid w:val="00F3246E"/>
    <w:rsid w:val="00F32B61"/>
    <w:rsid w:val="00F37FAF"/>
    <w:rsid w:val="00F4148E"/>
    <w:rsid w:val="00F42E3E"/>
    <w:rsid w:val="00F43580"/>
    <w:rsid w:val="00F454F1"/>
    <w:rsid w:val="00F45BC9"/>
    <w:rsid w:val="00F466D7"/>
    <w:rsid w:val="00F5324C"/>
    <w:rsid w:val="00F55436"/>
    <w:rsid w:val="00F5634D"/>
    <w:rsid w:val="00F65C99"/>
    <w:rsid w:val="00F66992"/>
    <w:rsid w:val="00F671EE"/>
    <w:rsid w:val="00F701B3"/>
    <w:rsid w:val="00F7343F"/>
    <w:rsid w:val="00F779F7"/>
    <w:rsid w:val="00F82F68"/>
    <w:rsid w:val="00F83F05"/>
    <w:rsid w:val="00F86A50"/>
    <w:rsid w:val="00F9446E"/>
    <w:rsid w:val="00F94822"/>
    <w:rsid w:val="00F9485F"/>
    <w:rsid w:val="00F960FE"/>
    <w:rsid w:val="00F9796E"/>
    <w:rsid w:val="00F97CB9"/>
    <w:rsid w:val="00FA278D"/>
    <w:rsid w:val="00FB2B6A"/>
    <w:rsid w:val="00FB340F"/>
    <w:rsid w:val="00FB4761"/>
    <w:rsid w:val="00FC6348"/>
    <w:rsid w:val="00FC7FD0"/>
    <w:rsid w:val="00FD2B25"/>
    <w:rsid w:val="00FD2BF4"/>
    <w:rsid w:val="00FD2D67"/>
    <w:rsid w:val="00FE013B"/>
    <w:rsid w:val="00FE336A"/>
    <w:rsid w:val="00FF6E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8FD33"/>
  <w15:docId w15:val="{84212E49-5FE0-48C5-9689-FDCE607A8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615DB"/>
    <w:rPr>
      <w:lang w:val="sq-AL"/>
    </w:rPr>
  </w:style>
  <w:style w:type="paragraph" w:styleId="Heading2">
    <w:name w:val="heading 2"/>
    <w:basedOn w:val="Normal"/>
    <w:next w:val="Normal"/>
    <w:link w:val="Heading2Char"/>
    <w:qFormat/>
    <w:rsid w:val="004615DB"/>
    <w:pPr>
      <w:keepNext/>
      <w:spacing w:before="240" w:after="60" w:line="240" w:lineRule="auto"/>
      <w:outlineLvl w:val="1"/>
    </w:pPr>
    <w:rPr>
      <w:rFonts w:ascii="Arial" w:eastAsia="Times New Roman" w:hAnsi="Arial" w:cs="Arial"/>
      <w:b/>
      <w:bCs/>
      <w:i/>
      <w:iCs/>
      <w:sz w:val="28"/>
      <w:szCs w:val="28"/>
      <w:lang w:val="en-GB"/>
    </w:rPr>
  </w:style>
  <w:style w:type="paragraph" w:styleId="Heading3">
    <w:name w:val="heading 3"/>
    <w:basedOn w:val="Normal"/>
    <w:next w:val="Normal"/>
    <w:link w:val="Heading3Char"/>
    <w:uiPriority w:val="9"/>
    <w:semiHidden/>
    <w:unhideWhenUsed/>
    <w:qFormat/>
    <w:rsid w:val="00AA33D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1043AA"/>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615DB"/>
    <w:rPr>
      <w:rFonts w:ascii="Arial" w:eastAsia="Times New Roman" w:hAnsi="Arial" w:cs="Arial"/>
      <w:b/>
      <w:bCs/>
      <w:i/>
      <w:iCs/>
      <w:sz w:val="28"/>
      <w:szCs w:val="28"/>
      <w:lang w:val="en-GB"/>
    </w:rPr>
  </w:style>
  <w:style w:type="paragraph" w:styleId="ListParagraph">
    <w:name w:val="List Paragraph"/>
    <w:aliases w:val="List Paragraph (numbered (a))"/>
    <w:basedOn w:val="Normal"/>
    <w:link w:val="ListParagraphChar"/>
    <w:uiPriority w:val="1"/>
    <w:qFormat/>
    <w:rsid w:val="004615DB"/>
    <w:pPr>
      <w:ind w:left="720"/>
      <w:contextualSpacing/>
    </w:pPr>
  </w:style>
  <w:style w:type="paragraph" w:styleId="BodyText2">
    <w:name w:val="Body Text 2"/>
    <w:basedOn w:val="Normal"/>
    <w:link w:val="BodyText2Char"/>
    <w:rsid w:val="004615DB"/>
    <w:pPr>
      <w:spacing w:after="0" w:line="240" w:lineRule="auto"/>
      <w:ind w:right="10"/>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4615DB"/>
    <w:rPr>
      <w:rFonts w:ascii="Times New Roman" w:eastAsia="Times New Roman" w:hAnsi="Times New Roman" w:cs="Times New Roman"/>
      <w:sz w:val="24"/>
      <w:szCs w:val="24"/>
      <w:lang w:val="sq-AL"/>
    </w:rPr>
  </w:style>
  <w:style w:type="paragraph" w:styleId="NormalWeb">
    <w:name w:val="Normal (Web)"/>
    <w:basedOn w:val="Normal"/>
    <w:uiPriority w:val="99"/>
    <w:unhideWhenUsed/>
    <w:rsid w:val="004615D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C863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383"/>
    <w:rPr>
      <w:lang w:val="sq-AL"/>
    </w:rPr>
  </w:style>
  <w:style w:type="paragraph" w:styleId="Footer">
    <w:name w:val="footer"/>
    <w:basedOn w:val="Normal"/>
    <w:link w:val="FooterChar"/>
    <w:uiPriority w:val="99"/>
    <w:unhideWhenUsed/>
    <w:rsid w:val="00C863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383"/>
    <w:rPr>
      <w:lang w:val="sq-AL"/>
    </w:rPr>
  </w:style>
  <w:style w:type="paragraph" w:styleId="BalloonText">
    <w:name w:val="Balloon Text"/>
    <w:basedOn w:val="Normal"/>
    <w:link w:val="BalloonTextChar"/>
    <w:uiPriority w:val="99"/>
    <w:semiHidden/>
    <w:unhideWhenUsed/>
    <w:rsid w:val="00AF1C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1CA2"/>
    <w:rPr>
      <w:rFonts w:ascii="Segoe UI" w:hAnsi="Segoe UI" w:cs="Segoe UI"/>
      <w:sz w:val="18"/>
      <w:szCs w:val="18"/>
      <w:lang w:val="sq-AL"/>
    </w:rPr>
  </w:style>
  <w:style w:type="paragraph" w:styleId="BodyText">
    <w:name w:val="Body Text"/>
    <w:basedOn w:val="Normal"/>
    <w:link w:val="BodyTextChar"/>
    <w:uiPriority w:val="99"/>
    <w:unhideWhenUsed/>
    <w:rsid w:val="0092415F"/>
    <w:pPr>
      <w:spacing w:after="120"/>
    </w:pPr>
  </w:style>
  <w:style w:type="character" w:customStyle="1" w:styleId="BodyTextChar">
    <w:name w:val="Body Text Char"/>
    <w:basedOn w:val="DefaultParagraphFont"/>
    <w:link w:val="BodyText"/>
    <w:uiPriority w:val="99"/>
    <w:rsid w:val="0092415F"/>
    <w:rPr>
      <w:lang w:val="sq-AL"/>
    </w:rPr>
  </w:style>
  <w:style w:type="character" w:customStyle="1" w:styleId="Heading3Char">
    <w:name w:val="Heading 3 Char"/>
    <w:basedOn w:val="DefaultParagraphFont"/>
    <w:link w:val="Heading3"/>
    <w:uiPriority w:val="9"/>
    <w:semiHidden/>
    <w:rsid w:val="00AA33DD"/>
    <w:rPr>
      <w:rFonts w:asciiTheme="majorHAnsi" w:eastAsiaTheme="majorEastAsia" w:hAnsiTheme="majorHAnsi" w:cstheme="majorBidi"/>
      <w:color w:val="243F60" w:themeColor="accent1" w:themeShade="7F"/>
      <w:sz w:val="24"/>
      <w:szCs w:val="24"/>
      <w:lang w:val="sq-AL"/>
    </w:rPr>
  </w:style>
  <w:style w:type="character" w:customStyle="1" w:styleId="a">
    <w:name w:val="_"/>
    <w:rsid w:val="008D7A71"/>
  </w:style>
  <w:style w:type="character" w:styleId="CommentReference">
    <w:name w:val="annotation reference"/>
    <w:basedOn w:val="DefaultParagraphFont"/>
    <w:uiPriority w:val="99"/>
    <w:semiHidden/>
    <w:unhideWhenUsed/>
    <w:rsid w:val="00A87823"/>
    <w:rPr>
      <w:sz w:val="16"/>
      <w:szCs w:val="16"/>
    </w:rPr>
  </w:style>
  <w:style w:type="paragraph" w:styleId="CommentText">
    <w:name w:val="annotation text"/>
    <w:basedOn w:val="Normal"/>
    <w:link w:val="CommentTextChar"/>
    <w:uiPriority w:val="99"/>
    <w:semiHidden/>
    <w:unhideWhenUsed/>
    <w:rsid w:val="00A87823"/>
    <w:pPr>
      <w:spacing w:line="240" w:lineRule="auto"/>
    </w:pPr>
    <w:rPr>
      <w:sz w:val="20"/>
      <w:szCs w:val="20"/>
    </w:rPr>
  </w:style>
  <w:style w:type="character" w:customStyle="1" w:styleId="CommentTextChar">
    <w:name w:val="Comment Text Char"/>
    <w:basedOn w:val="DefaultParagraphFont"/>
    <w:link w:val="CommentText"/>
    <w:uiPriority w:val="99"/>
    <w:semiHidden/>
    <w:rsid w:val="00A87823"/>
    <w:rPr>
      <w:sz w:val="20"/>
      <w:szCs w:val="20"/>
      <w:lang w:val="sq-AL"/>
    </w:rPr>
  </w:style>
  <w:style w:type="paragraph" w:styleId="CommentSubject">
    <w:name w:val="annotation subject"/>
    <w:basedOn w:val="CommentText"/>
    <w:next w:val="CommentText"/>
    <w:link w:val="CommentSubjectChar"/>
    <w:uiPriority w:val="99"/>
    <w:semiHidden/>
    <w:unhideWhenUsed/>
    <w:rsid w:val="00A87823"/>
    <w:rPr>
      <w:b/>
      <w:bCs/>
    </w:rPr>
  </w:style>
  <w:style w:type="character" w:customStyle="1" w:styleId="CommentSubjectChar">
    <w:name w:val="Comment Subject Char"/>
    <w:basedOn w:val="CommentTextChar"/>
    <w:link w:val="CommentSubject"/>
    <w:uiPriority w:val="99"/>
    <w:semiHidden/>
    <w:rsid w:val="00A87823"/>
    <w:rPr>
      <w:b/>
      <w:bCs/>
      <w:sz w:val="20"/>
      <w:szCs w:val="20"/>
      <w:lang w:val="sq-AL"/>
    </w:rPr>
  </w:style>
  <w:style w:type="paragraph" w:customStyle="1" w:styleId="Default">
    <w:name w:val="Default"/>
    <w:rsid w:val="00D621B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ListParagraphChar">
    <w:name w:val="List Paragraph Char"/>
    <w:aliases w:val="List Paragraph (numbered (a)) Char"/>
    <w:link w:val="ListParagraph"/>
    <w:uiPriority w:val="1"/>
    <w:rsid w:val="00892480"/>
    <w:rPr>
      <w:lang w:val="sq-AL"/>
    </w:rPr>
  </w:style>
  <w:style w:type="character" w:customStyle="1" w:styleId="Heading4Char">
    <w:name w:val="Heading 4 Char"/>
    <w:basedOn w:val="DefaultParagraphFont"/>
    <w:link w:val="Heading4"/>
    <w:uiPriority w:val="9"/>
    <w:semiHidden/>
    <w:rsid w:val="001043AA"/>
    <w:rPr>
      <w:rFonts w:asciiTheme="majorHAnsi" w:eastAsiaTheme="majorEastAsia" w:hAnsiTheme="majorHAnsi" w:cstheme="majorBidi"/>
      <w:i/>
      <w:iCs/>
      <w:color w:val="365F91" w:themeColor="accent1" w:themeShade="BF"/>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311321">
      <w:bodyDiv w:val="1"/>
      <w:marLeft w:val="0"/>
      <w:marRight w:val="0"/>
      <w:marTop w:val="0"/>
      <w:marBottom w:val="0"/>
      <w:divBdr>
        <w:top w:val="none" w:sz="0" w:space="0" w:color="auto"/>
        <w:left w:val="none" w:sz="0" w:space="0" w:color="auto"/>
        <w:bottom w:val="none" w:sz="0" w:space="0" w:color="auto"/>
        <w:right w:val="none" w:sz="0" w:space="0" w:color="auto"/>
      </w:divBdr>
    </w:div>
    <w:div w:id="347417007">
      <w:bodyDiv w:val="1"/>
      <w:marLeft w:val="0"/>
      <w:marRight w:val="0"/>
      <w:marTop w:val="0"/>
      <w:marBottom w:val="0"/>
      <w:divBdr>
        <w:top w:val="none" w:sz="0" w:space="0" w:color="auto"/>
        <w:left w:val="none" w:sz="0" w:space="0" w:color="auto"/>
        <w:bottom w:val="none" w:sz="0" w:space="0" w:color="auto"/>
        <w:right w:val="none" w:sz="0" w:space="0" w:color="auto"/>
      </w:divBdr>
    </w:div>
    <w:div w:id="1842812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D3F8465C89C5461C91DCD45E43E2A3E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Nr_x002e__x0020_akti>
    <Data_x0020_e_x0020_Krijimit xmlns="0e656187-b300-4fb0-8bf4-3a50f872073c">2026-07-23T07:50:16Z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2026-07-22T00:00:00Z</Date_x0020_protokolli>
    <Titulli xmlns="0e656187-b300-4fb0-8bf4-3a50f872073c">Për vlerësimin e veprimtarisë së Autoritetit të Mbikëqyrjes Financiare për vitin 2025 dhe rekomandimet për vitin 2026</Titulli>
    <Modifikuesi xmlns="0e656187-b300-4fb0-8bf4-3a50f872073c">Fjora.Cahani</Modifikuesi>
    <Nr_x002e__x0020_prot_x0020_QBZ xmlns="0e656187-b300-4fb0-8bf4-3a50f872073c">1637/6</Nr_x002e__x0020_prot_x0020_QBZ>
    <Data_x0020_e_x0020_Modifikimit xmlns="0e656187-b300-4fb0-8bf4-3a50f872073c">2026-07-23T10:23:49Z</Data_x0020_e_x0020_Modifikimit>
    <Dekretuar xmlns="0e656187-b300-4fb0-8bf4-3a50f872073c">false</Dekretuar>
    <Data xmlns="0e656187-b300-4fb0-8bf4-3a50f872073c">2026-07-16T00:00:00Z</Data>
    <Nr_x002e__x0020_protokolli_x0020_i_x0020_aktit xmlns="0e656187-b300-4fb0-8bf4-3a50f872073c">3180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3F8465C89C5461C91DCD45E43E2A3E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F576D2-3248-4C36-AAAF-B87512C0C219}">
  <ds:schemaRefs>
    <ds:schemaRef ds:uri="http://schemas.microsoft.com/sharepoint/v3/contenttype/forms"/>
  </ds:schemaRefs>
</ds:datastoreItem>
</file>

<file path=customXml/itemProps2.xml><?xml version="1.0" encoding="utf-8"?>
<ds:datastoreItem xmlns:ds="http://schemas.openxmlformats.org/officeDocument/2006/customXml" ds:itemID="{20F6265E-C2F4-4A07-9B9A-BF41D90338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7B98B98-C079-4CB3-B3E6-30B3D822E01A}">
  <ds:schemaRefs>
    <ds:schemaRef ds:uri="http://purl.org/dc/elements/1.1/"/>
    <ds:schemaRef ds:uri="http://purl.org/dc/terms/"/>
    <ds:schemaRef ds:uri="http://purl.org/dc/dcmitype/"/>
    <ds:schemaRef ds:uri="http://schemas.microsoft.com/office/2006/documentManagement/types"/>
    <ds:schemaRef ds:uri="http://schemas.openxmlformats.org/package/2006/metadata/core-properties"/>
    <ds:schemaRef ds:uri="0e656187-b300-4fb0-8bf4-3a50f872073c"/>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08768B6E-3656-4980-9515-EED280D0D0DD}">
  <ds:schemaRefs>
    <ds:schemaRef ds:uri="http://schemas.microsoft.com/sharepoint/v3/contenttype/forms"/>
  </ds:schemaRefs>
</ds:datastoreItem>
</file>

<file path=customXml/itemProps5.xml><?xml version="1.0" encoding="utf-8"?>
<ds:datastoreItem xmlns:ds="http://schemas.openxmlformats.org/officeDocument/2006/customXml" ds:itemID="{98B973E2-2F5A-4B28-AFEA-13E455B08E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8F40858B-B230-46EC-AF37-DDEE0E1CC3DB}">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829dacc4-3f6a-4f01-8c73-3a3f5b07ef18}" contentBits="0" removed="0"/>
</clbl:labelList>
</file>

<file path=docProps/app.xml><?xml version="1.0" encoding="utf-8"?>
<Properties xmlns="http://schemas.openxmlformats.org/officeDocument/2006/extended-properties" xmlns:vt="http://schemas.openxmlformats.org/officeDocument/2006/docPropsVTypes">
  <Template>Normal</Template>
  <TotalTime>46</TotalTime>
  <Pages>5</Pages>
  <Words>2964</Words>
  <Characters>16901</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Për vlerësimin e veprimtarisë së Autoritetit të Mbikëqyrjes Financiare për vitin 2025 dhe rekomandimet për vitin 2026</vt:lpstr>
    </vt:vector>
  </TitlesOfParts>
  <Company/>
  <LinksUpToDate>false</LinksUpToDate>
  <CharactersWithSpaces>19826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vlerësimin e veprimtarisë së Autoritetit të Mbikëqyrjes Financiare për vitin 2025 dhe rekomandimet për vitin 2026</dc:title>
  <dc:creator>user</dc:creator>
  <cp:lastModifiedBy>Amarilda Muja</cp:lastModifiedBy>
  <cp:revision>22</cp:revision>
  <cp:lastPrinted>2026-07-16T08:14:00Z</cp:lastPrinted>
  <dcterms:created xsi:type="dcterms:W3CDTF">2026-07-16T06:45:00Z</dcterms:created>
  <dcterms:modified xsi:type="dcterms:W3CDTF">2026-07-23T10:39:00Z</dcterms:modified>
</cp:coreProperties>
</file>