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32D91" w14:textId="45B04F62" w:rsidR="00493028" w:rsidRPr="003B0B84" w:rsidRDefault="0042060E" w:rsidP="003B0B8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3B0B84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7F1C28" w:rsidRPr="003B0B84">
        <w:rPr>
          <w:rFonts w:ascii="Garamond" w:eastAsia="Times New Roman" w:hAnsi="Garamond" w:cs="Times New Roman"/>
          <w:b/>
          <w:sz w:val="24"/>
          <w:szCs w:val="24"/>
        </w:rPr>
        <w:t>Ë</w:t>
      </w:r>
      <w:r w:rsidR="00493028" w:rsidRPr="003B0B84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</w:p>
    <w:p w14:paraId="2A437675" w14:textId="5C7D2C56" w:rsidR="00D246DD" w:rsidRPr="003B0B84" w:rsidRDefault="00D246DD" w:rsidP="003B0B8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3B0B84">
        <w:rPr>
          <w:rFonts w:ascii="Garamond" w:eastAsia="Times New Roman" w:hAnsi="Garamond" w:cs="Times New Roman"/>
          <w:b/>
          <w:sz w:val="24"/>
          <w:szCs w:val="24"/>
        </w:rPr>
        <w:t>PËR VLERËSIMIN E VEPRIMTARISË SË ENTIT RREGULLATOR TË ENERGJISË PËR VITIN 2025 DHE REKOMANDIMET PËR VITIN 2026</w:t>
      </w:r>
    </w:p>
    <w:p w14:paraId="79243207" w14:textId="77777777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</w:p>
    <w:p w14:paraId="7CA03A57" w14:textId="0E3D75D1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3B0B84">
        <w:rPr>
          <w:rFonts w:ascii="Garamond" w:eastAsia="Times New Roman" w:hAnsi="Garamond" w:cs="Times New Roman"/>
          <w:b/>
          <w:sz w:val="24"/>
          <w:szCs w:val="24"/>
        </w:rPr>
        <w:t>Kuvendi i Shqipërisë,</w:t>
      </w:r>
    </w:p>
    <w:p w14:paraId="38C24689" w14:textId="77777777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B0B84">
        <w:rPr>
          <w:rFonts w:ascii="Garamond" w:eastAsia="Times New Roman" w:hAnsi="Garamond" w:cs="Times New Roman"/>
          <w:bCs/>
          <w:sz w:val="24"/>
          <w:szCs w:val="24"/>
        </w:rPr>
        <w:t>Duke njohur Entin Rregullator të Energjisë, si rregullatori i vetëm dhe i pavarur për mbikëqyrjen e funksionimit të tregut të energjisë elektrike e të gazit natyror, si dhe për ruajtjen e ekuilibrit ndërmjet interesave të konsumatorëve, shtetit dhe sipërmarrësve në këtë sektor;</w:t>
      </w:r>
    </w:p>
    <w:p w14:paraId="2442F570" w14:textId="6DFCD70B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Duke vlerësuar si veçanërisht </w:t>
      </w:r>
      <w:r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të rëndësishm</w:t>
      </w:r>
      <w:r w:rsidR="008D0CC8"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e</w:t>
      </w:r>
      <w:r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rritjen 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e prodhimit të energjisë nga burime të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rinovueshme</w:t>
      </w:r>
      <w:proofErr w:type="spellEnd"/>
      <w:r w:rsidR="00CC291B" w:rsidRPr="003B0B84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ku</w:t>
      </w:r>
      <w:r w:rsidRPr="003B0B84">
        <w:rPr>
          <w:rFonts w:ascii="Garamond" w:eastAsia="Times New Roman" w:hAnsi="Garamond" w:cs="Times New Roman"/>
          <w:bCs/>
          <w:color w:val="EE0000"/>
          <w:sz w:val="24"/>
          <w:szCs w:val="24"/>
        </w:rPr>
        <w:t xml:space="preserve"> 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energjia nga burimet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fotovoltaike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tashmë përfaqëson rreth 18% të kapacitetit të instaluar në vend dhe gjatë vitit 2025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gjeneroi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një prodhim prej 832.3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GWh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, një hap i rëndësishëm drejt një sistemi energjetik të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diversifikuar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>, më të pastër dhe më të qëndrueshëm;</w:t>
      </w:r>
    </w:p>
    <w:p w14:paraId="0C19B297" w14:textId="5D0538F6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Duke vlerësuar se sistemi energjetik shqiptar ka vijuar të përmirësojë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performancën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e tij dhe konkretisht në sistemin e transmetimit të operuar nga OST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sh.a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., humbjet teknike u ulën në 1.9%, ndërkohë në rrjetin e shpërndarjes të administruar nga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OSSH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sh.a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>., humbjet zbritën në 16.96%;</w:t>
      </w:r>
    </w:p>
    <w:p w14:paraId="7DF4DDEA" w14:textId="77777777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B0B84">
        <w:rPr>
          <w:rFonts w:ascii="Garamond" w:eastAsia="Times New Roman" w:hAnsi="Garamond" w:cs="Times New Roman"/>
          <w:bCs/>
          <w:sz w:val="24"/>
          <w:szCs w:val="24"/>
        </w:rPr>
        <w:t>Duke konsideruar që një liberalizim i mëtejshëm i tregut të energjisë elektrike synon një siguri më të lartë furnizimi dhe një zhvillim më të mirë të tregut të energjisë elektrike;</w:t>
      </w:r>
    </w:p>
    <w:p w14:paraId="35F2617B" w14:textId="1F86939F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3B0B84">
        <w:rPr>
          <w:rFonts w:ascii="Garamond" w:eastAsia="Times New Roman" w:hAnsi="Garamond" w:cs="Times New Roman"/>
          <w:b/>
          <w:sz w:val="24"/>
          <w:szCs w:val="24"/>
        </w:rPr>
        <w:t>Shqyrtoi veprimtarinë e Entit Rregullator të Energjisë për vitin 2025 dhe</w:t>
      </w:r>
      <w:r w:rsidR="000D11AD" w:rsidRPr="003B0B84">
        <w:rPr>
          <w:rFonts w:ascii="Garamond" w:eastAsia="Times New Roman" w:hAnsi="Garamond" w:cs="Times New Roman"/>
          <w:b/>
          <w:sz w:val="24"/>
          <w:szCs w:val="24"/>
        </w:rPr>
        <w:t xml:space="preserve"> vlerëson</w:t>
      </w:r>
      <w:r w:rsidRPr="003B0B84">
        <w:rPr>
          <w:rFonts w:ascii="Garamond" w:eastAsia="Times New Roman" w:hAnsi="Garamond" w:cs="Times New Roman"/>
          <w:b/>
          <w:sz w:val="24"/>
          <w:szCs w:val="24"/>
        </w:rPr>
        <w:t>:</w:t>
      </w:r>
    </w:p>
    <w:p w14:paraId="2E926EBF" w14:textId="3B4E2213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B0B84">
        <w:rPr>
          <w:rFonts w:ascii="Garamond" w:eastAsia="Times New Roman" w:hAnsi="Garamond" w:cs="Times New Roman"/>
          <w:bCs/>
          <w:sz w:val="24"/>
          <w:szCs w:val="24"/>
        </w:rPr>
        <w:t>Vendimmarrjen në lidhje me çmimet e shitjes me pakicë të energjisë elektrike për klientët fundorë për vitin 2025</w:t>
      </w:r>
      <w:r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, ulja 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e çmimit ka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impakt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të drejtpërdrejtë në afro 87% të klientëve familjarë, konsumi i të cilëve është nën 700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kWh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>/muaj.</w:t>
      </w:r>
    </w:p>
    <w:p w14:paraId="42AF5EAB" w14:textId="683FFD2B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D11AD" w:rsidRPr="003B0B84">
        <w:rPr>
          <w:rFonts w:ascii="Garamond" w:eastAsia="Times New Roman" w:hAnsi="Garamond" w:cs="Times New Roman"/>
          <w:bCs/>
          <w:sz w:val="24"/>
          <w:szCs w:val="24"/>
        </w:rPr>
        <w:t>P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unën e bërë për të adresuar sfidat që lidhen me promovimin dhe integrimin e projekteve për impiantet e prodhimit të energjisë elektrike për </w:t>
      </w:r>
      <w:proofErr w:type="spellStart"/>
      <w:r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vetëprodhuesit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. Rritja e prodhimit të energjisë nga impiantet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fotovoltaike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(11% të prodhimit total vendas për vitin 2025) përmirëson sigurinë energjetike të vendit duke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diversifikuar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burimet e energjisë</w:t>
      </w:r>
      <w:r w:rsidR="000E715F" w:rsidRPr="003B0B84">
        <w:rPr>
          <w:rFonts w:ascii="Garamond" w:eastAsia="Times New Roman" w:hAnsi="Garamond" w:cs="Times New Roman"/>
          <w:bCs/>
          <w:sz w:val="24"/>
          <w:szCs w:val="24"/>
        </w:rPr>
        <w:t>.</w:t>
      </w:r>
    </w:p>
    <w:p w14:paraId="5CCF9252" w14:textId="1F0AA1D5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5356E4" w:rsidRPr="003B0B84">
        <w:rPr>
          <w:rFonts w:ascii="Garamond" w:eastAsia="Times New Roman" w:hAnsi="Garamond" w:cs="Times New Roman"/>
          <w:bCs/>
          <w:sz w:val="24"/>
          <w:szCs w:val="24"/>
        </w:rPr>
        <w:t>P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unën e bërë </w:t>
      </w:r>
      <w:r w:rsidR="005356E4" w:rsidRPr="003B0B84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fushatat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promovuese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për modalitetet e funksionimit të Platformës së Krahasimit të Çmimeve (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PCT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>) në tregun e lirë,</w:t>
      </w:r>
      <w:r w:rsidR="000E715F"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>si një hap të rëndësishëm</w:t>
      </w:r>
      <w:r w:rsidR="00A17BD2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i cili siguron transparencë dhe konkurrencë në treg, duke mbrojtur interesat e konsumatorëve.</w:t>
      </w:r>
    </w:p>
    <w:p w14:paraId="222D4994" w14:textId="23E6E683" w:rsidR="00D246DD" w:rsidRPr="003B0B84" w:rsidRDefault="005356E4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B0B84">
        <w:rPr>
          <w:rFonts w:ascii="Garamond" w:eastAsia="Times New Roman" w:hAnsi="Garamond" w:cs="Times New Roman"/>
          <w:bCs/>
          <w:sz w:val="24"/>
          <w:szCs w:val="24"/>
        </w:rPr>
        <w:t>R</w:t>
      </w:r>
      <w:r w:rsidR="00D246DD" w:rsidRPr="003B0B84">
        <w:rPr>
          <w:rFonts w:ascii="Garamond" w:eastAsia="Times New Roman" w:hAnsi="Garamond" w:cs="Times New Roman"/>
          <w:bCs/>
          <w:sz w:val="24"/>
          <w:szCs w:val="24"/>
        </w:rPr>
        <w:t>ritjen e aktivitetit të tregtimit t</w:t>
      </w:r>
      <w:r w:rsidR="00A17BD2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D246DD"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bursës </w:t>
      </w:r>
      <w:proofErr w:type="spellStart"/>
      <w:r w:rsidR="00D246DD" w:rsidRPr="003B0B84">
        <w:rPr>
          <w:rFonts w:ascii="Garamond" w:eastAsia="Times New Roman" w:hAnsi="Garamond" w:cs="Times New Roman"/>
          <w:bCs/>
          <w:sz w:val="24"/>
          <w:szCs w:val="24"/>
        </w:rPr>
        <w:t>ALPEX</w:t>
      </w:r>
      <w:proofErr w:type="spellEnd"/>
      <w:r w:rsidR="000E715F" w:rsidRPr="003B0B84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D246DD"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si në numër të ofertave</w:t>
      </w:r>
      <w:r w:rsidR="000E715F" w:rsidRPr="003B0B84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D246DD"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ashtu dhe në volumin e tyre, </w:t>
      </w:r>
      <w:r w:rsidR="00D246DD"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të cilat </w:t>
      </w:r>
      <w:r w:rsidR="00D246DD" w:rsidRPr="003B0B84">
        <w:rPr>
          <w:rFonts w:ascii="Garamond" w:eastAsia="Times New Roman" w:hAnsi="Garamond" w:cs="Times New Roman"/>
          <w:bCs/>
          <w:sz w:val="24"/>
          <w:szCs w:val="24"/>
        </w:rPr>
        <w:t>arrijnë në gati 9.5 % të totalit të tregut (për zonën e Shqipërisë).</w:t>
      </w:r>
    </w:p>
    <w:p w14:paraId="3E6C7AEC" w14:textId="2A9019F4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5356E4" w:rsidRPr="003B0B84">
        <w:rPr>
          <w:rFonts w:ascii="Garamond" w:eastAsia="Times New Roman" w:hAnsi="Garamond" w:cs="Times New Roman"/>
          <w:bCs/>
          <w:sz w:val="24"/>
          <w:szCs w:val="24"/>
        </w:rPr>
        <w:t>P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unën e bërë </w:t>
      </w:r>
      <w:r w:rsidR="00DB2262" w:rsidRPr="003B0B84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miratimin e </w:t>
      </w:r>
      <w:r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“Strategjisë për ndërgjegjësimin mbi kursimin e energjisë dhe përdorimin e burimeve alternative për vitet 2025–2030”, e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cila përcakton objektivat, masat dhe instrumentet që do të përdoren për të rritur ndërgjegjësimin e publikut </w:t>
      </w:r>
      <w:r w:rsidR="00B5008E"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për</w:t>
      </w:r>
      <w:r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>kursimin e energjisë dhe për të promovuar përdorimin e burimeve alternative të energjisë.</w:t>
      </w:r>
    </w:p>
    <w:p w14:paraId="62B48680" w14:textId="6C25F51F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5356E4" w:rsidRPr="003B0B84">
        <w:rPr>
          <w:rFonts w:ascii="Garamond" w:eastAsia="Times New Roman" w:hAnsi="Garamond" w:cs="Times New Roman"/>
          <w:bCs/>
          <w:sz w:val="24"/>
          <w:szCs w:val="24"/>
        </w:rPr>
        <w:t>P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unën e bërë </w:t>
      </w:r>
      <w:r w:rsidR="00B5008E" w:rsidRPr="003B0B84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miratimin e ndryshimeve në standardet e cilësisë së shërbimit për sistemin e transmetimit</w:t>
      </w:r>
      <w:r w:rsidR="00596AC7"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.</w:t>
      </w:r>
      <w:r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="00596AC7"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N</w:t>
      </w:r>
      <w:r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dryshimet 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>e bëra përfshijnë treguesit</w:t>
      </w:r>
      <w:r w:rsidR="00A17BD2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që lidhen me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performancën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dhe sigurinë e rrjetit të transmetimit të operuar nga OST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sh.a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>. dhe ndikojnë në përmirësimin e cilësisë për konsumatorët.</w:t>
      </w:r>
    </w:p>
    <w:p w14:paraId="4298C360" w14:textId="14EBC2C4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3B0B84">
        <w:rPr>
          <w:rFonts w:ascii="Garamond" w:eastAsia="Times New Roman" w:hAnsi="Garamond" w:cs="Times New Roman"/>
          <w:b/>
          <w:sz w:val="24"/>
          <w:szCs w:val="24"/>
        </w:rPr>
        <w:t xml:space="preserve">Kuvendi i Shqipërisë </w:t>
      </w:r>
      <w:r w:rsidR="00C122ED" w:rsidRPr="003B0B84">
        <w:rPr>
          <w:rFonts w:ascii="Garamond" w:eastAsia="Times New Roman" w:hAnsi="Garamond" w:cs="Times New Roman"/>
          <w:b/>
          <w:sz w:val="24"/>
          <w:szCs w:val="24"/>
        </w:rPr>
        <w:t>rekomandon</w:t>
      </w:r>
      <w:r w:rsidRPr="003B0B84">
        <w:rPr>
          <w:rFonts w:ascii="Garamond" w:eastAsia="Times New Roman" w:hAnsi="Garamond" w:cs="Times New Roman"/>
          <w:b/>
          <w:sz w:val="24"/>
          <w:szCs w:val="24"/>
        </w:rPr>
        <w:t xml:space="preserve"> që Enti Rregullator i Energjisë për vitin 2026 në përmbushje të detyrave të ngarkuara me ligj të angazhohet veçanërisht edhe në këto drejtime: </w:t>
      </w:r>
    </w:p>
    <w:p w14:paraId="101EEB29" w14:textId="0679A09E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B0B84">
        <w:rPr>
          <w:rFonts w:ascii="Garamond" w:eastAsia="Times New Roman" w:hAnsi="Garamond" w:cs="Times New Roman"/>
          <w:bCs/>
          <w:sz w:val="24"/>
          <w:szCs w:val="24"/>
        </w:rPr>
        <w:t>1.</w:t>
      </w:r>
      <w:r w:rsidR="00C122ED"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>Në kuadër të mbrojtjes së të drejtave të konsumatorëve dhe të përmirësimit të shërbimeve të operatorëve të energjisë, të rrisë përpjekjet që brenda vitit 2026 Platforma Digjitale për trajtimin dhe gjurmimin e zgjidhjes së ankesave të konsumatorëve t</w:t>
      </w:r>
      <w:r w:rsidR="00C122ED" w:rsidRPr="003B0B84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jet</w:t>
      </w:r>
      <w:r w:rsidR="00C122ED" w:rsidRPr="003B0B84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funksionale dhe në shërbim të konsumatorë</w:t>
      </w:r>
      <w:r w:rsidR="00557EF9" w:rsidRPr="003B0B84">
        <w:rPr>
          <w:rFonts w:ascii="Garamond" w:eastAsia="Times New Roman" w:hAnsi="Garamond" w:cs="Times New Roman"/>
          <w:bCs/>
          <w:sz w:val="24"/>
          <w:szCs w:val="24"/>
        </w:rPr>
        <w:t>ve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, duke bërë të mundur jo vetëm adresimin </w:t>
      </w:r>
      <w:proofErr w:type="spellStart"/>
      <w:r w:rsidRPr="003B0B84">
        <w:rPr>
          <w:rFonts w:ascii="Garamond" w:eastAsia="Times New Roman" w:hAnsi="Garamond" w:cs="Times New Roman"/>
          <w:bCs/>
          <w:i/>
          <w:iCs/>
          <w:sz w:val="24"/>
          <w:szCs w:val="24"/>
        </w:rPr>
        <w:t>online</w:t>
      </w:r>
      <w:proofErr w:type="spellEnd"/>
      <w:r w:rsidRPr="003B0B84">
        <w:rPr>
          <w:rFonts w:ascii="Garamond" w:eastAsia="Times New Roman" w:hAnsi="Garamond" w:cs="Times New Roman"/>
          <w:bCs/>
          <w:i/>
          <w:iCs/>
          <w:sz w:val="24"/>
          <w:szCs w:val="24"/>
        </w:rPr>
        <w:t xml:space="preserve"> 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>të ankesave, por edhe ndjekjen në çdo kohë të procesit të shqyrtimit nga ERE, adresimit të kërkesave të ERE</w:t>
      </w:r>
      <w:r w:rsidR="00557EF9" w:rsidRPr="003B0B84">
        <w:rPr>
          <w:rFonts w:ascii="Garamond" w:eastAsia="Times New Roman" w:hAnsi="Garamond" w:cs="Times New Roman"/>
          <w:bCs/>
          <w:sz w:val="24"/>
          <w:szCs w:val="24"/>
        </w:rPr>
        <w:t>-s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tek të licencuarit, përgjigjen e të licencuarit e deri në përfundimin e procesit.</w:t>
      </w:r>
    </w:p>
    <w:p w14:paraId="10136ECE" w14:textId="073995AF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B0B84">
        <w:rPr>
          <w:rFonts w:ascii="Garamond" w:eastAsia="Times New Roman" w:hAnsi="Garamond" w:cs="Times New Roman"/>
          <w:bCs/>
          <w:sz w:val="24"/>
          <w:szCs w:val="24"/>
        </w:rPr>
        <w:t>2.</w:t>
      </w:r>
      <w:r w:rsidR="00C67716"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596AC7" w:rsidRPr="003B0B84">
        <w:rPr>
          <w:rFonts w:ascii="Garamond" w:eastAsia="Times New Roman" w:hAnsi="Garamond" w:cs="Times New Roman"/>
          <w:bCs/>
          <w:sz w:val="24"/>
          <w:szCs w:val="24"/>
        </w:rPr>
        <w:t>T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ë marrë masa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rregullator</w:t>
      </w:r>
      <w:r w:rsidR="00C67716" w:rsidRPr="003B0B84">
        <w:rPr>
          <w:rFonts w:ascii="Garamond" w:eastAsia="Times New Roman" w:hAnsi="Garamond" w:cs="Times New Roman"/>
          <w:bCs/>
          <w:sz w:val="24"/>
          <w:szCs w:val="24"/>
        </w:rPr>
        <w:t>e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për përmirësimin e standardeve të cilësisë së shërbimit në sistemin e shpërndarjes së energjisë, duke synuar rritjen e treguesve të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performancës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, uljen e kohës mesatare </w:t>
      </w:r>
      <w:r w:rsidR="00596AC7"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të</w:t>
      </w:r>
      <w:r w:rsidRPr="003B0B84">
        <w:rPr>
          <w:rFonts w:ascii="Garamond" w:eastAsia="Times New Roman" w:hAnsi="Garamond" w:cs="Times New Roman"/>
          <w:bCs/>
          <w:color w:val="EE0000"/>
          <w:sz w:val="24"/>
          <w:szCs w:val="24"/>
        </w:rPr>
        <w:t xml:space="preserve"> 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>ndërprerjes</w:t>
      </w:r>
      <w:r w:rsidR="00C67716" w:rsidRPr="003B0B84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si dhe përmirësimin e treguesve</w:t>
      </w:r>
      <w:r w:rsidR="00A17BD2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që lidhen me cilësinë e shërbimit ndaj konsumatorëve dhe furnizimin e tyre me energji në parametra teknikë sipas standardeve.</w:t>
      </w:r>
    </w:p>
    <w:p w14:paraId="7B7D71D1" w14:textId="1DF195CA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B0B84">
        <w:rPr>
          <w:rFonts w:ascii="Garamond" w:eastAsia="Times New Roman" w:hAnsi="Garamond" w:cs="Times New Roman"/>
          <w:bCs/>
          <w:sz w:val="24"/>
          <w:szCs w:val="24"/>
        </w:rPr>
        <w:t>3.</w:t>
      </w:r>
      <w:r w:rsidR="00C67716"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Në kuadër të harmonizimit të legjislacionit kombëtar me </w:t>
      </w:r>
      <w:proofErr w:type="spellStart"/>
      <w:r w:rsidRPr="003B0B84">
        <w:rPr>
          <w:rFonts w:ascii="Garamond" w:eastAsia="Times New Roman" w:hAnsi="Garamond" w:cs="Times New Roman"/>
          <w:bCs/>
          <w:i/>
          <w:iCs/>
          <w:sz w:val="24"/>
          <w:szCs w:val="24"/>
        </w:rPr>
        <w:t>acquis</w:t>
      </w:r>
      <w:proofErr w:type="spellEnd"/>
      <w:r w:rsidR="00596AC7" w:rsidRPr="003B0B84">
        <w:rPr>
          <w:rFonts w:ascii="Garamond" w:eastAsia="Times New Roman" w:hAnsi="Garamond" w:cs="Times New Roman"/>
          <w:bCs/>
          <w:sz w:val="24"/>
          <w:szCs w:val="24"/>
        </w:rPr>
        <w:t>-n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596AC7"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e 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BE-së, të vijojë përpjekjet dhe bashkëpunimin me të gjithë aktorët për të bërë të mundur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transpozimi</w:t>
      </w:r>
      <w:r w:rsidR="007512E6" w:rsidRPr="003B0B84">
        <w:rPr>
          <w:rFonts w:ascii="Garamond" w:eastAsia="Times New Roman" w:hAnsi="Garamond" w:cs="Times New Roman"/>
          <w:bCs/>
          <w:sz w:val="24"/>
          <w:szCs w:val="24"/>
        </w:rPr>
        <w:t>n</w:t>
      </w:r>
      <w:proofErr w:type="spellEnd"/>
      <w:r w:rsidR="007512E6"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e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Paketës së Integrimit të Energjisë (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EIP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>), si dhe liberalizimi</w:t>
      </w:r>
      <w:r w:rsidR="007512E6" w:rsidRPr="003B0B84">
        <w:rPr>
          <w:rFonts w:ascii="Garamond" w:eastAsia="Times New Roman" w:hAnsi="Garamond" w:cs="Times New Roman"/>
          <w:bCs/>
          <w:sz w:val="24"/>
          <w:szCs w:val="24"/>
        </w:rPr>
        <w:t>n e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plotë</w:t>
      </w:r>
      <w:r w:rsidR="007512E6"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të 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>tregut me pakicë të energjisë elektrike</w:t>
      </w:r>
      <w:r w:rsidR="007512E6" w:rsidRPr="003B0B84">
        <w:rPr>
          <w:rFonts w:ascii="Garamond" w:eastAsia="Times New Roman" w:hAnsi="Garamond" w:cs="Times New Roman"/>
          <w:bCs/>
          <w:sz w:val="24"/>
          <w:szCs w:val="24"/>
        </w:rPr>
        <w:t>.</w:t>
      </w:r>
    </w:p>
    <w:p w14:paraId="6EB84CF1" w14:textId="1DE03267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B0B84">
        <w:rPr>
          <w:rFonts w:ascii="Garamond" w:eastAsia="Times New Roman" w:hAnsi="Garamond" w:cs="Times New Roman"/>
          <w:bCs/>
          <w:sz w:val="24"/>
          <w:szCs w:val="24"/>
        </w:rPr>
        <w:lastRenderedPageBreak/>
        <w:t>4.</w:t>
      </w:r>
      <w:r w:rsidR="007512E6"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596AC7" w:rsidRPr="003B0B84">
        <w:rPr>
          <w:rFonts w:ascii="Garamond" w:eastAsia="Times New Roman" w:hAnsi="Garamond" w:cs="Times New Roman"/>
          <w:bCs/>
          <w:sz w:val="24"/>
          <w:szCs w:val="24"/>
        </w:rPr>
        <w:t>G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jatë procesit të shqyrtimit të planeve të investimeve të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OSSH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>-së dhe OST-së, të ketë në fokus</w:t>
      </w:r>
      <w:r w:rsidR="00596AC7" w:rsidRPr="003B0B84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nga njëra anë</w:t>
      </w:r>
      <w:r w:rsidR="00596AC7" w:rsidRPr="003B0B84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rritjen e kapaciteteve transmetuese, përmirësimin e fleksibilitetit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operacional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të sistemit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elektroenergjetik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dhe njëkohësisht të fokusohet edhe në garantimin e një furnizimi sipas standardeve cilësore, të qëndrueshëm dhe të pandërprerë në zonat me intensitet të lartë zhvillimi, përfshirë edhe zonat turistike.</w:t>
      </w:r>
    </w:p>
    <w:p w14:paraId="753F3F8D" w14:textId="1A2D53AC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B0B84">
        <w:rPr>
          <w:rFonts w:ascii="Garamond" w:eastAsia="Times New Roman" w:hAnsi="Garamond" w:cs="Times New Roman"/>
          <w:bCs/>
          <w:sz w:val="24"/>
          <w:szCs w:val="24"/>
        </w:rPr>
        <w:t>5.</w:t>
      </w:r>
      <w:r w:rsidRPr="003B0B84">
        <w:rPr>
          <w:rFonts w:ascii="Garamond" w:eastAsia="Times New Roman" w:hAnsi="Garamond" w:cs="Times New Roman"/>
          <w:bCs/>
          <w:color w:val="EE0000"/>
          <w:sz w:val="24"/>
          <w:szCs w:val="24"/>
        </w:rPr>
        <w:t xml:space="preserve"> </w:t>
      </w:r>
      <w:r w:rsidR="00DA3074" w:rsidRPr="003B0B84">
        <w:rPr>
          <w:rFonts w:ascii="Garamond" w:eastAsia="Times New Roman" w:hAnsi="Garamond" w:cs="Times New Roman"/>
          <w:bCs/>
          <w:sz w:val="24"/>
          <w:szCs w:val="24"/>
        </w:rPr>
        <w:t>M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e hyrjen në fuqi </w:t>
      </w:r>
      <w:r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të </w:t>
      </w:r>
      <w:r w:rsidR="00DA3074"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m</w:t>
      </w:r>
      <w:r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etodologjisë </w:t>
      </w:r>
      <w:r w:rsidR="00DA3074"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“Për</w:t>
      </w:r>
      <w:r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vlerësimin e gatishmërisë së tregut të ditës në avancë të energjisë elektrike”, me qëllim për të siguruar kushte të favorshme për pjesëmarrjen e aktorëve të ndryshëm dhe integrimin 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e burimeve të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rinovueshme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në sistemin energjetik</w:t>
      </w:r>
      <w:r w:rsidR="00735FE4" w:rsidRPr="003B0B84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të marrë masa për të kryer vlerësimin e parë të gatishmërisë së tregut, duke marrë parasysh ndër të tjera edhe tregun e bashkuar Shqipëri–Kosovë.</w:t>
      </w:r>
    </w:p>
    <w:p w14:paraId="45336259" w14:textId="580C215A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B0B84">
        <w:rPr>
          <w:rFonts w:ascii="Garamond" w:eastAsia="Times New Roman" w:hAnsi="Garamond" w:cs="Times New Roman"/>
          <w:bCs/>
          <w:sz w:val="24"/>
          <w:szCs w:val="24"/>
        </w:rPr>
        <w:t>6.</w:t>
      </w:r>
      <w:r w:rsidR="005730A9"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DA3074" w:rsidRPr="003B0B84">
        <w:rPr>
          <w:rFonts w:ascii="Garamond" w:eastAsia="Times New Roman" w:hAnsi="Garamond" w:cs="Times New Roman"/>
          <w:bCs/>
          <w:sz w:val="24"/>
          <w:szCs w:val="24"/>
        </w:rPr>
        <w:t>T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ë forcojë monitorimin e Bursës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ALPEX</w:t>
      </w:r>
      <w:proofErr w:type="spellEnd"/>
      <w:r w:rsidR="00735FE4" w:rsidRPr="003B0B84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duke </w:t>
      </w:r>
      <w:r w:rsidR="00735FE4" w:rsidRPr="003B0B84">
        <w:rPr>
          <w:rFonts w:ascii="Garamond" w:eastAsia="Times New Roman" w:hAnsi="Garamond" w:cs="Times New Roman"/>
          <w:bCs/>
          <w:sz w:val="24"/>
          <w:szCs w:val="24"/>
        </w:rPr>
        <w:t>vlerësuar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735FE4" w:rsidRPr="003B0B84">
        <w:rPr>
          <w:rFonts w:ascii="Garamond" w:eastAsia="Times New Roman" w:hAnsi="Garamond" w:cs="Times New Roman"/>
          <w:bCs/>
          <w:sz w:val="24"/>
          <w:szCs w:val="24"/>
        </w:rPr>
        <w:t>indikatorët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e </w:t>
      </w:r>
      <w:r w:rsidR="00735FE4" w:rsidRPr="003B0B84">
        <w:rPr>
          <w:rFonts w:ascii="Garamond" w:eastAsia="Times New Roman" w:hAnsi="Garamond" w:cs="Times New Roman"/>
          <w:bCs/>
          <w:sz w:val="24"/>
          <w:szCs w:val="24"/>
        </w:rPr>
        <w:t>transparencës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, </w:t>
      </w:r>
      <w:r w:rsidR="00735FE4" w:rsidRPr="003B0B84">
        <w:rPr>
          <w:rFonts w:ascii="Garamond" w:eastAsia="Times New Roman" w:hAnsi="Garamond" w:cs="Times New Roman"/>
          <w:bCs/>
          <w:sz w:val="24"/>
          <w:szCs w:val="24"/>
        </w:rPr>
        <w:t>konkurrencës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dhe efikasitetit t</w:t>
      </w:r>
      <w:r w:rsidR="00735FE4" w:rsidRPr="003B0B84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tregut dhe t</w:t>
      </w:r>
      <w:r w:rsidR="00735FE4" w:rsidRPr="003B0B84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735FE4" w:rsidRPr="003B0B84">
        <w:rPr>
          <w:rFonts w:ascii="Garamond" w:eastAsia="Times New Roman" w:hAnsi="Garamond" w:cs="Times New Roman"/>
          <w:bCs/>
          <w:sz w:val="24"/>
          <w:szCs w:val="24"/>
        </w:rPr>
        <w:t>ndërmarrë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veprime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rregullatore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kur </w:t>
      </w:r>
      <w:r w:rsidR="0095132D" w:rsidRPr="003B0B84">
        <w:rPr>
          <w:rFonts w:ascii="Garamond" w:eastAsia="Times New Roman" w:hAnsi="Garamond" w:cs="Times New Roman"/>
          <w:bCs/>
          <w:sz w:val="24"/>
          <w:szCs w:val="24"/>
        </w:rPr>
        <w:t>vërehen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devijime nga standardet</w:t>
      </w:r>
      <w:r w:rsidR="009755A3" w:rsidRPr="003B0B84">
        <w:rPr>
          <w:rFonts w:ascii="Garamond" w:eastAsia="Times New Roman" w:hAnsi="Garamond" w:cs="Times New Roman"/>
          <w:bCs/>
          <w:color w:val="EE0000"/>
          <w:sz w:val="24"/>
          <w:szCs w:val="24"/>
        </w:rPr>
        <w:t xml:space="preserve"> </w:t>
      </w:r>
      <w:r w:rsidR="009755A3"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dhe</w:t>
      </w:r>
      <w:r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në të </w:t>
      </w:r>
      <w:r w:rsidR="0095132D" w:rsidRPr="003B0B84">
        <w:rPr>
          <w:rFonts w:ascii="Garamond" w:eastAsia="Times New Roman" w:hAnsi="Garamond" w:cs="Times New Roman"/>
          <w:bCs/>
          <w:sz w:val="24"/>
          <w:szCs w:val="24"/>
        </w:rPr>
        <w:t>njëjtën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kohë të vijojë përpjekjet për rritjen e volumit të tregtimit të bursës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ALPEX</w:t>
      </w:r>
      <w:proofErr w:type="spellEnd"/>
      <w:r w:rsidR="0095132D" w:rsidRPr="003B0B84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në funksion të një tregu transparent, i cili nxit investimet në Energjinë e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Rinovueshme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dhe rrit konkurrencën e ndershme.</w:t>
      </w:r>
    </w:p>
    <w:p w14:paraId="2A112D07" w14:textId="40F11035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B0B84">
        <w:rPr>
          <w:rFonts w:ascii="Garamond" w:eastAsia="Times New Roman" w:hAnsi="Garamond" w:cs="Times New Roman"/>
          <w:bCs/>
          <w:sz w:val="24"/>
          <w:szCs w:val="24"/>
        </w:rPr>
        <w:t>7.</w:t>
      </w:r>
      <w:r w:rsidR="005730A9" w:rsidRPr="003B0B84">
        <w:rPr>
          <w:rFonts w:ascii="Garamond" w:eastAsia="Times New Roman" w:hAnsi="Garamond" w:cs="Times New Roman"/>
          <w:bCs/>
          <w:color w:val="EE0000"/>
          <w:sz w:val="24"/>
          <w:szCs w:val="24"/>
        </w:rPr>
        <w:t xml:space="preserve"> </w:t>
      </w:r>
      <w:r w:rsidR="009755A3" w:rsidRPr="003B0B84">
        <w:rPr>
          <w:rFonts w:ascii="Garamond" w:eastAsia="Times New Roman" w:hAnsi="Garamond" w:cs="Times New Roman"/>
          <w:bCs/>
          <w:sz w:val="24"/>
          <w:szCs w:val="24"/>
        </w:rPr>
        <w:t>T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ë marrë masa për krijimin e një sistemi me </w:t>
      </w:r>
      <w:proofErr w:type="spellStart"/>
      <w:r w:rsidRPr="003B0B84">
        <w:rPr>
          <w:rFonts w:ascii="Garamond" w:eastAsia="Times New Roman" w:hAnsi="Garamond" w:cs="Times New Roman"/>
          <w:bCs/>
          <w:i/>
          <w:iCs/>
          <w:color w:val="000000" w:themeColor="text1"/>
          <w:sz w:val="24"/>
          <w:szCs w:val="24"/>
        </w:rPr>
        <w:t>template</w:t>
      </w:r>
      <w:proofErr w:type="spellEnd"/>
      <w:r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të standar</w:t>
      </w:r>
      <w:r w:rsidR="009755A3"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di</w:t>
      </w:r>
      <w:r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zuar 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për raportimin e bilanceve </w:t>
      </w:r>
      <w:r w:rsidR="005730A9" w:rsidRPr="003B0B84">
        <w:rPr>
          <w:rFonts w:ascii="Garamond" w:eastAsia="Times New Roman" w:hAnsi="Garamond" w:cs="Times New Roman"/>
          <w:bCs/>
          <w:sz w:val="24"/>
          <w:szCs w:val="24"/>
        </w:rPr>
        <w:t>energjetike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nga operatorët e licencuar</w:t>
      </w:r>
      <w:r w:rsidR="005730A9" w:rsidRPr="003B0B84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për të bërë të mundur krijimin e një baze të dhënash më të saktë dhe më të konsoliduar për t</w:t>
      </w:r>
      <w:r w:rsidR="0071045C" w:rsidRPr="003B0B84">
        <w:rPr>
          <w:rFonts w:ascii="Garamond" w:eastAsia="Times New Roman" w:hAnsi="Garamond" w:cs="Times New Roman"/>
          <w:bCs/>
          <w:sz w:val="24"/>
          <w:szCs w:val="24"/>
        </w:rPr>
        <w:t>’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>u analizuar</w:t>
      </w:r>
      <w:r w:rsidR="0071045C" w:rsidRPr="003B0B84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e cila ndikon në përmirësimin e inspektimeve të rregullatorit.</w:t>
      </w:r>
    </w:p>
    <w:p w14:paraId="6FF91DD0" w14:textId="7B079864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8. </w:t>
      </w:r>
      <w:r w:rsidR="009755A3" w:rsidRPr="003B0B84">
        <w:rPr>
          <w:rFonts w:ascii="Garamond" w:eastAsia="Times New Roman" w:hAnsi="Garamond" w:cs="Times New Roman"/>
          <w:bCs/>
          <w:sz w:val="24"/>
          <w:szCs w:val="24"/>
        </w:rPr>
        <w:t>T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ë punojë për zhvillimin e një hapësire të dedikuar në faqen zyrtare të institucionit, ku të publikohen materiale informuese dhe udhëzuese për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eficiencën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e energjisë</w:t>
      </w:r>
      <w:r w:rsidR="00A34763" w:rsidRPr="003B0B84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të cilat kanë si qëllim informimin e publikut dhe aktorëve të tregut, duke kontribuar në rritjen e transparencës dhe në promovimin e praktikave të mira për përdorimin racional të energjisë.</w:t>
      </w:r>
    </w:p>
    <w:p w14:paraId="7D375BF3" w14:textId="0897FA9B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B0B84">
        <w:rPr>
          <w:rFonts w:ascii="Garamond" w:eastAsia="Times New Roman" w:hAnsi="Garamond" w:cs="Times New Roman"/>
          <w:bCs/>
          <w:sz w:val="24"/>
          <w:szCs w:val="24"/>
        </w:rPr>
        <w:t>9.</w:t>
      </w:r>
      <w:r w:rsidR="00A34763"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9755A3" w:rsidRPr="003B0B84">
        <w:rPr>
          <w:rFonts w:ascii="Garamond" w:eastAsia="Times New Roman" w:hAnsi="Garamond" w:cs="Times New Roman"/>
          <w:bCs/>
          <w:sz w:val="24"/>
          <w:szCs w:val="24"/>
        </w:rPr>
        <w:t>T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ë marrë masat që menjëherë pas miratimit të metodologjisë nga Këshilli i </w:t>
      </w:r>
      <w:r w:rsidR="00A34763" w:rsidRPr="003B0B84">
        <w:rPr>
          <w:rFonts w:ascii="Garamond" w:eastAsia="Times New Roman" w:hAnsi="Garamond" w:cs="Times New Roman"/>
          <w:bCs/>
          <w:sz w:val="24"/>
          <w:szCs w:val="24"/>
        </w:rPr>
        <w:t>Ministrave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të miratojë çmimin e energjisë elektrike të prodhuar nga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vetëprodhuesit</w:t>
      </w:r>
      <w:proofErr w:type="spellEnd"/>
      <w:r w:rsidR="00A34763" w:rsidRPr="003B0B84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si dhe të luaj</w:t>
      </w:r>
      <w:r w:rsidR="00A34763" w:rsidRPr="003B0B84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një rol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proaktiv</w:t>
      </w:r>
      <w:proofErr w:type="spellEnd"/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dhe të intensifikojë bashkëpunimin me të gjithë aktorët dhe palët e </w:t>
      </w:r>
      <w:r w:rsidR="00A34763" w:rsidRPr="003B0B84">
        <w:rPr>
          <w:rFonts w:ascii="Garamond" w:eastAsia="Times New Roman" w:hAnsi="Garamond" w:cs="Times New Roman"/>
          <w:bCs/>
          <w:sz w:val="24"/>
          <w:szCs w:val="24"/>
        </w:rPr>
        <w:t>interesit,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me qëllim adresimin e sfidave dhe </w:t>
      </w:r>
      <w:r w:rsidR="00A34763" w:rsidRPr="003B0B84">
        <w:rPr>
          <w:rFonts w:ascii="Garamond" w:eastAsia="Times New Roman" w:hAnsi="Garamond" w:cs="Times New Roman"/>
          <w:bCs/>
          <w:sz w:val="24"/>
          <w:szCs w:val="24"/>
        </w:rPr>
        <w:t>standardizimin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e proceseve që lidhen me promovimin dhe integrimin e projekteve të </w:t>
      </w:r>
      <w:proofErr w:type="spellStart"/>
      <w:r w:rsidRPr="003B0B84">
        <w:rPr>
          <w:rFonts w:ascii="Garamond" w:eastAsia="Times New Roman" w:hAnsi="Garamond" w:cs="Times New Roman"/>
          <w:bCs/>
          <w:sz w:val="24"/>
          <w:szCs w:val="24"/>
        </w:rPr>
        <w:t>vet</w:t>
      </w:r>
      <w:r w:rsidR="00A34763" w:rsidRPr="003B0B84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>prodhuesve</w:t>
      </w:r>
      <w:proofErr w:type="spellEnd"/>
      <w:r w:rsidR="00A34763" w:rsidRPr="003B0B84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duke rritur sigurinë </w:t>
      </w:r>
      <w:r w:rsidR="00A34763" w:rsidRPr="003B0B84">
        <w:rPr>
          <w:rFonts w:ascii="Garamond" w:eastAsia="Times New Roman" w:hAnsi="Garamond" w:cs="Times New Roman"/>
          <w:bCs/>
          <w:sz w:val="24"/>
          <w:szCs w:val="24"/>
        </w:rPr>
        <w:t>energjetike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dhe uljen e ekspozimit të sistemit ndaj kushteve klimatike.</w:t>
      </w:r>
    </w:p>
    <w:p w14:paraId="4FCF6D6A" w14:textId="2C5D6CC7" w:rsidR="00D246DD" w:rsidRPr="003B0B84" w:rsidRDefault="00D246DD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B0B84">
        <w:rPr>
          <w:rFonts w:ascii="Garamond" w:eastAsia="Times New Roman" w:hAnsi="Garamond" w:cs="Times New Roman"/>
          <w:bCs/>
          <w:sz w:val="24"/>
          <w:szCs w:val="24"/>
        </w:rPr>
        <w:t>10.</w:t>
      </w:r>
      <w:r w:rsidR="00355FF6"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Të bashkëpunojë me strukturat përgjegjëse të Kuvendit të Shqipërisë për zhvillimin dhe konsolidimin e metodologjisë </w:t>
      </w:r>
      <w:r w:rsidR="00355FF6" w:rsidRPr="003B0B84">
        <w:rPr>
          <w:rFonts w:ascii="Garamond" w:eastAsia="Times New Roman" w:hAnsi="Garamond" w:cs="Times New Roman"/>
          <w:bCs/>
          <w:sz w:val="24"/>
          <w:szCs w:val="24"/>
        </w:rPr>
        <w:t>s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ë </w:t>
      </w:r>
      <w:r w:rsidR="005E0BA6" w:rsidRPr="003B0B84">
        <w:rPr>
          <w:rFonts w:ascii="Garamond" w:eastAsia="Times New Roman" w:hAnsi="Garamond" w:cs="Times New Roman"/>
          <w:bCs/>
          <w:sz w:val="24"/>
          <w:szCs w:val="24"/>
        </w:rPr>
        <w:t>standardizuar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të treguesve </w:t>
      </w:r>
      <w:r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kyç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të </w:t>
      </w:r>
      <w:proofErr w:type="spellStart"/>
      <w:r w:rsidR="00355FF6" w:rsidRPr="003B0B84">
        <w:rPr>
          <w:rFonts w:ascii="Garamond" w:eastAsia="Times New Roman" w:hAnsi="Garamond" w:cs="Times New Roman"/>
          <w:bCs/>
          <w:sz w:val="24"/>
          <w:szCs w:val="24"/>
        </w:rPr>
        <w:t>performancës</w:t>
      </w:r>
      <w:proofErr w:type="spellEnd"/>
      <w:r w:rsidR="00355FF6" w:rsidRPr="003B0B84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 si bazë për monitorimin dhe vlerësimin</w:t>
      </w:r>
      <w:r w:rsidR="005A124D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>e zbatimit të rekomandimeve</w:t>
      </w:r>
      <w:r w:rsidR="005A124D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të </w:t>
      </w:r>
      <w:r w:rsidR="009755A3" w:rsidRPr="003B0B8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r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ezolutës </w:t>
      </w:r>
      <w:r w:rsidR="00355FF6" w:rsidRPr="003B0B84">
        <w:rPr>
          <w:rFonts w:ascii="Garamond" w:eastAsia="Times New Roman" w:hAnsi="Garamond" w:cs="Times New Roman"/>
          <w:bCs/>
          <w:sz w:val="24"/>
          <w:szCs w:val="24"/>
        </w:rPr>
        <w:t>s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>ë Kuvendit</w:t>
      </w:r>
      <w:r w:rsidR="00355FF6" w:rsidRPr="003B0B84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5A124D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 xml:space="preserve">në funksion të llogaridhënies dhe mbikëqyrjes parlamentare. Ky angazhim të përmbushet brenda </w:t>
      </w:r>
      <w:r w:rsidR="00355FF6" w:rsidRPr="003B0B84">
        <w:rPr>
          <w:rFonts w:ascii="Garamond" w:eastAsia="Times New Roman" w:hAnsi="Garamond" w:cs="Times New Roman"/>
          <w:bCs/>
          <w:sz w:val="24"/>
          <w:szCs w:val="24"/>
        </w:rPr>
        <w:t>3-</w:t>
      </w:r>
      <w:r w:rsidRPr="003B0B84">
        <w:rPr>
          <w:rFonts w:ascii="Garamond" w:eastAsia="Times New Roman" w:hAnsi="Garamond" w:cs="Times New Roman"/>
          <w:bCs/>
          <w:sz w:val="24"/>
          <w:szCs w:val="24"/>
        </w:rPr>
        <w:t>mujorit të tretë të këtij viti.</w:t>
      </w:r>
      <w:bookmarkStart w:id="0" w:name="_GoBack"/>
      <w:bookmarkEnd w:id="0"/>
    </w:p>
    <w:p w14:paraId="4AB67C0F" w14:textId="63A56A53" w:rsidR="00255063" w:rsidRPr="003B0B84" w:rsidRDefault="00255063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</w:p>
    <w:p w14:paraId="221649EC" w14:textId="4D45DFAB" w:rsidR="00EB62DE" w:rsidRPr="003B0B84" w:rsidRDefault="00A755F6" w:rsidP="003B0B8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B0B84">
        <w:rPr>
          <w:rFonts w:ascii="Garamond" w:hAnsi="Garamond" w:cs="Times New Roman"/>
          <w:sz w:val="24"/>
          <w:szCs w:val="24"/>
        </w:rPr>
        <w:t xml:space="preserve">Miratuar në datën </w:t>
      </w:r>
      <w:r w:rsidR="00415C1C" w:rsidRPr="003B0B84">
        <w:rPr>
          <w:rFonts w:ascii="Garamond" w:hAnsi="Garamond" w:cs="Times New Roman"/>
          <w:sz w:val="24"/>
          <w:szCs w:val="24"/>
        </w:rPr>
        <w:t>16.</w:t>
      </w:r>
      <w:r w:rsidR="00255063" w:rsidRPr="003B0B84">
        <w:rPr>
          <w:rFonts w:ascii="Garamond" w:hAnsi="Garamond" w:cs="Times New Roman"/>
          <w:sz w:val="24"/>
          <w:szCs w:val="24"/>
        </w:rPr>
        <w:t>7</w:t>
      </w:r>
      <w:r w:rsidR="00181D50" w:rsidRPr="003B0B84">
        <w:rPr>
          <w:rFonts w:ascii="Garamond" w:hAnsi="Garamond" w:cs="Times New Roman"/>
          <w:sz w:val="24"/>
          <w:szCs w:val="24"/>
        </w:rPr>
        <w:t>.</w:t>
      </w:r>
      <w:r w:rsidR="003C57D3" w:rsidRPr="003B0B84">
        <w:rPr>
          <w:rFonts w:ascii="Garamond" w:hAnsi="Garamond" w:cs="Times New Roman"/>
          <w:sz w:val="24"/>
          <w:szCs w:val="24"/>
        </w:rPr>
        <w:t>202</w:t>
      </w:r>
      <w:r w:rsidR="00275863" w:rsidRPr="003B0B84">
        <w:rPr>
          <w:rFonts w:ascii="Garamond" w:hAnsi="Garamond" w:cs="Times New Roman"/>
          <w:sz w:val="24"/>
          <w:szCs w:val="24"/>
        </w:rPr>
        <w:t>6</w:t>
      </w:r>
      <w:r w:rsidR="005A124D">
        <w:rPr>
          <w:rFonts w:ascii="Garamond" w:hAnsi="Garamond" w:cs="Times New Roman"/>
          <w:sz w:val="24"/>
          <w:szCs w:val="24"/>
        </w:rPr>
        <w:t>.</w:t>
      </w:r>
    </w:p>
    <w:p w14:paraId="03BB5B42" w14:textId="56422823" w:rsidR="00415C1C" w:rsidRDefault="00415C1C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</w:p>
    <w:p w14:paraId="758AA797" w14:textId="77777777" w:rsidR="001B6EA5" w:rsidRPr="00792DED" w:rsidRDefault="001B6EA5" w:rsidP="001B6EA5">
      <w:pPr>
        <w:spacing w:after="0" w:line="240" w:lineRule="auto"/>
        <w:jc w:val="right"/>
        <w:rPr>
          <w:rFonts w:ascii="Garamond" w:eastAsia="MS Mincho" w:hAnsi="Garamond" w:cs="Times New Roman"/>
          <w:sz w:val="24"/>
          <w:szCs w:val="24"/>
        </w:rPr>
      </w:pPr>
      <w:r w:rsidRPr="00792DED">
        <w:rPr>
          <w:rFonts w:ascii="Garamond" w:eastAsia="MS Mincho" w:hAnsi="Garamond" w:cs="Times New Roman"/>
          <w:sz w:val="24"/>
          <w:szCs w:val="24"/>
        </w:rPr>
        <w:t xml:space="preserve">KRYETAR </w:t>
      </w:r>
    </w:p>
    <w:p w14:paraId="634C5127" w14:textId="77777777" w:rsidR="001B6EA5" w:rsidRPr="00792DED" w:rsidRDefault="001B6EA5" w:rsidP="001B6EA5">
      <w:pPr>
        <w:spacing w:after="0" w:line="240" w:lineRule="auto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proofErr w:type="spellStart"/>
      <w:r w:rsidRPr="00792DED">
        <w:rPr>
          <w:rFonts w:ascii="Garamond" w:eastAsia="MS Mincho" w:hAnsi="Garamond" w:cs="Times New Roman"/>
          <w:b/>
          <w:bCs/>
          <w:sz w:val="24"/>
          <w:szCs w:val="24"/>
        </w:rPr>
        <w:t>Niko</w:t>
      </w:r>
      <w:proofErr w:type="spellEnd"/>
      <w:r w:rsidRPr="00792DED">
        <w:rPr>
          <w:rFonts w:ascii="Garamond" w:eastAsia="MS Mincho" w:hAnsi="Garamond" w:cs="Times New Roman"/>
          <w:b/>
          <w:bCs/>
          <w:sz w:val="24"/>
          <w:szCs w:val="24"/>
        </w:rPr>
        <w:t xml:space="preserve"> </w:t>
      </w:r>
      <w:proofErr w:type="spellStart"/>
      <w:r w:rsidRPr="00792DED">
        <w:rPr>
          <w:rFonts w:ascii="Garamond" w:eastAsia="MS Mincho" w:hAnsi="Garamond" w:cs="Times New Roman"/>
          <w:b/>
          <w:bCs/>
          <w:sz w:val="24"/>
          <w:szCs w:val="24"/>
        </w:rPr>
        <w:t>Peleshi</w:t>
      </w:r>
      <w:proofErr w:type="spellEnd"/>
    </w:p>
    <w:p w14:paraId="430AB5E9" w14:textId="77777777" w:rsidR="003B0B84" w:rsidRPr="003B0B84" w:rsidRDefault="003B0B84" w:rsidP="003B0B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</w:p>
    <w:sectPr w:rsidR="003B0B84" w:rsidRPr="003B0B84" w:rsidSect="008D54B5">
      <w:footerReference w:type="default" r:id="rId13"/>
      <w:pgSz w:w="11907" w:h="16840" w:code="9"/>
      <w:pgMar w:top="1152" w:right="1152" w:bottom="115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F4A47B" w14:textId="77777777" w:rsidR="005A124D" w:rsidRDefault="005A124D" w:rsidP="00C86383">
      <w:pPr>
        <w:spacing w:after="0" w:line="240" w:lineRule="auto"/>
      </w:pPr>
      <w:r>
        <w:separator/>
      </w:r>
    </w:p>
  </w:endnote>
  <w:endnote w:type="continuationSeparator" w:id="0">
    <w:p w14:paraId="32287D7A" w14:textId="77777777" w:rsidR="005A124D" w:rsidRDefault="005A124D" w:rsidP="00C86383">
      <w:pPr>
        <w:spacing w:after="0" w:line="240" w:lineRule="auto"/>
      </w:pPr>
      <w:r>
        <w:continuationSeparator/>
      </w:r>
    </w:p>
  </w:endnote>
  <w:endnote w:type="continuationNotice" w:id="1">
    <w:p w14:paraId="05D7D8E9" w14:textId="77777777" w:rsidR="002309A1" w:rsidRDefault="002309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315C39D" w:rsidR="005A124D" w:rsidRPr="00E7684C" w:rsidRDefault="005A124D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5A124D" w:rsidRDefault="005A12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DBF127" w14:textId="77777777" w:rsidR="005A124D" w:rsidRDefault="005A124D" w:rsidP="00C86383">
      <w:pPr>
        <w:spacing w:after="0" w:line="240" w:lineRule="auto"/>
      </w:pPr>
      <w:r>
        <w:separator/>
      </w:r>
    </w:p>
  </w:footnote>
  <w:footnote w:type="continuationSeparator" w:id="0">
    <w:p w14:paraId="428EAA36" w14:textId="77777777" w:rsidR="005A124D" w:rsidRDefault="005A124D" w:rsidP="00C86383">
      <w:pPr>
        <w:spacing w:after="0" w:line="240" w:lineRule="auto"/>
      </w:pPr>
      <w:r>
        <w:continuationSeparator/>
      </w:r>
    </w:p>
  </w:footnote>
  <w:footnote w:type="continuationNotice" w:id="1">
    <w:p w14:paraId="4B12B4A2" w14:textId="77777777" w:rsidR="002309A1" w:rsidRDefault="002309A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37E73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1AD"/>
    <w:rsid w:val="000D1518"/>
    <w:rsid w:val="000D476A"/>
    <w:rsid w:val="000D6847"/>
    <w:rsid w:val="000E127F"/>
    <w:rsid w:val="000E3E8D"/>
    <w:rsid w:val="000E4797"/>
    <w:rsid w:val="000E5355"/>
    <w:rsid w:val="000E715F"/>
    <w:rsid w:val="000F121E"/>
    <w:rsid w:val="000F417A"/>
    <w:rsid w:val="0010178D"/>
    <w:rsid w:val="001049FD"/>
    <w:rsid w:val="001113F8"/>
    <w:rsid w:val="00114DD0"/>
    <w:rsid w:val="001156F1"/>
    <w:rsid w:val="00121DB5"/>
    <w:rsid w:val="00125D8E"/>
    <w:rsid w:val="0012738F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2F2B"/>
    <w:rsid w:val="00172F2C"/>
    <w:rsid w:val="00176BBD"/>
    <w:rsid w:val="0018119B"/>
    <w:rsid w:val="00181B37"/>
    <w:rsid w:val="00181D50"/>
    <w:rsid w:val="00184409"/>
    <w:rsid w:val="001858C3"/>
    <w:rsid w:val="00191634"/>
    <w:rsid w:val="001A79AF"/>
    <w:rsid w:val="001B134B"/>
    <w:rsid w:val="001B6D41"/>
    <w:rsid w:val="001B6EA5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6DD8"/>
    <w:rsid w:val="002176D7"/>
    <w:rsid w:val="002202CB"/>
    <w:rsid w:val="00223BB0"/>
    <w:rsid w:val="0022618D"/>
    <w:rsid w:val="002309A1"/>
    <w:rsid w:val="00233A67"/>
    <w:rsid w:val="002359AF"/>
    <w:rsid w:val="00237CB2"/>
    <w:rsid w:val="00240C54"/>
    <w:rsid w:val="00240E91"/>
    <w:rsid w:val="00243068"/>
    <w:rsid w:val="00244B19"/>
    <w:rsid w:val="00244D0F"/>
    <w:rsid w:val="00255063"/>
    <w:rsid w:val="00262768"/>
    <w:rsid w:val="00262C8A"/>
    <w:rsid w:val="00266214"/>
    <w:rsid w:val="00275863"/>
    <w:rsid w:val="00275F33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4590"/>
    <w:rsid w:val="0034558C"/>
    <w:rsid w:val="00351908"/>
    <w:rsid w:val="003556E0"/>
    <w:rsid w:val="003557DA"/>
    <w:rsid w:val="00355FF6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B0B84"/>
    <w:rsid w:val="003C3B41"/>
    <w:rsid w:val="003C51DC"/>
    <w:rsid w:val="003C57D3"/>
    <w:rsid w:val="003D23B3"/>
    <w:rsid w:val="003D6B2B"/>
    <w:rsid w:val="003E08F3"/>
    <w:rsid w:val="003E1716"/>
    <w:rsid w:val="003E193B"/>
    <w:rsid w:val="003E3131"/>
    <w:rsid w:val="003E334D"/>
    <w:rsid w:val="003E39E2"/>
    <w:rsid w:val="003E3F68"/>
    <w:rsid w:val="003E53A6"/>
    <w:rsid w:val="003E6C60"/>
    <w:rsid w:val="003F623E"/>
    <w:rsid w:val="003F66F6"/>
    <w:rsid w:val="004029FA"/>
    <w:rsid w:val="00402A6A"/>
    <w:rsid w:val="00413F47"/>
    <w:rsid w:val="00415C1C"/>
    <w:rsid w:val="0042060E"/>
    <w:rsid w:val="004215B2"/>
    <w:rsid w:val="00430EDA"/>
    <w:rsid w:val="004354FA"/>
    <w:rsid w:val="0043625A"/>
    <w:rsid w:val="00440837"/>
    <w:rsid w:val="00441F4D"/>
    <w:rsid w:val="00444E53"/>
    <w:rsid w:val="004530EE"/>
    <w:rsid w:val="0045672F"/>
    <w:rsid w:val="00457EDB"/>
    <w:rsid w:val="00461180"/>
    <w:rsid w:val="004615DB"/>
    <w:rsid w:val="00462270"/>
    <w:rsid w:val="00463738"/>
    <w:rsid w:val="0046513F"/>
    <w:rsid w:val="00477C33"/>
    <w:rsid w:val="00480C37"/>
    <w:rsid w:val="00480E67"/>
    <w:rsid w:val="00480EEA"/>
    <w:rsid w:val="004819A5"/>
    <w:rsid w:val="004847B6"/>
    <w:rsid w:val="00485242"/>
    <w:rsid w:val="00493028"/>
    <w:rsid w:val="0049616C"/>
    <w:rsid w:val="004A1A20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3625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0F5C"/>
    <w:rsid w:val="005228B2"/>
    <w:rsid w:val="005228E2"/>
    <w:rsid w:val="00524B85"/>
    <w:rsid w:val="00526332"/>
    <w:rsid w:val="00533A29"/>
    <w:rsid w:val="005356E4"/>
    <w:rsid w:val="00537CC2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57EF9"/>
    <w:rsid w:val="00564D41"/>
    <w:rsid w:val="00566A66"/>
    <w:rsid w:val="00567336"/>
    <w:rsid w:val="005675CA"/>
    <w:rsid w:val="005730A9"/>
    <w:rsid w:val="0057463C"/>
    <w:rsid w:val="005861D8"/>
    <w:rsid w:val="00587E45"/>
    <w:rsid w:val="00595D7E"/>
    <w:rsid w:val="00596AC7"/>
    <w:rsid w:val="00597F1B"/>
    <w:rsid w:val="005A124D"/>
    <w:rsid w:val="005A4BF2"/>
    <w:rsid w:val="005A6A5B"/>
    <w:rsid w:val="005B26B4"/>
    <w:rsid w:val="005B4F54"/>
    <w:rsid w:val="005C0232"/>
    <w:rsid w:val="005C275E"/>
    <w:rsid w:val="005C7FD6"/>
    <w:rsid w:val="005D008B"/>
    <w:rsid w:val="005D2C27"/>
    <w:rsid w:val="005D79C0"/>
    <w:rsid w:val="005E0B16"/>
    <w:rsid w:val="005E0BA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0FC0"/>
    <w:rsid w:val="00684857"/>
    <w:rsid w:val="00686471"/>
    <w:rsid w:val="006870DA"/>
    <w:rsid w:val="00695534"/>
    <w:rsid w:val="006A1126"/>
    <w:rsid w:val="006A155C"/>
    <w:rsid w:val="006A586F"/>
    <w:rsid w:val="006B27CE"/>
    <w:rsid w:val="006B2B4C"/>
    <w:rsid w:val="006B790D"/>
    <w:rsid w:val="006C2AEE"/>
    <w:rsid w:val="006D3004"/>
    <w:rsid w:val="006D6CF7"/>
    <w:rsid w:val="006E5794"/>
    <w:rsid w:val="006F2FA3"/>
    <w:rsid w:val="006F6C44"/>
    <w:rsid w:val="00700DFF"/>
    <w:rsid w:val="00702A04"/>
    <w:rsid w:val="0070337B"/>
    <w:rsid w:val="00704D02"/>
    <w:rsid w:val="007064AB"/>
    <w:rsid w:val="00706557"/>
    <w:rsid w:val="00707C51"/>
    <w:rsid w:val="0071045C"/>
    <w:rsid w:val="007134F3"/>
    <w:rsid w:val="0071531C"/>
    <w:rsid w:val="00717DD1"/>
    <w:rsid w:val="00721911"/>
    <w:rsid w:val="00721F94"/>
    <w:rsid w:val="00722A76"/>
    <w:rsid w:val="0072372F"/>
    <w:rsid w:val="007259CC"/>
    <w:rsid w:val="007312D6"/>
    <w:rsid w:val="00735FE4"/>
    <w:rsid w:val="007427F3"/>
    <w:rsid w:val="00750776"/>
    <w:rsid w:val="007512E6"/>
    <w:rsid w:val="00752319"/>
    <w:rsid w:val="00753621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383F"/>
    <w:rsid w:val="007B6844"/>
    <w:rsid w:val="007B7A9E"/>
    <w:rsid w:val="007C05DC"/>
    <w:rsid w:val="007C0DC8"/>
    <w:rsid w:val="007C1E4A"/>
    <w:rsid w:val="007C6F84"/>
    <w:rsid w:val="007F04D3"/>
    <w:rsid w:val="007F16F8"/>
    <w:rsid w:val="007F1C28"/>
    <w:rsid w:val="007F2061"/>
    <w:rsid w:val="007F43C4"/>
    <w:rsid w:val="007F750C"/>
    <w:rsid w:val="00800011"/>
    <w:rsid w:val="008010B2"/>
    <w:rsid w:val="00802041"/>
    <w:rsid w:val="00802244"/>
    <w:rsid w:val="00803B7B"/>
    <w:rsid w:val="008112C7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1A15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833"/>
    <w:rsid w:val="008B6B1A"/>
    <w:rsid w:val="008B74C4"/>
    <w:rsid w:val="008C2832"/>
    <w:rsid w:val="008C4109"/>
    <w:rsid w:val="008C42CC"/>
    <w:rsid w:val="008C498A"/>
    <w:rsid w:val="008C63A2"/>
    <w:rsid w:val="008C7273"/>
    <w:rsid w:val="008D0CC8"/>
    <w:rsid w:val="008D114F"/>
    <w:rsid w:val="008D3DD2"/>
    <w:rsid w:val="008D41C9"/>
    <w:rsid w:val="008D54B5"/>
    <w:rsid w:val="008D5CDA"/>
    <w:rsid w:val="008D7A71"/>
    <w:rsid w:val="008E13AA"/>
    <w:rsid w:val="008E2C2A"/>
    <w:rsid w:val="008F0F64"/>
    <w:rsid w:val="008F16D6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132D"/>
    <w:rsid w:val="0095624F"/>
    <w:rsid w:val="009571C2"/>
    <w:rsid w:val="00960704"/>
    <w:rsid w:val="00960B17"/>
    <w:rsid w:val="00962253"/>
    <w:rsid w:val="00964622"/>
    <w:rsid w:val="009700C5"/>
    <w:rsid w:val="00971602"/>
    <w:rsid w:val="009755A3"/>
    <w:rsid w:val="0098506C"/>
    <w:rsid w:val="009851C8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1F3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17BD2"/>
    <w:rsid w:val="00A215AB"/>
    <w:rsid w:val="00A22178"/>
    <w:rsid w:val="00A241B8"/>
    <w:rsid w:val="00A241BF"/>
    <w:rsid w:val="00A3090A"/>
    <w:rsid w:val="00A34763"/>
    <w:rsid w:val="00A503B4"/>
    <w:rsid w:val="00A5392D"/>
    <w:rsid w:val="00A558AE"/>
    <w:rsid w:val="00A564E2"/>
    <w:rsid w:val="00A67678"/>
    <w:rsid w:val="00A74915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4DA6"/>
    <w:rsid w:val="00B1678C"/>
    <w:rsid w:val="00B22C15"/>
    <w:rsid w:val="00B242A8"/>
    <w:rsid w:val="00B35261"/>
    <w:rsid w:val="00B41476"/>
    <w:rsid w:val="00B5008E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C2D31"/>
    <w:rsid w:val="00BD592D"/>
    <w:rsid w:val="00BD5A4B"/>
    <w:rsid w:val="00BF0A3E"/>
    <w:rsid w:val="00BF1682"/>
    <w:rsid w:val="00BF3D89"/>
    <w:rsid w:val="00C011E1"/>
    <w:rsid w:val="00C01267"/>
    <w:rsid w:val="00C01362"/>
    <w:rsid w:val="00C122ED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67716"/>
    <w:rsid w:val="00C829DC"/>
    <w:rsid w:val="00C86383"/>
    <w:rsid w:val="00C9434B"/>
    <w:rsid w:val="00C96F2B"/>
    <w:rsid w:val="00CA0814"/>
    <w:rsid w:val="00CA0EBE"/>
    <w:rsid w:val="00CA57B6"/>
    <w:rsid w:val="00CB1F79"/>
    <w:rsid w:val="00CB2325"/>
    <w:rsid w:val="00CB232E"/>
    <w:rsid w:val="00CC291B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21EC"/>
    <w:rsid w:val="00D17929"/>
    <w:rsid w:val="00D2027A"/>
    <w:rsid w:val="00D22C59"/>
    <w:rsid w:val="00D246DD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3074"/>
    <w:rsid w:val="00DA5786"/>
    <w:rsid w:val="00DB2262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E3F5E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3AAA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945D4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34EB"/>
    <w:rsid w:val="00EE4C8B"/>
    <w:rsid w:val="00EE6A25"/>
    <w:rsid w:val="00EF6235"/>
    <w:rsid w:val="00F05169"/>
    <w:rsid w:val="00F0526E"/>
    <w:rsid w:val="00F05EA7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5BC9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B5BD2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4281A572B842F39C27D17B354B66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2026-07-23T07:53:00Z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2026-07-22T00:00:00Z</Date_x0020_protokolli>
    <Titulli xmlns="0e656187-b300-4fb0-8bf4-3a50f872073c">Për vlerësimin e veprimtarisë së Entit Rregullator të Energjisë për vitin 2025 dhe rekomandimet për vitin 2026</Titulli>
    <Modifikuesi xmlns="0e656187-b300-4fb0-8bf4-3a50f872073c">ermira.bukaci</Modifikuesi>
    <Nr_x002e__x0020_prot_x0020_QBZ xmlns="0e656187-b300-4fb0-8bf4-3a50f872073c">1637/11</Nr_x002e__x0020_prot_x0020_QBZ>
    <Data_x0020_e_x0020_Modifikimit xmlns="0e656187-b300-4fb0-8bf4-3a50f872073c">2026-07-23T09:08:43Z</Data_x0020_e_x0020_Modifikimit>
    <Dekretuar xmlns="0e656187-b300-4fb0-8bf4-3a50f872073c">false</Dekretuar>
    <Data xmlns="0e656187-b300-4fb0-8bf4-3a50f872073c">2026-07-16T00:00:00Z</Data>
    <Nr_x002e__x0020_protokolli_x0020_i_x0020_aktit xmlns="0e656187-b300-4fb0-8bf4-3a50f872073c">3180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4281A572B842F39C27D17B354B66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24E3D-19E4-460C-8C72-D9A82E3320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774193D-0837-4B8A-9346-2857AD87340C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2E39EB4E-34A8-4097-ACCD-FAC1A2381A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AD02AD-45E5-40B4-97A6-F7463AB55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D642335-55F5-49D4-8BF5-59934CF0A23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6EA31F9-A58F-417C-AC92-2E32B89F2C6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2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Alma Lisaku</cp:lastModifiedBy>
  <cp:revision>217</cp:revision>
  <cp:lastPrinted>2026-07-16T10:40:00Z</cp:lastPrinted>
  <dcterms:created xsi:type="dcterms:W3CDTF">2019-04-04T07:08:00Z</dcterms:created>
  <dcterms:modified xsi:type="dcterms:W3CDTF">2026-07-23T10:04:00Z</dcterms:modified>
</cp:coreProperties>
</file>