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45B04F62" w:rsidR="00493028" w:rsidRPr="00AE4518" w:rsidRDefault="0042060E" w:rsidP="000F5955">
      <w:pPr>
        <w:spacing w:after="0" w:line="240" w:lineRule="auto"/>
        <w:ind w:firstLine="284"/>
        <w:jc w:val="center"/>
        <w:rPr>
          <w:rFonts w:ascii="Garamond" w:eastAsia="Times New Roman" w:hAnsi="Garamond" w:cs="Times New Roman"/>
          <w:b/>
          <w:sz w:val="24"/>
          <w:szCs w:val="24"/>
        </w:rPr>
      </w:pPr>
      <w:r w:rsidRPr="00AE4518">
        <w:rPr>
          <w:rFonts w:ascii="Garamond" w:eastAsia="Times New Roman" w:hAnsi="Garamond" w:cs="Times New Roman"/>
          <w:b/>
          <w:sz w:val="24"/>
          <w:szCs w:val="24"/>
        </w:rPr>
        <w:t>REZOLUT</w:t>
      </w:r>
      <w:r w:rsidR="007F1C28" w:rsidRPr="00AE4518">
        <w:rPr>
          <w:rFonts w:ascii="Garamond" w:eastAsia="Times New Roman" w:hAnsi="Garamond" w:cs="Times New Roman"/>
          <w:b/>
          <w:sz w:val="24"/>
          <w:szCs w:val="24"/>
        </w:rPr>
        <w:t>Ë</w:t>
      </w:r>
      <w:r w:rsidR="00493028" w:rsidRPr="00AE4518">
        <w:rPr>
          <w:rFonts w:ascii="Garamond" w:eastAsia="Times New Roman" w:hAnsi="Garamond" w:cs="Times New Roman"/>
          <w:b/>
          <w:sz w:val="24"/>
          <w:szCs w:val="24"/>
        </w:rPr>
        <w:t xml:space="preserve"> </w:t>
      </w:r>
    </w:p>
    <w:p w14:paraId="18089A2B" w14:textId="77777777" w:rsidR="0042060E" w:rsidRPr="00AE4518" w:rsidRDefault="0042060E" w:rsidP="000F5955">
      <w:pPr>
        <w:spacing w:after="0" w:line="240" w:lineRule="auto"/>
        <w:ind w:firstLine="284"/>
        <w:jc w:val="both"/>
        <w:rPr>
          <w:rFonts w:ascii="Garamond" w:eastAsia="Times New Roman" w:hAnsi="Garamond" w:cs="Times New Roman"/>
          <w:b/>
          <w:sz w:val="24"/>
          <w:szCs w:val="24"/>
        </w:rPr>
      </w:pPr>
    </w:p>
    <w:p w14:paraId="4C45E9A1" w14:textId="77777777" w:rsidR="002B43B4" w:rsidRPr="00AE4518" w:rsidRDefault="002B43B4" w:rsidP="000F5955">
      <w:pPr>
        <w:spacing w:after="0" w:line="240" w:lineRule="auto"/>
        <w:ind w:firstLine="284"/>
        <w:jc w:val="center"/>
        <w:rPr>
          <w:rFonts w:ascii="Garamond" w:eastAsia="Times New Roman" w:hAnsi="Garamond" w:cs="Times New Roman"/>
          <w:b/>
          <w:sz w:val="24"/>
          <w:szCs w:val="24"/>
        </w:rPr>
      </w:pPr>
      <w:r w:rsidRPr="00AE4518">
        <w:rPr>
          <w:rFonts w:ascii="Garamond" w:eastAsia="Times New Roman" w:hAnsi="Garamond" w:cs="Times New Roman"/>
          <w:b/>
          <w:sz w:val="24"/>
          <w:szCs w:val="24"/>
        </w:rPr>
        <w:t>PËR VLERËSIMIN E VEPRIMTARISË SË KËSHILLIT TË LARTË GJYQËSOR PËR VITIN 2025 DHE REKOMANDIMET PËR VITIN 2026</w:t>
      </w:r>
    </w:p>
    <w:p w14:paraId="3120B223" w14:textId="77777777" w:rsidR="002B43B4" w:rsidRPr="00AE4518" w:rsidRDefault="002B43B4" w:rsidP="000F5955">
      <w:pPr>
        <w:spacing w:after="0" w:line="240" w:lineRule="auto"/>
        <w:ind w:firstLine="284"/>
        <w:jc w:val="center"/>
        <w:rPr>
          <w:rFonts w:ascii="Garamond" w:eastAsia="Times New Roman" w:hAnsi="Garamond" w:cs="Times New Roman"/>
          <w:b/>
          <w:sz w:val="24"/>
          <w:szCs w:val="24"/>
        </w:rPr>
      </w:pPr>
    </w:p>
    <w:p w14:paraId="20C87C63" w14:textId="71BD3708" w:rsidR="002B43B4" w:rsidRPr="00AE4518" w:rsidRDefault="002B43B4" w:rsidP="000F5955">
      <w:pPr>
        <w:spacing w:after="0" w:line="240" w:lineRule="auto"/>
        <w:ind w:firstLine="284"/>
        <w:jc w:val="both"/>
        <w:rPr>
          <w:rFonts w:ascii="Garamond" w:eastAsia="Times New Roman" w:hAnsi="Garamond" w:cs="Times New Roman"/>
          <w:b/>
          <w:sz w:val="24"/>
          <w:szCs w:val="24"/>
        </w:rPr>
      </w:pPr>
      <w:r w:rsidRPr="00AE4518">
        <w:rPr>
          <w:rFonts w:ascii="Garamond" w:eastAsia="Times New Roman" w:hAnsi="Garamond" w:cs="Times New Roman"/>
          <w:b/>
          <w:sz w:val="24"/>
          <w:szCs w:val="24"/>
        </w:rPr>
        <w:t>Kuvendi i Shqipërisë,</w:t>
      </w:r>
    </w:p>
    <w:p w14:paraId="504457E5"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Duke vlerësuar rolin kushtetues të Këshillit të Lartë Gjyqësor në garantimin e pavarësisë, përgjegjshmërisë, mirëfunksionimit dhe administrimit efektiv të pushtetit gjyqësor në Republikën e Shqipërisë; </w:t>
      </w:r>
    </w:p>
    <w:p w14:paraId="68ECBF49" w14:textId="1BD404D0"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Duke mbajtur parasysh kompetencat e Këshillit të Lartë Gjyqësor</w:t>
      </w:r>
      <w:r w:rsid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lidhje me emërimin, caktimin në pozicion, transferimin, ngritjen në detyrë, komandimin, riemërimin, vlerësimin etik dhe profesional, si dhe procedimin disiplinor dhe pezullimin e gjyqtarëve të </w:t>
      </w:r>
      <w:proofErr w:type="spellStart"/>
      <w:r w:rsidRPr="00AE4518">
        <w:rPr>
          <w:rFonts w:ascii="Garamond" w:eastAsia="Times New Roman" w:hAnsi="Garamond" w:cs="Times New Roman"/>
          <w:bCs/>
          <w:sz w:val="24"/>
          <w:szCs w:val="24"/>
        </w:rPr>
        <w:t>të</w:t>
      </w:r>
      <w:proofErr w:type="spellEnd"/>
      <w:r w:rsidRPr="00AE4518">
        <w:rPr>
          <w:rFonts w:ascii="Garamond" w:eastAsia="Times New Roman" w:hAnsi="Garamond" w:cs="Times New Roman"/>
          <w:bCs/>
          <w:sz w:val="24"/>
          <w:szCs w:val="24"/>
        </w:rPr>
        <w:t xml:space="preserve"> gjitha niveleve të sistemit gjyqësor; </w:t>
      </w:r>
    </w:p>
    <w:p w14:paraId="5D733E37" w14:textId="301E231A"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Duke nënvizuar rëndësinë e bashkëpunimit institucional ndërmjet Këshillit të Lartë Gjyqësor dhe Shkollës së Magjistraturës, veçanërisht në drejtim të formimit fillestar dhe vazhdues të gjyqtarëve, si dhe të procesit të emërimit të tyre pas përfundimit të Shkollës</w:t>
      </w:r>
      <w:r w:rsidR="00AE4518">
        <w:rPr>
          <w:rFonts w:ascii="Garamond" w:eastAsia="Times New Roman" w:hAnsi="Garamond" w:cs="Times New Roman"/>
          <w:bCs/>
          <w:sz w:val="24"/>
          <w:szCs w:val="24"/>
        </w:rPr>
        <w:t xml:space="preserve"> së Magjistraturës;</w:t>
      </w:r>
    </w:p>
    <w:p w14:paraId="2926B6FF" w14:textId="332BAD5A"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Duke theksuar rolin e Këshillit të Lartë Gjyqësor në drejtimin, organizimin dhe mbikëqyrjen e administrimit gjyqësor nëpërmjet hartimit dhe zbatimit të politikave për administrimin e gjykatave, monitorimin e ngarkesës së punës së gjyqtarëve dhe gjykatave, ndjekjen e kohëzgjatjes së çështjeve gjyqësore, si dhe miratimin e standardeve dhe rregullave të brendshme për funksionimin e gjykatave; </w:t>
      </w:r>
    </w:p>
    <w:p w14:paraId="4D472782"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Duke mbajtur në konsideratë nevojën për forcimin e kapaciteteve institucionale dhe administrative të Këshillit të Lartë Gjyqësor, në funksion të garantimit të mbarëvajtjes dhe </w:t>
      </w:r>
      <w:proofErr w:type="spellStart"/>
      <w:r w:rsidRPr="00AE4518">
        <w:rPr>
          <w:rFonts w:ascii="Garamond" w:eastAsia="Times New Roman" w:hAnsi="Garamond" w:cs="Times New Roman"/>
          <w:bCs/>
          <w:sz w:val="24"/>
          <w:szCs w:val="24"/>
        </w:rPr>
        <w:t>eficiencës</w:t>
      </w:r>
      <w:proofErr w:type="spellEnd"/>
      <w:r w:rsidRPr="00AE4518">
        <w:rPr>
          <w:rFonts w:ascii="Garamond" w:eastAsia="Times New Roman" w:hAnsi="Garamond" w:cs="Times New Roman"/>
          <w:bCs/>
          <w:sz w:val="24"/>
          <w:szCs w:val="24"/>
        </w:rPr>
        <w:t xml:space="preserve"> së sistemit gjyqësor; </w:t>
      </w:r>
    </w:p>
    <w:p w14:paraId="3DC37C05" w14:textId="635E494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Duke mbajtur parasysh rëndësinë e informimit periodik të Kuvendit dhe publikut </w:t>
      </w:r>
      <w:r w:rsidR="003C33F2"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gjendjen, </w:t>
      </w:r>
      <w:proofErr w:type="spellStart"/>
      <w:r w:rsidRPr="00AE4518">
        <w:rPr>
          <w:rFonts w:ascii="Garamond" w:eastAsia="Times New Roman" w:hAnsi="Garamond" w:cs="Times New Roman"/>
          <w:bCs/>
          <w:sz w:val="24"/>
          <w:szCs w:val="24"/>
        </w:rPr>
        <w:t>performancën</w:t>
      </w:r>
      <w:proofErr w:type="spellEnd"/>
      <w:r w:rsidRPr="00AE4518">
        <w:rPr>
          <w:rFonts w:ascii="Garamond" w:eastAsia="Times New Roman" w:hAnsi="Garamond" w:cs="Times New Roman"/>
          <w:bCs/>
          <w:sz w:val="24"/>
          <w:szCs w:val="24"/>
        </w:rPr>
        <w:t xml:space="preserve"> dhe sfidat e sistemit gjyqësor në Republikën e Shqipërisë;</w:t>
      </w:r>
    </w:p>
    <w:p w14:paraId="0F79A4D6" w14:textId="02FEA8A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Duke theksuar rëndësinë e garantimit të gjykimit brenda një afati të arsyeshëm, reduktimit të numrit të çështjeve të prapambetura dhe përmirësimit të cilësisë së administrimit gjyqësor</w:t>
      </w:r>
      <w:r w:rsid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përputhje me Kushtetutën, Konventën Evropiane për të Drejtat e Njeriut dhe standardet e Komisionit Evropian për</w:t>
      </w:r>
      <w:r w:rsidR="00B432B3" w:rsidRPr="00AE4518">
        <w:rPr>
          <w:rFonts w:ascii="Garamond" w:eastAsia="Times New Roman" w:hAnsi="Garamond" w:cs="Times New Roman"/>
          <w:bCs/>
          <w:sz w:val="24"/>
          <w:szCs w:val="24"/>
        </w:rPr>
        <w:t xml:space="preserve"> </w:t>
      </w:r>
      <w:proofErr w:type="spellStart"/>
      <w:r w:rsidR="00B432B3" w:rsidRPr="00AE4518">
        <w:rPr>
          <w:rFonts w:ascii="Garamond" w:eastAsia="Times New Roman" w:hAnsi="Garamond" w:cs="Times New Roman"/>
          <w:bCs/>
          <w:sz w:val="24"/>
          <w:szCs w:val="24"/>
        </w:rPr>
        <w:t>Eficiencën</w:t>
      </w:r>
      <w:proofErr w:type="spellEnd"/>
      <w:r w:rsidR="00B432B3" w:rsidRPr="00AE4518">
        <w:rPr>
          <w:rFonts w:ascii="Garamond" w:eastAsia="Times New Roman" w:hAnsi="Garamond" w:cs="Times New Roman"/>
          <w:bCs/>
          <w:sz w:val="24"/>
          <w:szCs w:val="24"/>
        </w:rPr>
        <w:t xml:space="preserve"> </w:t>
      </w:r>
      <w:r w:rsidRPr="00AE4518">
        <w:rPr>
          <w:rFonts w:ascii="Garamond" w:eastAsia="Times New Roman" w:hAnsi="Garamond" w:cs="Times New Roman"/>
          <w:bCs/>
          <w:sz w:val="24"/>
          <w:szCs w:val="24"/>
        </w:rPr>
        <w:t>e Drejtësisë (</w:t>
      </w:r>
      <w:proofErr w:type="spellStart"/>
      <w:r w:rsidRPr="00AE4518">
        <w:rPr>
          <w:rFonts w:ascii="Garamond" w:eastAsia="Times New Roman" w:hAnsi="Garamond" w:cs="Times New Roman"/>
          <w:bCs/>
          <w:sz w:val="24"/>
          <w:szCs w:val="24"/>
        </w:rPr>
        <w:t>CEPEJ</w:t>
      </w:r>
      <w:proofErr w:type="spellEnd"/>
      <w:r w:rsidRPr="00AE4518">
        <w:rPr>
          <w:rFonts w:ascii="Garamond" w:eastAsia="Times New Roman" w:hAnsi="Garamond" w:cs="Times New Roman"/>
          <w:bCs/>
          <w:sz w:val="24"/>
          <w:szCs w:val="24"/>
        </w:rPr>
        <w:t>)</w:t>
      </w:r>
      <w:r w:rsidR="00AE4518">
        <w:rPr>
          <w:rFonts w:ascii="Garamond" w:eastAsia="Times New Roman" w:hAnsi="Garamond" w:cs="Times New Roman"/>
          <w:bCs/>
          <w:sz w:val="24"/>
          <w:szCs w:val="24"/>
        </w:rPr>
        <w:t>,</w:t>
      </w:r>
      <w:r w:rsidR="00B432B3" w:rsidRPr="00AE4518">
        <w:rPr>
          <w:rFonts w:ascii="Garamond" w:eastAsia="Times New Roman" w:hAnsi="Garamond" w:cs="Times New Roman"/>
          <w:bCs/>
          <w:sz w:val="24"/>
          <w:szCs w:val="24"/>
        </w:rPr>
        <w:t xml:space="preserve"> </w:t>
      </w:r>
    </w:p>
    <w:p w14:paraId="722945A6" w14:textId="4F96E309" w:rsidR="002B43B4" w:rsidRPr="00AE4518" w:rsidRDefault="002B43B4" w:rsidP="000F5955">
      <w:pPr>
        <w:spacing w:after="0" w:line="240" w:lineRule="auto"/>
        <w:ind w:firstLine="284"/>
        <w:jc w:val="both"/>
        <w:rPr>
          <w:rFonts w:ascii="Garamond" w:eastAsia="Times New Roman" w:hAnsi="Garamond" w:cs="Times New Roman"/>
          <w:b/>
          <w:sz w:val="24"/>
          <w:szCs w:val="24"/>
        </w:rPr>
      </w:pPr>
      <w:r w:rsidRPr="00AE4518">
        <w:rPr>
          <w:rFonts w:ascii="Garamond" w:eastAsia="Times New Roman" w:hAnsi="Garamond" w:cs="Times New Roman"/>
          <w:b/>
          <w:sz w:val="24"/>
          <w:szCs w:val="24"/>
        </w:rPr>
        <w:t xml:space="preserve">Bazuar në analizën e të dhënave të vitit 2025 të referuara në raportin e paraqitur nga Këshilli i Lartë Gjyqësor, konstaton: </w:t>
      </w:r>
    </w:p>
    <w:p w14:paraId="2A6FB183" w14:textId="08DE779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Zhvillimin e 69 mbledhjeve plenare dhe miratimin e 882 vendimeve gjatë vitit 2025 krahasuar me 65 mbledhje plenare dhe 764 vendime gjatë vitit 2024, duke reflektuar rritje të aktivitetit administrativ dhe vendimmarrës të Kës</w:t>
      </w:r>
      <w:r w:rsidR="00AE4518">
        <w:rPr>
          <w:rFonts w:ascii="Garamond" w:eastAsia="Times New Roman" w:hAnsi="Garamond" w:cs="Times New Roman"/>
          <w:bCs/>
          <w:sz w:val="24"/>
          <w:szCs w:val="24"/>
        </w:rPr>
        <w:t>hillit të Lartë Gjyqësor.</w:t>
      </w:r>
    </w:p>
    <w:p w14:paraId="19F9BDB7" w14:textId="5337793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Miratimin e akteve nënligjore me karakter normativ për procedurat e ngritjes në detyrë dhe kriteret për emërimin në pozicionet drejtuese të gjykatave të shkallës së parë dhe të dytë, duke adresuar një nga boshllëqet kryesore të evidentuara më herët në adm</w:t>
      </w:r>
      <w:r w:rsidR="00AE4518">
        <w:rPr>
          <w:rFonts w:ascii="Garamond" w:eastAsia="Times New Roman" w:hAnsi="Garamond" w:cs="Times New Roman"/>
          <w:bCs/>
          <w:sz w:val="24"/>
          <w:szCs w:val="24"/>
        </w:rPr>
        <w:t>inistrimin e sistemit gjyqësor.</w:t>
      </w:r>
    </w:p>
    <w:p w14:paraId="1CEFE821" w14:textId="543DE822"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Vijimin e masave për forcimin e transparencës institucionale dhe komunikimit publik përmes trajtimit të kërkesave për të drejtën e informimit, publikimit të vazhdueshëm të </w:t>
      </w:r>
      <w:proofErr w:type="spellStart"/>
      <w:r w:rsidRPr="00AE4518">
        <w:rPr>
          <w:rFonts w:ascii="Garamond" w:eastAsia="Times New Roman" w:hAnsi="Garamond" w:cs="Times New Roman"/>
          <w:bCs/>
          <w:sz w:val="24"/>
          <w:szCs w:val="24"/>
        </w:rPr>
        <w:t>të</w:t>
      </w:r>
      <w:proofErr w:type="spellEnd"/>
      <w:r w:rsidRPr="00AE4518">
        <w:rPr>
          <w:rFonts w:ascii="Garamond" w:eastAsia="Times New Roman" w:hAnsi="Garamond" w:cs="Times New Roman"/>
          <w:bCs/>
          <w:sz w:val="24"/>
          <w:szCs w:val="24"/>
        </w:rPr>
        <w:t xml:space="preserve"> dhënave</w:t>
      </w:r>
      <w:r w:rsidR="00032920" w:rsidRPr="00AE4518">
        <w:rPr>
          <w:rFonts w:ascii="Garamond" w:eastAsia="Times New Roman" w:hAnsi="Garamond" w:cs="Times New Roman"/>
          <w:bCs/>
          <w:sz w:val="24"/>
          <w:szCs w:val="24"/>
        </w:rPr>
        <w:t xml:space="preserve"> për</w:t>
      </w:r>
      <w:r w:rsidRPr="00AE4518">
        <w:rPr>
          <w:rFonts w:ascii="Garamond" w:eastAsia="Times New Roman" w:hAnsi="Garamond" w:cs="Times New Roman"/>
          <w:bCs/>
          <w:sz w:val="24"/>
          <w:szCs w:val="24"/>
        </w:rPr>
        <w:t xml:space="preserve"> karrierën e gjyqtarëve dhe vendimmarrjen e Këshillit, si dhe zbatimit të Plan</w:t>
      </w:r>
      <w:r w:rsidR="00AE4518">
        <w:rPr>
          <w:rFonts w:ascii="Garamond" w:eastAsia="Times New Roman" w:hAnsi="Garamond" w:cs="Times New Roman"/>
          <w:bCs/>
          <w:sz w:val="24"/>
          <w:szCs w:val="24"/>
        </w:rPr>
        <w:t>it të Komunikimit për Gjykatat.</w:t>
      </w:r>
    </w:p>
    <w:p w14:paraId="3AA8FAE0" w14:textId="6D21699A"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Sigurimin e vazhdimësisë së funksionit të gjyqtarëve të medias dhe forcimin e komunikimit të gjykatave me publikun dhe median</w:t>
      </w:r>
      <w:r w:rsidR="006E6ACC" w:rsidRP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funksion të rritjes së besimit publik në sistemin gjyqësor dhe transpare</w:t>
      </w:r>
      <w:r w:rsidR="00AE4518">
        <w:rPr>
          <w:rFonts w:ascii="Garamond" w:eastAsia="Times New Roman" w:hAnsi="Garamond" w:cs="Times New Roman"/>
          <w:bCs/>
          <w:sz w:val="24"/>
          <w:szCs w:val="24"/>
        </w:rPr>
        <w:t>ncës së veprimtarisë gjyqësore.</w:t>
      </w:r>
    </w:p>
    <w:p w14:paraId="7FAD48C0" w14:textId="36D3A48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Vijimin e masave për përmirësimin e treguesve të transparencës institucionale dhe </w:t>
      </w:r>
      <w:proofErr w:type="spellStart"/>
      <w:r w:rsidRPr="00AE4518">
        <w:rPr>
          <w:rFonts w:ascii="Garamond" w:eastAsia="Times New Roman" w:hAnsi="Garamond" w:cs="Times New Roman"/>
          <w:bCs/>
          <w:sz w:val="24"/>
          <w:szCs w:val="24"/>
        </w:rPr>
        <w:t>aksesit</w:t>
      </w:r>
      <w:proofErr w:type="spellEnd"/>
      <w:r w:rsidRPr="00AE4518">
        <w:rPr>
          <w:rFonts w:ascii="Garamond" w:eastAsia="Times New Roman" w:hAnsi="Garamond" w:cs="Times New Roman"/>
          <w:bCs/>
          <w:sz w:val="24"/>
          <w:szCs w:val="24"/>
        </w:rPr>
        <w:t xml:space="preserve"> publik në informacion, duke u reflektuar në vlerësimin me 13 pikë në Indeksin e Transparencës </w:t>
      </w:r>
      <w:proofErr w:type="spellStart"/>
      <w:r w:rsidRPr="00AE4518">
        <w:rPr>
          <w:rFonts w:ascii="Garamond" w:eastAsia="Times New Roman" w:hAnsi="Garamond" w:cs="Times New Roman"/>
          <w:bCs/>
          <w:sz w:val="24"/>
          <w:szCs w:val="24"/>
        </w:rPr>
        <w:t>Proaktive</w:t>
      </w:r>
      <w:proofErr w:type="spellEnd"/>
      <w:r w:rsidRPr="00AE4518">
        <w:rPr>
          <w:rFonts w:ascii="Garamond" w:eastAsia="Times New Roman" w:hAnsi="Garamond" w:cs="Times New Roman"/>
          <w:bCs/>
          <w:sz w:val="24"/>
          <w:szCs w:val="24"/>
        </w:rPr>
        <w:t xml:space="preserve"> për vitin 2025 ku</w:t>
      </w:r>
      <w:r w:rsidR="00AE4518">
        <w:rPr>
          <w:rFonts w:ascii="Garamond" w:eastAsia="Times New Roman" w:hAnsi="Garamond" w:cs="Times New Roman"/>
          <w:bCs/>
          <w:sz w:val="24"/>
          <w:szCs w:val="24"/>
        </w:rPr>
        <w:t>ndrejt 12 pikëve në vitin 2024.</w:t>
      </w:r>
    </w:p>
    <w:p w14:paraId="35CCE4BD" w14:textId="2EB46A5C"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Vijimin e procesit të standardizimit të praktikave administrative dhe organizative në sistemin gjyqësor, përmes konsultimit të </w:t>
      </w:r>
      <w:proofErr w:type="spellStart"/>
      <w:r w:rsidRPr="00AE4518">
        <w:rPr>
          <w:rFonts w:ascii="Garamond" w:eastAsia="Times New Roman" w:hAnsi="Garamond" w:cs="Times New Roman"/>
          <w:bCs/>
          <w:sz w:val="24"/>
          <w:szCs w:val="24"/>
        </w:rPr>
        <w:t>projektakteve</w:t>
      </w:r>
      <w:proofErr w:type="spellEnd"/>
      <w:r w:rsidRPr="00AE4518">
        <w:rPr>
          <w:rFonts w:ascii="Garamond" w:eastAsia="Times New Roman" w:hAnsi="Garamond" w:cs="Times New Roman"/>
          <w:bCs/>
          <w:sz w:val="24"/>
          <w:szCs w:val="24"/>
        </w:rPr>
        <w:t xml:space="preserve"> me gjykatat dhe përfshirjes së tyre në proceset e planifikimit d</w:t>
      </w:r>
      <w:r w:rsidR="00AE4518">
        <w:rPr>
          <w:rFonts w:ascii="Garamond" w:eastAsia="Times New Roman" w:hAnsi="Garamond" w:cs="Times New Roman"/>
          <w:bCs/>
          <w:sz w:val="24"/>
          <w:szCs w:val="24"/>
        </w:rPr>
        <w:t>he administrimit institucional.</w:t>
      </w:r>
    </w:p>
    <w:p w14:paraId="106FEB39" w14:textId="5E0EDC64"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Bashkëpunimin ndërinstitucional me institucionet e sistemit të drejtësisë, partnerët ndërkombëtarë, përfaqësuesit diplomatikë dhe ekspertët ndërkombëtarë, në funksion të forcimit të reformës në drejtësi dhe përmirësimit të standardeve të fun</w:t>
      </w:r>
      <w:r w:rsidR="00AE4518">
        <w:rPr>
          <w:rFonts w:ascii="Garamond" w:eastAsia="Times New Roman" w:hAnsi="Garamond" w:cs="Times New Roman"/>
          <w:bCs/>
          <w:sz w:val="24"/>
          <w:szCs w:val="24"/>
        </w:rPr>
        <w:t>ksionimit të sistemit gjyqësor.</w:t>
      </w:r>
    </w:p>
    <w:p w14:paraId="309FA4E7" w14:textId="6CAD6016"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Angazhimin aktiv</w:t>
      </w:r>
      <w:r w:rsid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kuadër të procesit të integrimit evropian përmes raportimit të zhvillimeve dhe rezultateve të arritura, përditësimit të masave të kërkuara nga Bashkimi Evropian dhe kontributit në </w:t>
      </w:r>
      <w:r w:rsidRPr="00AE4518">
        <w:rPr>
          <w:rFonts w:ascii="Garamond" w:eastAsia="Times New Roman" w:hAnsi="Garamond" w:cs="Times New Roman"/>
          <w:bCs/>
          <w:sz w:val="24"/>
          <w:szCs w:val="24"/>
        </w:rPr>
        <w:lastRenderedPageBreak/>
        <w:t xml:space="preserve">përmbushjen e rekomandimeve të </w:t>
      </w:r>
      <w:r w:rsidR="00AE4518">
        <w:rPr>
          <w:rFonts w:ascii="Garamond" w:eastAsia="Times New Roman" w:hAnsi="Garamond" w:cs="Times New Roman"/>
          <w:bCs/>
          <w:sz w:val="24"/>
          <w:szCs w:val="24"/>
        </w:rPr>
        <w:t>k</w:t>
      </w:r>
      <w:r w:rsidRPr="00AE4518">
        <w:rPr>
          <w:rFonts w:ascii="Garamond" w:eastAsia="Times New Roman" w:hAnsi="Garamond" w:cs="Times New Roman"/>
          <w:bCs/>
          <w:sz w:val="24"/>
          <w:szCs w:val="24"/>
        </w:rPr>
        <w:t xml:space="preserve">apitullit 23 “Gjyqësori dhe të drejtat themelore” dhe </w:t>
      </w:r>
      <w:r w:rsidR="00AE4518">
        <w:rPr>
          <w:rFonts w:ascii="Garamond" w:eastAsia="Times New Roman" w:hAnsi="Garamond" w:cs="Times New Roman"/>
          <w:bCs/>
          <w:sz w:val="24"/>
          <w:szCs w:val="24"/>
        </w:rPr>
        <w:t>k</w:t>
      </w:r>
      <w:r w:rsidRPr="00AE4518">
        <w:rPr>
          <w:rFonts w:ascii="Garamond" w:eastAsia="Times New Roman" w:hAnsi="Garamond" w:cs="Times New Roman"/>
          <w:bCs/>
          <w:sz w:val="24"/>
          <w:szCs w:val="24"/>
        </w:rPr>
        <w:t xml:space="preserve">apitullit 24 </w:t>
      </w:r>
      <w:r w:rsidR="00AE4518">
        <w:rPr>
          <w:rFonts w:ascii="Garamond" w:eastAsia="Times New Roman" w:hAnsi="Garamond" w:cs="Times New Roman"/>
          <w:bCs/>
          <w:sz w:val="24"/>
          <w:szCs w:val="24"/>
        </w:rPr>
        <w:t>“Drejtësia, liria dhe siguria”.</w:t>
      </w:r>
    </w:p>
    <w:p w14:paraId="7785F86C" w14:textId="68EF4245"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Vijimin e procesit të vlerësimit etik dhe profesional të gjyqtarëve përmes miratimit të 59 raporteve të vlerësimit gjatë vitit 2025</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krahasuar me 34 raporte gjatë vitit 2024, si dhe 249 raporteve në total për periudhën 2020</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2025, duke reflektuar rritje të ritmit të procedurave të vlerësimit dhe forcim gradual të mekanizmave të </w:t>
      </w:r>
      <w:proofErr w:type="spellStart"/>
      <w:r w:rsidRPr="00AE4518">
        <w:rPr>
          <w:rFonts w:ascii="Garamond" w:eastAsia="Times New Roman" w:hAnsi="Garamond" w:cs="Times New Roman"/>
          <w:bCs/>
          <w:sz w:val="24"/>
          <w:szCs w:val="24"/>
        </w:rPr>
        <w:t>meri</w:t>
      </w:r>
      <w:r w:rsidR="002F771B">
        <w:rPr>
          <w:rFonts w:ascii="Garamond" w:eastAsia="Times New Roman" w:hAnsi="Garamond" w:cs="Times New Roman"/>
          <w:bCs/>
          <w:sz w:val="24"/>
          <w:szCs w:val="24"/>
        </w:rPr>
        <w:t>tokracisë</w:t>
      </w:r>
      <w:proofErr w:type="spellEnd"/>
      <w:r w:rsidR="002F771B">
        <w:rPr>
          <w:rFonts w:ascii="Garamond" w:eastAsia="Times New Roman" w:hAnsi="Garamond" w:cs="Times New Roman"/>
          <w:bCs/>
          <w:sz w:val="24"/>
          <w:szCs w:val="24"/>
        </w:rPr>
        <w:t xml:space="preserve"> në sistemin gjyqësor.</w:t>
      </w:r>
    </w:p>
    <w:p w14:paraId="69984483" w14:textId="57E78824"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Angazhimin për rritjen e kapaciteteve të strukturave përgjegjëse për vlerësimin profesional të gjyqtarëve përmes shtimit të burimeve njerëzore dhe organizative, në funksion të përshpejtimit të procedurave të karrierës dhe promovimit. </w:t>
      </w:r>
    </w:p>
    <w:p w14:paraId="11894A68" w14:textId="0188F1C9"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Angazhimin në plotësimin e </w:t>
      </w:r>
      <w:proofErr w:type="spellStart"/>
      <w:r w:rsidRPr="00AE4518">
        <w:rPr>
          <w:rFonts w:ascii="Garamond" w:eastAsia="Times New Roman" w:hAnsi="Garamond" w:cs="Times New Roman"/>
          <w:bCs/>
          <w:sz w:val="24"/>
          <w:szCs w:val="24"/>
        </w:rPr>
        <w:t>vakancave</w:t>
      </w:r>
      <w:proofErr w:type="spellEnd"/>
      <w:r w:rsidRPr="00AE4518">
        <w:rPr>
          <w:rFonts w:ascii="Garamond" w:eastAsia="Times New Roman" w:hAnsi="Garamond" w:cs="Times New Roman"/>
          <w:bCs/>
          <w:sz w:val="24"/>
          <w:szCs w:val="24"/>
        </w:rPr>
        <w:t xml:space="preserve"> në sistemin gjyqësor dhe përgatitjen e brezit të ri të magjistratëve përmes emërimit të 42 gjyqtarëve të rinj krahasuar me 32 emërime gjatë vitit 2024, miratimit të kuotave për kandidatët për magjistratë </w:t>
      </w:r>
      <w:r w:rsidRPr="00AE4518">
        <w:rPr>
          <w:rFonts w:ascii="Garamond" w:eastAsia="Times New Roman" w:hAnsi="Garamond" w:cs="Times New Roman"/>
          <w:bCs/>
          <w:color w:val="000000" w:themeColor="text1"/>
          <w:sz w:val="24"/>
          <w:szCs w:val="24"/>
        </w:rPr>
        <w:t xml:space="preserve">dhe ndihmës ligjorë, </w:t>
      </w:r>
      <w:r w:rsidRPr="00AE4518">
        <w:rPr>
          <w:rFonts w:ascii="Garamond" w:eastAsia="Times New Roman" w:hAnsi="Garamond" w:cs="Times New Roman"/>
          <w:bCs/>
          <w:sz w:val="24"/>
          <w:szCs w:val="24"/>
        </w:rPr>
        <w:t>si dhe vijimit të procedurave të verifikimit për pranimi</w:t>
      </w:r>
      <w:r w:rsidR="002F771B">
        <w:rPr>
          <w:rFonts w:ascii="Garamond" w:eastAsia="Times New Roman" w:hAnsi="Garamond" w:cs="Times New Roman"/>
          <w:bCs/>
          <w:sz w:val="24"/>
          <w:szCs w:val="24"/>
        </w:rPr>
        <w:t>n në Shkollën e Magjistraturës.</w:t>
      </w:r>
    </w:p>
    <w:p w14:paraId="5AF83213" w14:textId="05589ED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Miratimin e 126 vendimeve</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kuadër të procedurave të ngritjes në detyrë dhe finalizimin e 12 procedurave të promovimit në gjykatat me ngarkesën më të lartë të çështjeve, veçanërisht në Gjykatën e Apelit të Juridiksionit të Përgjithshëm dhe Gjy</w:t>
      </w:r>
      <w:r w:rsidR="002F771B">
        <w:rPr>
          <w:rFonts w:ascii="Garamond" w:eastAsia="Times New Roman" w:hAnsi="Garamond" w:cs="Times New Roman"/>
          <w:bCs/>
          <w:sz w:val="24"/>
          <w:szCs w:val="24"/>
        </w:rPr>
        <w:t>katën Administrative të Apelit.</w:t>
      </w:r>
    </w:p>
    <w:p w14:paraId="7EA5E8E0" w14:textId="5B7DBAB0"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Vijimin e procedurave të promovimit dhe lëvizjes në karrierë në nivelet më të larta të sistemit gjyqësor, përfshirë Gjykatën e Lartë, Gjykatën Administrative të Apelit dhe gjykatat e posaçme, në funksion të plotësimit gradual të </w:t>
      </w:r>
      <w:proofErr w:type="spellStart"/>
      <w:r w:rsidRPr="00AE4518">
        <w:rPr>
          <w:rFonts w:ascii="Garamond" w:eastAsia="Times New Roman" w:hAnsi="Garamond" w:cs="Times New Roman"/>
          <w:bCs/>
          <w:sz w:val="24"/>
          <w:szCs w:val="24"/>
        </w:rPr>
        <w:t>vakancave</w:t>
      </w:r>
      <w:proofErr w:type="spellEnd"/>
      <w:r w:rsidRPr="00AE4518">
        <w:rPr>
          <w:rFonts w:ascii="Garamond" w:eastAsia="Times New Roman" w:hAnsi="Garamond" w:cs="Times New Roman"/>
          <w:bCs/>
          <w:sz w:val="24"/>
          <w:szCs w:val="24"/>
        </w:rPr>
        <w:t xml:space="preserve"> dhe garantimit të </w:t>
      </w:r>
      <w:r w:rsidR="002F771B">
        <w:rPr>
          <w:rFonts w:ascii="Garamond" w:eastAsia="Times New Roman" w:hAnsi="Garamond" w:cs="Times New Roman"/>
          <w:bCs/>
          <w:sz w:val="24"/>
          <w:szCs w:val="24"/>
        </w:rPr>
        <w:t>funksionalitetit institucional.</w:t>
      </w:r>
    </w:p>
    <w:p w14:paraId="3DE3E1BF" w14:textId="1AFE533A"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Ndërmarrjen e masave organizative për garantimin e funksionalitetit të gjykatave përmes përdorimit të mekanizmave të delegimit, caktimit të përkohshëm dhe lëvizjeve paralele të gjyqtarëve, me fokus kryesisht gjykatat me ngarkesë të lartë</w:t>
      </w:r>
      <w:r w:rsidR="002F771B">
        <w:rPr>
          <w:rFonts w:ascii="Garamond" w:eastAsia="Times New Roman" w:hAnsi="Garamond" w:cs="Times New Roman"/>
          <w:bCs/>
          <w:sz w:val="24"/>
          <w:szCs w:val="24"/>
        </w:rPr>
        <w:t xml:space="preserve"> dhe </w:t>
      </w:r>
      <w:proofErr w:type="spellStart"/>
      <w:r w:rsidR="002F771B">
        <w:rPr>
          <w:rFonts w:ascii="Garamond" w:eastAsia="Times New Roman" w:hAnsi="Garamond" w:cs="Times New Roman"/>
          <w:bCs/>
          <w:sz w:val="24"/>
          <w:szCs w:val="24"/>
        </w:rPr>
        <w:t>vakanca</w:t>
      </w:r>
      <w:proofErr w:type="spellEnd"/>
      <w:r w:rsidR="002F771B">
        <w:rPr>
          <w:rFonts w:ascii="Garamond" w:eastAsia="Times New Roman" w:hAnsi="Garamond" w:cs="Times New Roman"/>
          <w:bCs/>
          <w:sz w:val="24"/>
          <w:szCs w:val="24"/>
        </w:rPr>
        <w:t xml:space="preserve"> të konsiderueshme.</w:t>
      </w:r>
    </w:p>
    <w:p w14:paraId="6A582657" w14:textId="3C261D10"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Miratimin e Udhërrëfyesit për Efikasitetin e Pushtetit Gjyqësor në Shqipëri 2025</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2027, si dokumenti i parë strategjik i fokusuar posaçërisht në rritjen e efikasitetit gjyqësor, reduktimin e </w:t>
      </w:r>
      <w:proofErr w:type="spellStart"/>
      <w:r w:rsidRPr="00AE4518">
        <w:rPr>
          <w:rFonts w:ascii="Garamond" w:eastAsia="Times New Roman" w:hAnsi="Garamond" w:cs="Times New Roman"/>
          <w:bCs/>
          <w:i/>
          <w:iCs/>
          <w:sz w:val="24"/>
          <w:szCs w:val="24"/>
        </w:rPr>
        <w:t>backlog</w:t>
      </w:r>
      <w:proofErr w:type="spellEnd"/>
      <w:r w:rsidRPr="00AE4518">
        <w:rPr>
          <w:rFonts w:ascii="Garamond" w:eastAsia="Times New Roman" w:hAnsi="Garamond" w:cs="Times New Roman"/>
          <w:bCs/>
          <w:sz w:val="24"/>
          <w:szCs w:val="24"/>
        </w:rPr>
        <w:t xml:space="preserve">-ut, forcimin e kapaciteteve administrative dhe digjitalizimin e sistemit gjyqësor, në përputhje me standardet e </w:t>
      </w:r>
      <w:proofErr w:type="spellStart"/>
      <w:r w:rsidRPr="00AE4518">
        <w:rPr>
          <w:rFonts w:ascii="Garamond" w:eastAsia="Times New Roman" w:hAnsi="Garamond" w:cs="Times New Roman"/>
          <w:bCs/>
          <w:sz w:val="24"/>
          <w:szCs w:val="24"/>
        </w:rPr>
        <w:t>CEPEJ</w:t>
      </w:r>
      <w:proofErr w:type="spellEnd"/>
      <w:r w:rsidRPr="00AE4518">
        <w:rPr>
          <w:rFonts w:ascii="Garamond" w:eastAsia="Times New Roman" w:hAnsi="Garamond" w:cs="Times New Roman"/>
          <w:bCs/>
          <w:sz w:val="24"/>
          <w:szCs w:val="24"/>
        </w:rPr>
        <w:t>-it dhe rek</w:t>
      </w:r>
      <w:r w:rsidR="002F771B">
        <w:rPr>
          <w:rFonts w:ascii="Garamond" w:eastAsia="Times New Roman" w:hAnsi="Garamond" w:cs="Times New Roman"/>
          <w:bCs/>
          <w:sz w:val="24"/>
          <w:szCs w:val="24"/>
        </w:rPr>
        <w:t>omandimet e Bashkimit Evropian.</w:t>
      </w:r>
    </w:p>
    <w:p w14:paraId="52C3BC29" w14:textId="0FB9B58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Rritjen e kapaciteteve profesionale të gjyqtarëve dhe stafit administrativ, si dhe angazhimin në analizimin e situatës së gjykatave dhe nevojave të siste</w:t>
      </w:r>
      <w:r w:rsidR="002F771B">
        <w:rPr>
          <w:rFonts w:ascii="Garamond" w:eastAsia="Times New Roman" w:hAnsi="Garamond" w:cs="Times New Roman"/>
          <w:bCs/>
          <w:sz w:val="24"/>
          <w:szCs w:val="24"/>
        </w:rPr>
        <w:t>mit gjyqësor në nivel kombëtar.</w:t>
      </w:r>
    </w:p>
    <w:p w14:paraId="3A164198" w14:textId="64468459"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Bashkëpunimin e vazhdueshëm me gjykatat</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funksion të hartimit dhe zbatimit të Strategjisë për Uljen e Numrit të Çështjeve të Prapambetura, si dhe përfshirjen e tyre në procesin e planifikimit strategjik të sistemit gjyqësor për periudhën 2025</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2027. </w:t>
      </w:r>
    </w:p>
    <w:p w14:paraId="02DF2FC0"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Mbështetjen e Qendrës së Teknologjisë së Informacionit dhe ndërmarrjen e masave për standardizimin e infrastrukturës teknologjike në sistemin gjyqësor, përfshirë forcimin e kapaciteteve teknike dhe mbështetëse. </w:t>
      </w:r>
    </w:p>
    <w:p w14:paraId="47378FD2" w14:textId="5CD2C56B"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Implementimin e projekteve strategjike të digjitalizimit, përfshirë zhvillimin e sistemit </w:t>
      </w:r>
      <w:proofErr w:type="spellStart"/>
      <w:r w:rsidRPr="002F771B">
        <w:rPr>
          <w:rFonts w:ascii="Garamond" w:eastAsia="Times New Roman" w:hAnsi="Garamond" w:cs="Times New Roman"/>
          <w:bCs/>
          <w:i/>
          <w:sz w:val="24"/>
          <w:szCs w:val="24"/>
        </w:rPr>
        <w:t>Enterprise</w:t>
      </w:r>
      <w:proofErr w:type="spellEnd"/>
      <w:r w:rsidRPr="002F771B">
        <w:rPr>
          <w:rFonts w:ascii="Garamond" w:eastAsia="Times New Roman" w:hAnsi="Garamond" w:cs="Times New Roman"/>
          <w:bCs/>
          <w:i/>
          <w:sz w:val="24"/>
          <w:szCs w:val="24"/>
        </w:rPr>
        <w:t xml:space="preserve"> </w:t>
      </w:r>
      <w:proofErr w:type="spellStart"/>
      <w:r w:rsidRPr="002F771B">
        <w:rPr>
          <w:rFonts w:ascii="Garamond" w:eastAsia="Times New Roman" w:hAnsi="Garamond" w:cs="Times New Roman"/>
          <w:bCs/>
          <w:i/>
          <w:sz w:val="24"/>
          <w:szCs w:val="24"/>
        </w:rPr>
        <w:t>Service</w:t>
      </w:r>
      <w:proofErr w:type="spellEnd"/>
      <w:r w:rsidRPr="002F771B">
        <w:rPr>
          <w:rFonts w:ascii="Garamond" w:eastAsia="Times New Roman" w:hAnsi="Garamond" w:cs="Times New Roman"/>
          <w:bCs/>
          <w:i/>
          <w:sz w:val="24"/>
          <w:szCs w:val="24"/>
        </w:rPr>
        <w:t xml:space="preserve"> </w:t>
      </w:r>
      <w:proofErr w:type="spellStart"/>
      <w:r w:rsidRPr="002F771B">
        <w:rPr>
          <w:rFonts w:ascii="Garamond" w:eastAsia="Times New Roman" w:hAnsi="Garamond" w:cs="Times New Roman"/>
          <w:bCs/>
          <w:i/>
          <w:sz w:val="24"/>
          <w:szCs w:val="24"/>
        </w:rPr>
        <w:t>Bus</w:t>
      </w:r>
      <w:proofErr w:type="spellEnd"/>
      <w:r w:rsidRPr="00AE4518">
        <w:rPr>
          <w:rFonts w:ascii="Garamond" w:eastAsia="Times New Roman" w:hAnsi="Garamond" w:cs="Times New Roman"/>
          <w:bCs/>
          <w:sz w:val="24"/>
          <w:szCs w:val="24"/>
        </w:rPr>
        <w:t xml:space="preserve"> (</w:t>
      </w:r>
      <w:proofErr w:type="spellStart"/>
      <w:r w:rsidRPr="00AE4518">
        <w:rPr>
          <w:rFonts w:ascii="Garamond" w:eastAsia="Times New Roman" w:hAnsi="Garamond" w:cs="Times New Roman"/>
          <w:bCs/>
          <w:sz w:val="24"/>
          <w:szCs w:val="24"/>
        </w:rPr>
        <w:t>ESB</w:t>
      </w:r>
      <w:proofErr w:type="spellEnd"/>
      <w:r w:rsidRPr="00AE4518">
        <w:rPr>
          <w:rFonts w:ascii="Garamond" w:eastAsia="Times New Roman" w:hAnsi="Garamond" w:cs="Times New Roman"/>
          <w:bCs/>
          <w:sz w:val="24"/>
          <w:szCs w:val="24"/>
        </w:rPr>
        <w:t xml:space="preserve">), digjitalizimin e arkivave, zgjerimin e shërbimeve elektronike në portalin </w:t>
      </w:r>
      <w:r w:rsidRPr="002F771B">
        <w:rPr>
          <w:rFonts w:ascii="Garamond" w:eastAsia="Times New Roman" w:hAnsi="Garamond" w:cs="Times New Roman"/>
          <w:bCs/>
          <w:i/>
          <w:sz w:val="24"/>
          <w:szCs w:val="24"/>
        </w:rPr>
        <w:t>e-</w:t>
      </w:r>
      <w:proofErr w:type="spellStart"/>
      <w:r w:rsidRPr="002F771B">
        <w:rPr>
          <w:rFonts w:ascii="Garamond" w:eastAsia="Times New Roman" w:hAnsi="Garamond" w:cs="Times New Roman"/>
          <w:bCs/>
          <w:i/>
          <w:sz w:val="24"/>
          <w:szCs w:val="24"/>
        </w:rPr>
        <w:t>Albania</w:t>
      </w:r>
      <w:proofErr w:type="spellEnd"/>
      <w:r w:rsidRPr="00AE4518">
        <w:rPr>
          <w:rFonts w:ascii="Garamond" w:eastAsia="Times New Roman" w:hAnsi="Garamond" w:cs="Times New Roman"/>
          <w:bCs/>
          <w:sz w:val="24"/>
          <w:szCs w:val="24"/>
        </w:rPr>
        <w:t>, forcimin e sigurisë kibernetike dhe garantimin e funksionimit të platformës “</w:t>
      </w:r>
      <w:proofErr w:type="spellStart"/>
      <w:r w:rsidRPr="002F771B">
        <w:rPr>
          <w:rFonts w:ascii="Garamond" w:eastAsia="Times New Roman" w:hAnsi="Garamond" w:cs="Times New Roman"/>
          <w:bCs/>
          <w:i/>
          <w:sz w:val="24"/>
          <w:szCs w:val="24"/>
        </w:rPr>
        <w:t>Promagistrate</w:t>
      </w:r>
      <w:proofErr w:type="spellEnd"/>
      <w:r w:rsidR="002F771B">
        <w:rPr>
          <w:rFonts w:ascii="Garamond" w:eastAsia="Times New Roman" w:hAnsi="Garamond" w:cs="Times New Roman"/>
          <w:bCs/>
          <w:sz w:val="24"/>
          <w:szCs w:val="24"/>
        </w:rPr>
        <w:t>”.</w:t>
      </w:r>
    </w:p>
    <w:p w14:paraId="3995588A"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Vijimin e implementimit të projektit “</w:t>
      </w:r>
      <w:proofErr w:type="spellStart"/>
      <w:r w:rsidRPr="002F771B">
        <w:rPr>
          <w:rFonts w:ascii="Garamond" w:eastAsia="Times New Roman" w:hAnsi="Garamond" w:cs="Times New Roman"/>
          <w:bCs/>
          <w:i/>
          <w:sz w:val="24"/>
          <w:szCs w:val="24"/>
        </w:rPr>
        <w:t>Juronix</w:t>
      </w:r>
      <w:proofErr w:type="spellEnd"/>
      <w:r w:rsidRPr="00AE4518">
        <w:rPr>
          <w:rFonts w:ascii="Garamond" w:eastAsia="Times New Roman" w:hAnsi="Garamond" w:cs="Times New Roman"/>
          <w:bCs/>
          <w:sz w:val="24"/>
          <w:szCs w:val="24"/>
        </w:rPr>
        <w:t xml:space="preserve">” për Sistemin e Ri të Integruar të Menaxhimit të Çështjeve Gjyqësore, duke kaluar nga faza e planifikimit dhe sigurimit të financimit gjatë vitit 2024 në fazën e implementimit gjatë vitit 2025, si një nga investimet kryesore për transformimin digjital të sistemit gjyqësor shqiptar. </w:t>
      </w:r>
    </w:p>
    <w:p w14:paraId="31726A2B" w14:textId="335F60D2"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Pavarësisht progresit të evidentuar në drejtim të vlerësimit etik dhe profesional të gjyqtarëve, konstatohet se një pjesë e konsiderueshme e gjyqtarëve</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subjekt vlerësimi</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ende nuk kanë përfunduar procesin sipas afateve ligjore, çka vijon të ndikojë në procedurat e karrierës, pro</w:t>
      </w:r>
      <w:r w:rsidR="002F771B">
        <w:rPr>
          <w:rFonts w:ascii="Garamond" w:eastAsia="Times New Roman" w:hAnsi="Garamond" w:cs="Times New Roman"/>
          <w:bCs/>
          <w:sz w:val="24"/>
          <w:szCs w:val="24"/>
        </w:rPr>
        <w:t>movimit dhe lëvizjes në sistem.</w:t>
      </w:r>
    </w:p>
    <w:p w14:paraId="0D5FCAC4" w14:textId="531DB5F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Në të njëjtën kohë, konstatohet se, pavarësisht progresit të arritur gjatë vitit 2025</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drejtim të forcimit institucional të sistemit gjyqësor, mbeten sfida të rëndësishme që lidhen me reduktimin e </w:t>
      </w:r>
      <w:proofErr w:type="spellStart"/>
      <w:r w:rsidRPr="00AE4518">
        <w:rPr>
          <w:rFonts w:ascii="Garamond" w:eastAsia="Times New Roman" w:hAnsi="Garamond" w:cs="Times New Roman"/>
          <w:bCs/>
          <w:i/>
          <w:iCs/>
          <w:sz w:val="24"/>
          <w:szCs w:val="24"/>
        </w:rPr>
        <w:t>backlog</w:t>
      </w:r>
      <w:proofErr w:type="spellEnd"/>
      <w:r w:rsidRPr="00AE4518">
        <w:rPr>
          <w:rFonts w:ascii="Garamond" w:eastAsia="Times New Roman" w:hAnsi="Garamond" w:cs="Times New Roman"/>
          <w:bCs/>
          <w:sz w:val="24"/>
          <w:szCs w:val="24"/>
        </w:rPr>
        <w:t xml:space="preserve">-ut, shkurtimin e kohëzgjatjes së proceseve gjyqësore, balancimin e ngarkesës së punës ndërmjet gjykatave dhe gjyqtarëve, përshpejtimin e procedurave të karrierës së magjistratëve, konsolidimin e sistemeve elektronike të administrimit gjyqësor dhe rritjen e efikasitetit të përgjithshëm të sistemit. Adresimi i këtyre sfidave përbën një prioritet për garantimin e një sistemi gjyqësor më efektiv, më transparent dhe më të </w:t>
      </w:r>
      <w:proofErr w:type="spellStart"/>
      <w:r w:rsidRPr="00AE4518">
        <w:rPr>
          <w:rFonts w:ascii="Garamond" w:eastAsia="Times New Roman" w:hAnsi="Garamond" w:cs="Times New Roman"/>
          <w:bCs/>
          <w:sz w:val="24"/>
          <w:szCs w:val="24"/>
        </w:rPr>
        <w:t>aksesueshëm</w:t>
      </w:r>
      <w:proofErr w:type="spellEnd"/>
      <w:r w:rsidRPr="00AE4518">
        <w:rPr>
          <w:rFonts w:ascii="Garamond" w:eastAsia="Times New Roman" w:hAnsi="Garamond" w:cs="Times New Roman"/>
          <w:bCs/>
          <w:sz w:val="24"/>
          <w:szCs w:val="24"/>
        </w:rPr>
        <w:t xml:space="preserve"> për qytetarët.</w:t>
      </w:r>
    </w:p>
    <w:p w14:paraId="2EF27E32"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p>
    <w:p w14:paraId="27E01876"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p>
    <w:p w14:paraId="5B17279B" w14:textId="0F57DE63" w:rsidR="002B43B4" w:rsidRPr="00AE4518" w:rsidRDefault="002B43B4" w:rsidP="000F5955">
      <w:pPr>
        <w:spacing w:after="0" w:line="240" w:lineRule="auto"/>
        <w:ind w:firstLine="284"/>
        <w:jc w:val="both"/>
        <w:rPr>
          <w:rFonts w:ascii="Garamond" w:eastAsia="Times New Roman" w:hAnsi="Garamond" w:cs="Times New Roman"/>
          <w:b/>
          <w:sz w:val="24"/>
          <w:szCs w:val="24"/>
        </w:rPr>
      </w:pPr>
      <w:r w:rsidRPr="00AE4518">
        <w:rPr>
          <w:rFonts w:ascii="Garamond" w:eastAsia="Times New Roman" w:hAnsi="Garamond" w:cs="Times New Roman"/>
          <w:b/>
          <w:sz w:val="24"/>
          <w:szCs w:val="24"/>
        </w:rPr>
        <w:t xml:space="preserve">Kuvendi rekomandon që Këshilli i Lartë Gjyqësor gjatë vitit 2026 të angazhohet veçanërisht edhe në këto drejtime: </w:t>
      </w:r>
    </w:p>
    <w:p w14:paraId="07C26A9E" w14:textId="52BF2E9E"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1. Të vijojë zbatimin e Udhërrëfyesit për Efikasitetin e Pushtetit Gjyqësor 2025</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2027, duke forcuar mekanizmat e monitorimit të brendshëm dhe duke paraqitur pranë Kuvendit brenda muajit dhjetor </w:t>
      </w:r>
      <w:r w:rsidR="00A437BD" w:rsidRPr="00AE4518">
        <w:rPr>
          <w:rFonts w:ascii="Garamond" w:eastAsia="Times New Roman" w:hAnsi="Garamond" w:cs="Times New Roman"/>
          <w:bCs/>
          <w:sz w:val="24"/>
          <w:szCs w:val="24"/>
        </w:rPr>
        <w:t xml:space="preserve">të vitit </w:t>
      </w:r>
      <w:r w:rsidRPr="00AE4518">
        <w:rPr>
          <w:rFonts w:ascii="Garamond" w:eastAsia="Times New Roman" w:hAnsi="Garamond" w:cs="Times New Roman"/>
          <w:bCs/>
          <w:sz w:val="24"/>
          <w:szCs w:val="24"/>
        </w:rPr>
        <w:t xml:space="preserve">2026 një informacion të detajuar </w:t>
      </w:r>
      <w:r w:rsidR="00104297"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nivelin e realizimit të objektivave dhe ndikimin e masave të ndërmarra në rritjen e </w:t>
      </w:r>
      <w:proofErr w:type="spellStart"/>
      <w:r w:rsidRPr="00AE4518">
        <w:rPr>
          <w:rFonts w:ascii="Garamond" w:eastAsia="Times New Roman" w:hAnsi="Garamond" w:cs="Times New Roman"/>
          <w:bCs/>
          <w:sz w:val="24"/>
          <w:szCs w:val="24"/>
        </w:rPr>
        <w:t>e</w:t>
      </w:r>
      <w:r w:rsidR="002F771B">
        <w:rPr>
          <w:rFonts w:ascii="Garamond" w:eastAsia="Times New Roman" w:hAnsi="Garamond" w:cs="Times New Roman"/>
          <w:bCs/>
          <w:sz w:val="24"/>
          <w:szCs w:val="24"/>
        </w:rPr>
        <w:t>ficiencës</w:t>
      </w:r>
      <w:proofErr w:type="spellEnd"/>
      <w:r w:rsidR="002F771B">
        <w:rPr>
          <w:rFonts w:ascii="Garamond" w:eastAsia="Times New Roman" w:hAnsi="Garamond" w:cs="Times New Roman"/>
          <w:bCs/>
          <w:sz w:val="24"/>
          <w:szCs w:val="24"/>
        </w:rPr>
        <w:t xml:space="preserve"> së sistemit gjyqësor.</w:t>
      </w:r>
    </w:p>
    <w:p w14:paraId="4880F335" w14:textId="7FF2491C"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2. Të realizojë brenda muajit dhjetor </w:t>
      </w:r>
      <w:r w:rsidR="002F771B">
        <w:rPr>
          <w:rFonts w:ascii="Garamond" w:eastAsia="Times New Roman" w:hAnsi="Garamond" w:cs="Times New Roman"/>
          <w:bCs/>
          <w:sz w:val="24"/>
          <w:szCs w:val="24"/>
        </w:rPr>
        <w:t>të vitit 2026</w:t>
      </w:r>
      <w:r w:rsidRPr="00AE4518">
        <w:rPr>
          <w:rFonts w:ascii="Garamond" w:eastAsia="Times New Roman" w:hAnsi="Garamond" w:cs="Times New Roman"/>
          <w:bCs/>
          <w:sz w:val="24"/>
          <w:szCs w:val="24"/>
        </w:rPr>
        <w:t xml:space="preserve"> një analizë të plotë </w:t>
      </w:r>
      <w:r w:rsidR="00235E78" w:rsidRPr="00AE4518">
        <w:rPr>
          <w:rFonts w:ascii="Garamond" w:eastAsia="Times New Roman" w:hAnsi="Garamond" w:cs="Times New Roman"/>
          <w:bCs/>
          <w:sz w:val="24"/>
          <w:szCs w:val="24"/>
        </w:rPr>
        <w:t>për</w:t>
      </w:r>
      <w:r w:rsidR="002F771B">
        <w:rPr>
          <w:rFonts w:ascii="Garamond" w:eastAsia="Times New Roman" w:hAnsi="Garamond" w:cs="Times New Roman"/>
          <w:bCs/>
          <w:sz w:val="24"/>
          <w:szCs w:val="24"/>
        </w:rPr>
        <w:t xml:space="preserve"> efektet e hartës së re</w:t>
      </w:r>
      <w:bookmarkStart w:id="0" w:name="_GoBack"/>
      <w:bookmarkEnd w:id="0"/>
      <w:r w:rsidR="00235E78" w:rsidRPr="00AE4518">
        <w:rPr>
          <w:rFonts w:ascii="Garamond" w:eastAsia="Times New Roman" w:hAnsi="Garamond" w:cs="Times New Roman"/>
          <w:bCs/>
          <w:sz w:val="24"/>
          <w:szCs w:val="24"/>
        </w:rPr>
        <w:t xml:space="preserve"> </w:t>
      </w:r>
      <w:r w:rsidRPr="00AE4518">
        <w:rPr>
          <w:rFonts w:ascii="Garamond" w:eastAsia="Times New Roman" w:hAnsi="Garamond" w:cs="Times New Roman"/>
          <w:bCs/>
          <w:sz w:val="24"/>
          <w:szCs w:val="24"/>
        </w:rPr>
        <w:t xml:space="preserve">gjyqësore në funksionimin e sistemit gjyqësor, duke vlerësuar ndikimin e saj në shpërndarjen territoriale të ngarkesës, </w:t>
      </w:r>
      <w:proofErr w:type="spellStart"/>
      <w:r w:rsidRPr="00AE4518">
        <w:rPr>
          <w:rFonts w:ascii="Garamond" w:eastAsia="Times New Roman" w:hAnsi="Garamond" w:cs="Times New Roman"/>
          <w:bCs/>
          <w:sz w:val="24"/>
          <w:szCs w:val="24"/>
        </w:rPr>
        <w:t>aksesin</w:t>
      </w:r>
      <w:proofErr w:type="spellEnd"/>
      <w:r w:rsidRPr="00AE4518">
        <w:rPr>
          <w:rFonts w:ascii="Garamond" w:eastAsia="Times New Roman" w:hAnsi="Garamond" w:cs="Times New Roman"/>
          <w:bCs/>
          <w:sz w:val="24"/>
          <w:szCs w:val="24"/>
        </w:rPr>
        <w:t xml:space="preserve"> në drejtësi, kohëzgjatjen e proceseve gjyqësore, </w:t>
      </w:r>
      <w:proofErr w:type="spellStart"/>
      <w:r w:rsidRPr="00AE4518">
        <w:rPr>
          <w:rFonts w:ascii="Garamond" w:eastAsia="Times New Roman" w:hAnsi="Garamond" w:cs="Times New Roman"/>
          <w:bCs/>
          <w:i/>
          <w:iCs/>
          <w:sz w:val="24"/>
          <w:szCs w:val="24"/>
        </w:rPr>
        <w:t>backlog</w:t>
      </w:r>
      <w:proofErr w:type="spellEnd"/>
      <w:r w:rsidRPr="00AE4518">
        <w:rPr>
          <w:rFonts w:ascii="Garamond" w:eastAsia="Times New Roman" w:hAnsi="Garamond" w:cs="Times New Roman"/>
          <w:bCs/>
          <w:sz w:val="24"/>
          <w:szCs w:val="24"/>
        </w:rPr>
        <w:t xml:space="preserve">-un dhe </w:t>
      </w:r>
      <w:proofErr w:type="spellStart"/>
      <w:r w:rsidRPr="00AE4518">
        <w:rPr>
          <w:rFonts w:ascii="Garamond" w:eastAsia="Times New Roman" w:hAnsi="Garamond" w:cs="Times New Roman"/>
          <w:bCs/>
          <w:sz w:val="24"/>
          <w:szCs w:val="24"/>
        </w:rPr>
        <w:t>eficiencën</w:t>
      </w:r>
      <w:proofErr w:type="spellEnd"/>
      <w:r w:rsidRPr="00AE4518">
        <w:rPr>
          <w:rFonts w:ascii="Garamond" w:eastAsia="Times New Roman" w:hAnsi="Garamond" w:cs="Times New Roman"/>
          <w:bCs/>
          <w:sz w:val="24"/>
          <w:szCs w:val="24"/>
        </w:rPr>
        <w:t xml:space="preserve"> e gjykatave, si dhe të paraqesë në Kuvend rezultatet e kësaj analize, së bashku me masa konkrete për adresimin e</w:t>
      </w:r>
      <w:r w:rsidR="002F771B">
        <w:rPr>
          <w:rFonts w:ascii="Garamond" w:eastAsia="Times New Roman" w:hAnsi="Garamond" w:cs="Times New Roman"/>
          <w:bCs/>
          <w:sz w:val="24"/>
          <w:szCs w:val="24"/>
        </w:rPr>
        <w:t xml:space="preserve"> problematikave të evidentuara.</w:t>
      </w:r>
    </w:p>
    <w:p w14:paraId="15FF20DB" w14:textId="59D3ADC5"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3. Të vijojë zbatimin e Strategjisë Kombëtare për Uljen e Numrit të Çështjeve të Prapambetura në Gjykata 2024–2027, duke forcuar mekanizmat e monitorimit dhe raportimit periodik </w:t>
      </w:r>
      <w:r w:rsidR="00CE2DFE"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zbatimin e saj përmes përcaktimit të objektivave të matshëm për secilën gjykatë dhe krijimit të mekanizmave të hershëm për identifikimin e </w:t>
      </w:r>
      <w:proofErr w:type="spellStart"/>
      <w:r w:rsidRPr="00AE4518">
        <w:rPr>
          <w:rFonts w:ascii="Garamond" w:eastAsia="Times New Roman" w:hAnsi="Garamond" w:cs="Times New Roman"/>
          <w:bCs/>
          <w:sz w:val="24"/>
          <w:szCs w:val="24"/>
        </w:rPr>
        <w:t>risqeve</w:t>
      </w:r>
      <w:proofErr w:type="spellEnd"/>
      <w:r w:rsidRPr="00AE4518">
        <w:rPr>
          <w:rFonts w:ascii="Garamond" w:eastAsia="Times New Roman" w:hAnsi="Garamond" w:cs="Times New Roman"/>
          <w:bCs/>
          <w:sz w:val="24"/>
          <w:szCs w:val="24"/>
        </w:rPr>
        <w:t xml:space="preserve"> që ndikojnë në krijimin ose përkeqësimin e </w:t>
      </w:r>
      <w:proofErr w:type="spellStart"/>
      <w:r w:rsidRPr="00AE4518">
        <w:rPr>
          <w:rFonts w:ascii="Garamond" w:eastAsia="Times New Roman" w:hAnsi="Garamond" w:cs="Times New Roman"/>
          <w:bCs/>
          <w:i/>
          <w:iCs/>
          <w:sz w:val="24"/>
          <w:szCs w:val="24"/>
        </w:rPr>
        <w:t>backlog</w:t>
      </w:r>
      <w:proofErr w:type="spellEnd"/>
      <w:r w:rsidRPr="00AE4518">
        <w:rPr>
          <w:rFonts w:ascii="Garamond" w:eastAsia="Times New Roman" w:hAnsi="Garamond" w:cs="Times New Roman"/>
          <w:bCs/>
          <w:sz w:val="24"/>
          <w:szCs w:val="24"/>
        </w:rPr>
        <w:t xml:space="preserve">-ut. </w:t>
      </w:r>
    </w:p>
    <w:p w14:paraId="779C3AE9" w14:textId="73127AE9"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4. Të ndërmarrë masa për garantimin e një shpërndarjeje më të balancuar të ngarkesës së punës ndërmjet gjykatave dhe gjyqtarëve, duke zhvilluar një metodologji të ngarkesës së punës që përfshin </w:t>
      </w:r>
      <w:proofErr w:type="spellStart"/>
      <w:r w:rsidRPr="00AE4518">
        <w:rPr>
          <w:rFonts w:ascii="Garamond" w:eastAsia="Times New Roman" w:hAnsi="Garamond" w:cs="Times New Roman"/>
          <w:bCs/>
          <w:sz w:val="24"/>
          <w:szCs w:val="24"/>
        </w:rPr>
        <w:t>kompleksitetin</w:t>
      </w:r>
      <w:proofErr w:type="spellEnd"/>
      <w:r w:rsidRPr="00AE4518">
        <w:rPr>
          <w:rFonts w:ascii="Garamond" w:eastAsia="Times New Roman" w:hAnsi="Garamond" w:cs="Times New Roman"/>
          <w:bCs/>
          <w:sz w:val="24"/>
          <w:szCs w:val="24"/>
        </w:rPr>
        <w:t>, natyrë</w:t>
      </w:r>
      <w:r w:rsidR="002F771B">
        <w:rPr>
          <w:rFonts w:ascii="Garamond" w:eastAsia="Times New Roman" w:hAnsi="Garamond" w:cs="Times New Roman"/>
          <w:bCs/>
          <w:sz w:val="24"/>
          <w:szCs w:val="24"/>
        </w:rPr>
        <w:t>n dhe kohëzgjatjen e çështjeve.</w:t>
      </w:r>
    </w:p>
    <w:p w14:paraId="3F8CF62E" w14:textId="7E258AFF"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5. Të analizojë në mënyrë periodike rastet e kthimit të çështjeve për rigjykim nga gjykatat më të larta, me synim evidentimin e problematikave </w:t>
      </w:r>
      <w:proofErr w:type="spellStart"/>
      <w:r w:rsidRPr="00AE4518">
        <w:rPr>
          <w:rFonts w:ascii="Garamond" w:eastAsia="Times New Roman" w:hAnsi="Garamond" w:cs="Times New Roman"/>
          <w:bCs/>
          <w:sz w:val="24"/>
          <w:szCs w:val="24"/>
        </w:rPr>
        <w:t>sistemike</w:t>
      </w:r>
      <w:proofErr w:type="spellEnd"/>
      <w:r w:rsidRPr="00AE4518">
        <w:rPr>
          <w:rFonts w:ascii="Garamond" w:eastAsia="Times New Roman" w:hAnsi="Garamond" w:cs="Times New Roman"/>
          <w:bCs/>
          <w:sz w:val="24"/>
          <w:szCs w:val="24"/>
        </w:rPr>
        <w:t xml:space="preserve"> në zbatimin e legjislacionit dhe praktikës gjyqësore. Në rastet kur konstatohen çështje që lidhen me njëtrajtshmërinë e zbatimit të ligjit, gjetjet i përcillen Gjykatës së Lartë për vlerësim në kuadër të kompetencave të saj për njësimin dhe zhv</w:t>
      </w:r>
      <w:r w:rsidR="002F771B">
        <w:rPr>
          <w:rFonts w:ascii="Garamond" w:eastAsia="Times New Roman" w:hAnsi="Garamond" w:cs="Times New Roman"/>
          <w:bCs/>
          <w:sz w:val="24"/>
          <w:szCs w:val="24"/>
        </w:rPr>
        <w:t>illimin e praktikës gjyqësore.</w:t>
      </w:r>
    </w:p>
    <w:p w14:paraId="1DCD0E2B" w14:textId="723B2085"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6. Të përmirësojë efektivitetin e procesit të vlerësimit etik dhe profesional të gjyqtarëve, duke adresuar vonesat në zhvillimin e procedurave dhe duke forcuar lidhjen ndërmjet rezultateve të vlerësimit, </w:t>
      </w:r>
      <w:proofErr w:type="spellStart"/>
      <w:r w:rsidRPr="00AE4518">
        <w:rPr>
          <w:rFonts w:ascii="Garamond" w:eastAsia="Times New Roman" w:hAnsi="Garamond" w:cs="Times New Roman"/>
          <w:bCs/>
          <w:sz w:val="24"/>
          <w:szCs w:val="24"/>
        </w:rPr>
        <w:t>performanc</w:t>
      </w:r>
      <w:r w:rsidR="002F771B">
        <w:rPr>
          <w:rFonts w:ascii="Garamond" w:eastAsia="Times New Roman" w:hAnsi="Garamond" w:cs="Times New Roman"/>
          <w:bCs/>
          <w:sz w:val="24"/>
          <w:szCs w:val="24"/>
        </w:rPr>
        <w:t>ës</w:t>
      </w:r>
      <w:proofErr w:type="spellEnd"/>
      <w:r w:rsidR="002F771B">
        <w:rPr>
          <w:rFonts w:ascii="Garamond" w:eastAsia="Times New Roman" w:hAnsi="Garamond" w:cs="Times New Roman"/>
          <w:bCs/>
          <w:sz w:val="24"/>
          <w:szCs w:val="24"/>
        </w:rPr>
        <w:t xml:space="preserve"> dhe zhvillimit të karrierës.</w:t>
      </w:r>
    </w:p>
    <w:p w14:paraId="5EA537B9" w14:textId="3505D398"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7. Të forcojë bashkëpunimin me Shkollën e Magjistraturës dhe Këshillin e Lartë të Prokurorisë për planifikimin e nevojave reale të sistemit për magjistratë dhe ndihmës ligjorë, si dhe për harmonizimin e proceseve të formi</w:t>
      </w:r>
      <w:r w:rsidR="002F771B">
        <w:rPr>
          <w:rFonts w:ascii="Garamond" w:eastAsia="Times New Roman" w:hAnsi="Garamond" w:cs="Times New Roman"/>
          <w:bCs/>
          <w:sz w:val="24"/>
          <w:szCs w:val="24"/>
        </w:rPr>
        <w:t>mit dhe zhvillimit profesional.</w:t>
      </w:r>
    </w:p>
    <w:p w14:paraId="0357A594" w14:textId="7A161354"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8. Të forcojë transparencën dhe efektivitetin e procedurave të komandimeve, emërimeve dhe lëvizjeve në karrierë, duke garantuar zbatimin e parimit të </w:t>
      </w:r>
      <w:proofErr w:type="spellStart"/>
      <w:r w:rsidRPr="00AE4518">
        <w:rPr>
          <w:rFonts w:ascii="Garamond" w:eastAsia="Times New Roman" w:hAnsi="Garamond" w:cs="Times New Roman"/>
          <w:bCs/>
          <w:sz w:val="24"/>
          <w:szCs w:val="24"/>
        </w:rPr>
        <w:t>meritokracisë</w:t>
      </w:r>
      <w:proofErr w:type="spellEnd"/>
      <w:r w:rsidRPr="00AE4518">
        <w:rPr>
          <w:rFonts w:ascii="Garamond" w:eastAsia="Times New Roman" w:hAnsi="Garamond" w:cs="Times New Roman"/>
          <w:bCs/>
          <w:sz w:val="24"/>
          <w:szCs w:val="24"/>
        </w:rPr>
        <w:t xml:space="preserve"> dhe duke analizuar ndikimin e delegimeve dhe transferimeve të përkohshme në funksionimin e sistemit gjyqësor</w:t>
      </w:r>
      <w:r w:rsidR="0036467F" w:rsidRPr="00AE4518">
        <w:rPr>
          <w:rFonts w:ascii="Garamond" w:eastAsia="Times New Roman" w:hAnsi="Garamond" w:cs="Times New Roman"/>
          <w:bCs/>
          <w:sz w:val="24"/>
          <w:szCs w:val="24"/>
        </w:rPr>
        <w:t>.</w:t>
      </w:r>
    </w:p>
    <w:p w14:paraId="5477CB6C" w14:textId="4CE7B382"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9. Të përshpejtojë finalizimin dhe funksionalizimin e plotë të sistemit elektronik të menaxhimit të çështjeve gjyqësore</w:t>
      </w:r>
      <w:r w:rsidR="002F771B">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duke siguruar përdorimin e tij në të gjitha gjykatat dhe ndërveprimin me sistemet e institucioneve të tjera.</w:t>
      </w:r>
    </w:p>
    <w:p w14:paraId="12C3D1F8"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10. Të përfundojë miratimin dhe zbatimin e plotë të udhëzuesit për statistikat gjyqësore, duke standardizuar metodologjinë e mbledhjes dhe publikimit të </w:t>
      </w:r>
      <w:proofErr w:type="spellStart"/>
      <w:r w:rsidRPr="00AE4518">
        <w:rPr>
          <w:rFonts w:ascii="Garamond" w:eastAsia="Times New Roman" w:hAnsi="Garamond" w:cs="Times New Roman"/>
          <w:bCs/>
          <w:sz w:val="24"/>
          <w:szCs w:val="24"/>
        </w:rPr>
        <w:t>të</w:t>
      </w:r>
      <w:proofErr w:type="spellEnd"/>
      <w:r w:rsidRPr="00AE4518">
        <w:rPr>
          <w:rFonts w:ascii="Garamond" w:eastAsia="Times New Roman" w:hAnsi="Garamond" w:cs="Times New Roman"/>
          <w:bCs/>
          <w:sz w:val="24"/>
          <w:szCs w:val="24"/>
        </w:rPr>
        <w:t xml:space="preserve"> dhënave sipas standardeve të </w:t>
      </w:r>
      <w:proofErr w:type="spellStart"/>
      <w:r w:rsidRPr="00AE4518">
        <w:rPr>
          <w:rFonts w:ascii="Garamond" w:eastAsia="Times New Roman" w:hAnsi="Garamond" w:cs="Times New Roman"/>
          <w:bCs/>
          <w:sz w:val="24"/>
          <w:szCs w:val="24"/>
        </w:rPr>
        <w:t>CEPEJ</w:t>
      </w:r>
      <w:proofErr w:type="spellEnd"/>
      <w:r w:rsidRPr="00AE4518">
        <w:rPr>
          <w:rFonts w:ascii="Garamond" w:eastAsia="Times New Roman" w:hAnsi="Garamond" w:cs="Times New Roman"/>
          <w:bCs/>
          <w:sz w:val="24"/>
          <w:szCs w:val="24"/>
        </w:rPr>
        <w:t xml:space="preserve">-it dhe duke garantuar publikimin periodik të indikatorëve të </w:t>
      </w:r>
      <w:proofErr w:type="spellStart"/>
      <w:r w:rsidRPr="00AE4518">
        <w:rPr>
          <w:rFonts w:ascii="Garamond" w:eastAsia="Times New Roman" w:hAnsi="Garamond" w:cs="Times New Roman"/>
          <w:bCs/>
          <w:sz w:val="24"/>
          <w:szCs w:val="24"/>
        </w:rPr>
        <w:t>performancës</w:t>
      </w:r>
      <w:proofErr w:type="spellEnd"/>
      <w:r w:rsidRPr="00AE4518">
        <w:rPr>
          <w:rFonts w:ascii="Garamond" w:eastAsia="Times New Roman" w:hAnsi="Garamond" w:cs="Times New Roman"/>
          <w:bCs/>
          <w:sz w:val="24"/>
          <w:szCs w:val="24"/>
        </w:rPr>
        <w:t>.</w:t>
      </w:r>
    </w:p>
    <w:p w14:paraId="7D5AC180" w14:textId="79B8A318"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11. Të forcojë masat për rritjen e integritetit gjyqësor, duke përfshirë programe trajnimi </w:t>
      </w:r>
      <w:r w:rsidR="001402A8"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etikën, konfliktin e interesit dhe komunikimin publik, si dhe duke vijuar forcimin e standardeve të transparencës dhe llogaridhënies institucionale.</w:t>
      </w:r>
    </w:p>
    <w:p w14:paraId="1DBE445D" w14:textId="3B55D2C5"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12. Të vijojë forcimin e kapaciteteve të administratës gjyqësore përmes rritjes profesionale të stafit, përmirësimit të aftësive në përdorimin e sistemeve digjitale dhe rritjes së rolit mbështetës të administratës. </w:t>
      </w:r>
    </w:p>
    <w:p w14:paraId="275156D0" w14:textId="653C2912"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13. Të forcojë mekanizmat e monitorimit dhe administrimit të veprimtarisë së gjykatave dhe të ushtrimit të detyrës nga magjistratët në aspektet organizative dhe administrative, duke vlerësuar nevojën për përmirësimin e kuadrit rregullator dhe praktikave administrative që lidhen me respektimin e orarit zyrtar, organizimin e punës, rritjen e efikasitetit të veprimtarisë gjyqësore dhe garantimin e </w:t>
      </w:r>
      <w:proofErr w:type="spellStart"/>
      <w:r w:rsidRPr="00AE4518">
        <w:rPr>
          <w:rFonts w:ascii="Garamond" w:eastAsia="Times New Roman" w:hAnsi="Garamond" w:cs="Times New Roman"/>
          <w:bCs/>
          <w:sz w:val="24"/>
          <w:szCs w:val="24"/>
        </w:rPr>
        <w:t>aksesit</w:t>
      </w:r>
      <w:proofErr w:type="spellEnd"/>
      <w:r w:rsidRPr="00AE4518">
        <w:rPr>
          <w:rFonts w:ascii="Garamond" w:eastAsia="Times New Roman" w:hAnsi="Garamond" w:cs="Times New Roman"/>
          <w:bCs/>
          <w:sz w:val="24"/>
          <w:szCs w:val="24"/>
        </w:rPr>
        <w:t xml:space="preserve"> të qyt</w:t>
      </w:r>
      <w:r w:rsidR="002F771B">
        <w:rPr>
          <w:rFonts w:ascii="Garamond" w:eastAsia="Times New Roman" w:hAnsi="Garamond" w:cs="Times New Roman"/>
          <w:bCs/>
          <w:sz w:val="24"/>
          <w:szCs w:val="24"/>
        </w:rPr>
        <w:t>etarëve në shërbimet gjyqësore.</w:t>
      </w:r>
    </w:p>
    <w:p w14:paraId="767C37C9" w14:textId="192EF16B"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14. Të vijojë përmbylljen e kuadrit nënligjor të parashikuar në legjislacionin për organizimin dhe funksionimin e sistemit gjyqësor, duke raportuar çdo </w:t>
      </w:r>
      <w:r w:rsidR="00DC5C84" w:rsidRPr="00AE4518">
        <w:rPr>
          <w:rFonts w:ascii="Garamond" w:eastAsia="Times New Roman" w:hAnsi="Garamond" w:cs="Times New Roman"/>
          <w:bCs/>
          <w:sz w:val="24"/>
          <w:szCs w:val="24"/>
        </w:rPr>
        <w:t>6</w:t>
      </w:r>
      <w:r w:rsidRPr="00AE4518">
        <w:rPr>
          <w:rFonts w:ascii="Garamond" w:eastAsia="Times New Roman" w:hAnsi="Garamond" w:cs="Times New Roman"/>
          <w:bCs/>
          <w:sz w:val="24"/>
          <w:szCs w:val="24"/>
        </w:rPr>
        <w:t xml:space="preserve"> muaj në Kuvend </w:t>
      </w:r>
      <w:r w:rsidR="00DC5C84"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statusin e akteve të pambyllura, arsyet e </w:t>
      </w:r>
      <w:r w:rsidR="002F771B">
        <w:rPr>
          <w:rFonts w:ascii="Garamond" w:eastAsia="Times New Roman" w:hAnsi="Garamond" w:cs="Times New Roman"/>
          <w:bCs/>
          <w:sz w:val="24"/>
          <w:szCs w:val="24"/>
        </w:rPr>
        <w:t>vonesave dhe masat e ndërmarra.</w:t>
      </w:r>
    </w:p>
    <w:p w14:paraId="16750C23" w14:textId="56187B4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lastRenderedPageBreak/>
        <w:t>15. Të analizojë në mënyrë periodike funksionimin e kuadrit ligjor që ndikon në veprimtarinë e sistemit gjyqësor dhe, bazuar në problematikat e evidentuara gjatë zbatimit të tij, të formulojë rekomandime dhe propozime për ndryshime ligjore ose nënligjore, me qëllim përmirësimin e procedurave, adresimin e boshllëqeve normative dhe rritjen e efektivitetit të funksion</w:t>
      </w:r>
      <w:r w:rsidR="002F771B">
        <w:rPr>
          <w:rFonts w:ascii="Garamond" w:eastAsia="Times New Roman" w:hAnsi="Garamond" w:cs="Times New Roman"/>
          <w:bCs/>
          <w:sz w:val="24"/>
          <w:szCs w:val="24"/>
        </w:rPr>
        <w:t>imit të sistemit të drejtësisë.</w:t>
      </w:r>
    </w:p>
    <w:p w14:paraId="235F66C5"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16. Të vijojë marrjen e masave për përmirësimin e infrastrukturës dhe forcimin e standardeve të sigurisë në gjykata, si dhe të nxisë miratimin dhe zbatimin e unifikuar të rregulloreve të brendshme dhe protokolleve të sigurisë në të gjitha gjykatat e vendit, duke forcuar bashkëpunimin institucional me Kuvendin, Ministrinë e Drejtësisë dhe institucionet përgjegjëse të ekzekutivit.</w:t>
      </w:r>
    </w:p>
    <w:p w14:paraId="1DF6550E" w14:textId="7777777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17. Të kryejë një analizë të plotë të ndikimit të hartës së re gjyqësore në qytetet ku nuk funksionon më gjykata, përfshirë kostot për qytetarët, nevojën për shërbime lehtësuese, zgjidhje digjitale ose masa të tjera </w:t>
      </w:r>
      <w:proofErr w:type="spellStart"/>
      <w:r w:rsidRPr="00AE4518">
        <w:rPr>
          <w:rFonts w:ascii="Garamond" w:eastAsia="Times New Roman" w:hAnsi="Garamond" w:cs="Times New Roman"/>
          <w:bCs/>
          <w:sz w:val="24"/>
          <w:szCs w:val="24"/>
        </w:rPr>
        <w:t>kompensuese</w:t>
      </w:r>
      <w:proofErr w:type="spellEnd"/>
      <w:r w:rsidRPr="00AE4518">
        <w:rPr>
          <w:rFonts w:ascii="Garamond" w:eastAsia="Times New Roman" w:hAnsi="Garamond" w:cs="Times New Roman"/>
          <w:bCs/>
          <w:sz w:val="24"/>
          <w:szCs w:val="24"/>
        </w:rPr>
        <w:t xml:space="preserve"> dhe t’i paraqesë Kuvendit gjetjet, rekomandimet dhe masat e nevojshme sipas rastit.</w:t>
      </w:r>
    </w:p>
    <w:p w14:paraId="0E29CA7D" w14:textId="6E8E793E"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18. Në funksion të plotësimit të </w:t>
      </w:r>
      <w:proofErr w:type="spellStart"/>
      <w:r w:rsidRPr="00AE4518">
        <w:rPr>
          <w:rFonts w:ascii="Garamond" w:eastAsia="Times New Roman" w:hAnsi="Garamond" w:cs="Times New Roman"/>
          <w:bCs/>
          <w:sz w:val="24"/>
          <w:szCs w:val="24"/>
        </w:rPr>
        <w:t>vakancave</w:t>
      </w:r>
      <w:proofErr w:type="spellEnd"/>
      <w:r w:rsidR="002707A6" w:rsidRP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të marrë masa për të shmangur përdorimin e transferimeve si alternativa ndaj procedurave të emërimeve. Gjithashtu, të plotësojë me përparësi pozicionet e drejtuesve të gjykatave në të gjitha nivelet, duke miratuar dhe publikuar një kalendar të procedurave, duke </w:t>
      </w:r>
      <w:proofErr w:type="spellStart"/>
      <w:r w:rsidRPr="00AE4518">
        <w:rPr>
          <w:rFonts w:ascii="Garamond" w:eastAsia="Times New Roman" w:hAnsi="Garamond" w:cs="Times New Roman"/>
          <w:bCs/>
          <w:sz w:val="24"/>
          <w:szCs w:val="24"/>
        </w:rPr>
        <w:t>prioritarizuar</w:t>
      </w:r>
      <w:proofErr w:type="spellEnd"/>
      <w:r w:rsidRPr="00AE4518">
        <w:rPr>
          <w:rFonts w:ascii="Garamond" w:eastAsia="Times New Roman" w:hAnsi="Garamond" w:cs="Times New Roman"/>
          <w:bCs/>
          <w:sz w:val="24"/>
          <w:szCs w:val="24"/>
        </w:rPr>
        <w:t xml:space="preserve"> gjykatat me </w:t>
      </w:r>
      <w:proofErr w:type="spellStart"/>
      <w:r w:rsidRPr="00AE4518">
        <w:rPr>
          <w:rFonts w:ascii="Garamond" w:eastAsia="Times New Roman" w:hAnsi="Garamond" w:cs="Times New Roman"/>
          <w:bCs/>
          <w:sz w:val="24"/>
          <w:szCs w:val="24"/>
        </w:rPr>
        <w:t>vakanca</w:t>
      </w:r>
      <w:proofErr w:type="spellEnd"/>
      <w:r w:rsidRPr="00AE4518">
        <w:rPr>
          <w:rFonts w:ascii="Garamond" w:eastAsia="Times New Roman" w:hAnsi="Garamond" w:cs="Times New Roman"/>
          <w:bCs/>
          <w:sz w:val="24"/>
          <w:szCs w:val="24"/>
        </w:rPr>
        <w:t xml:space="preserve"> të zgjatura ose ngarkesë të l</w:t>
      </w:r>
      <w:r w:rsidR="002F771B">
        <w:rPr>
          <w:rFonts w:ascii="Garamond" w:eastAsia="Times New Roman" w:hAnsi="Garamond" w:cs="Times New Roman"/>
          <w:bCs/>
          <w:sz w:val="24"/>
          <w:szCs w:val="24"/>
        </w:rPr>
        <w:t>artë.</w:t>
      </w:r>
    </w:p>
    <w:p w14:paraId="7449CD10" w14:textId="339F1EC9"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19. Të marrë masa që vendimet </w:t>
      </w:r>
      <w:r w:rsidR="002707A6"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procedurat e transferimit të arsyetohen në mënyrë të plotë dhe të qartë, me tregues konkretë të ngarkesës së gjykatës, duke arsyetuar nevojën për të plotësuar trupat gjyqësor</w:t>
      </w:r>
      <w:r w:rsidR="009938F3" w:rsidRPr="00AE4518">
        <w:rPr>
          <w:rFonts w:ascii="Garamond" w:eastAsia="Times New Roman" w:hAnsi="Garamond" w:cs="Times New Roman"/>
          <w:bCs/>
          <w:sz w:val="24"/>
          <w:szCs w:val="24"/>
        </w:rPr>
        <w:t>ë</w:t>
      </w:r>
      <w:r w:rsidRPr="00AE4518">
        <w:rPr>
          <w:rFonts w:ascii="Garamond" w:eastAsia="Times New Roman" w:hAnsi="Garamond" w:cs="Times New Roman"/>
          <w:bCs/>
          <w:sz w:val="24"/>
          <w:szCs w:val="24"/>
        </w:rPr>
        <w:t>, përmbushjen e kritereve ligjore, si dhe këto vendime të publikohen rregullisht në funksion të pavarësisë së gjyqtarëve dhe</w:t>
      </w:r>
      <w:r w:rsidR="002F771B">
        <w:rPr>
          <w:rFonts w:ascii="Garamond" w:eastAsia="Times New Roman" w:hAnsi="Garamond" w:cs="Times New Roman"/>
          <w:bCs/>
          <w:sz w:val="24"/>
          <w:szCs w:val="24"/>
        </w:rPr>
        <w:t xml:space="preserve"> transparencës ndaj qytetarëve.</w:t>
      </w:r>
    </w:p>
    <w:p w14:paraId="4E4CCCBB" w14:textId="6562DEE9"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20. Në bashkëpunim me institucionet përgjegjëse, të konsolidojë llogaridhënien dhe integritetin e prokurorëve nëpërmjet verifikimit të plotë dhe sistematik të deklarimeve pasurore</w:t>
      </w:r>
      <w:r w:rsidR="00151769" w:rsidRP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në përputhje me standardet e vendosura nga procesi i rivlerësimit kalimtar.</w:t>
      </w:r>
    </w:p>
    <w:p w14:paraId="73570DC1" w14:textId="0E4959F1"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21. Të ndërmarrë masa për zbatimin efektiv, transparent dhe të </w:t>
      </w:r>
      <w:proofErr w:type="spellStart"/>
      <w:r w:rsidRPr="00AE4518">
        <w:rPr>
          <w:rFonts w:ascii="Garamond" w:eastAsia="Times New Roman" w:hAnsi="Garamond" w:cs="Times New Roman"/>
          <w:bCs/>
          <w:sz w:val="24"/>
          <w:szCs w:val="24"/>
        </w:rPr>
        <w:t>auditueshëm</w:t>
      </w:r>
      <w:proofErr w:type="spellEnd"/>
      <w:r w:rsidRPr="00AE4518">
        <w:rPr>
          <w:rFonts w:ascii="Garamond" w:eastAsia="Times New Roman" w:hAnsi="Garamond" w:cs="Times New Roman"/>
          <w:bCs/>
          <w:sz w:val="24"/>
          <w:szCs w:val="24"/>
        </w:rPr>
        <w:t xml:space="preserve"> të rregullave të shpërndarjes rastësore të çështjeve, duke garantuar automatizimin e plotë, regjistrimin dhe arsyetimin e çdo përjashtimi, raportimin periodik </w:t>
      </w:r>
      <w:r w:rsidR="00151769" w:rsidRPr="00AE4518">
        <w:rPr>
          <w:rFonts w:ascii="Garamond" w:eastAsia="Times New Roman" w:hAnsi="Garamond" w:cs="Times New Roman"/>
          <w:bCs/>
          <w:sz w:val="24"/>
          <w:szCs w:val="24"/>
        </w:rPr>
        <w:t>për</w:t>
      </w:r>
      <w:r w:rsidRPr="00AE4518">
        <w:rPr>
          <w:rFonts w:ascii="Garamond" w:eastAsia="Times New Roman" w:hAnsi="Garamond" w:cs="Times New Roman"/>
          <w:bCs/>
          <w:sz w:val="24"/>
          <w:szCs w:val="24"/>
        </w:rPr>
        <w:t xml:space="preserve"> ndërhyrjet manuale, </w:t>
      </w:r>
      <w:proofErr w:type="spellStart"/>
      <w:r w:rsidRPr="00AE4518">
        <w:rPr>
          <w:rFonts w:ascii="Garamond" w:eastAsia="Times New Roman" w:hAnsi="Garamond" w:cs="Times New Roman"/>
          <w:bCs/>
          <w:sz w:val="24"/>
          <w:szCs w:val="24"/>
        </w:rPr>
        <w:t>auditimin</w:t>
      </w:r>
      <w:proofErr w:type="spellEnd"/>
      <w:r w:rsidRPr="00AE4518">
        <w:rPr>
          <w:rFonts w:ascii="Garamond" w:eastAsia="Times New Roman" w:hAnsi="Garamond" w:cs="Times New Roman"/>
          <w:bCs/>
          <w:sz w:val="24"/>
          <w:szCs w:val="24"/>
        </w:rPr>
        <w:t xml:space="preserve"> e sistemit dhe lidhjen e tij me sistemin elektro</w:t>
      </w:r>
      <w:r w:rsidR="002F771B">
        <w:rPr>
          <w:rFonts w:ascii="Garamond" w:eastAsia="Times New Roman" w:hAnsi="Garamond" w:cs="Times New Roman"/>
          <w:bCs/>
          <w:sz w:val="24"/>
          <w:szCs w:val="24"/>
        </w:rPr>
        <w:t>nik të menaxhimit të çështjeve.</w:t>
      </w:r>
    </w:p>
    <w:p w14:paraId="6DB78D90" w14:textId="16C59F36"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22. Të forcojë mekanizmat e monitorimit të kohëzgjatjes së proceseve gjyqësore</w:t>
      </w:r>
      <w:r w:rsidR="00070EC8" w:rsidRP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duke analizuar periodikisht problematikat </w:t>
      </w:r>
      <w:proofErr w:type="spellStart"/>
      <w:r w:rsidRPr="00AE4518">
        <w:rPr>
          <w:rFonts w:ascii="Garamond" w:eastAsia="Times New Roman" w:hAnsi="Garamond" w:cs="Times New Roman"/>
          <w:bCs/>
          <w:sz w:val="24"/>
          <w:szCs w:val="24"/>
        </w:rPr>
        <w:t>sistemike</w:t>
      </w:r>
      <w:proofErr w:type="spellEnd"/>
      <w:r w:rsidRPr="00AE4518">
        <w:rPr>
          <w:rFonts w:ascii="Garamond" w:eastAsia="Times New Roman" w:hAnsi="Garamond" w:cs="Times New Roman"/>
          <w:bCs/>
          <w:sz w:val="24"/>
          <w:szCs w:val="24"/>
        </w:rPr>
        <w:t xml:space="preserve">, shkaqet e vonesave dhe masat e nevojshme për eliminimin e tyre, si dhe të publikimit në kohë dhe në mënyrë të standardizuar të vendimeve gjyqësore, në përputhje me </w:t>
      </w:r>
      <w:proofErr w:type="spellStart"/>
      <w:r w:rsidRPr="00AE4518">
        <w:rPr>
          <w:rFonts w:ascii="Garamond" w:eastAsia="Times New Roman" w:hAnsi="Garamond" w:cs="Times New Roman"/>
          <w:bCs/>
          <w:sz w:val="24"/>
          <w:szCs w:val="24"/>
        </w:rPr>
        <w:t>KEDNJ</w:t>
      </w:r>
      <w:proofErr w:type="spellEnd"/>
      <w:r w:rsidRPr="00AE4518">
        <w:rPr>
          <w:rFonts w:ascii="Garamond" w:eastAsia="Times New Roman" w:hAnsi="Garamond" w:cs="Times New Roman"/>
          <w:bCs/>
          <w:sz w:val="24"/>
          <w:szCs w:val="24"/>
        </w:rPr>
        <w:t>-</w:t>
      </w:r>
      <w:r w:rsidR="009F062B" w:rsidRPr="00AE4518">
        <w:rPr>
          <w:rFonts w:ascii="Garamond" w:eastAsia="Times New Roman" w:hAnsi="Garamond" w:cs="Times New Roman"/>
          <w:bCs/>
          <w:sz w:val="24"/>
          <w:szCs w:val="24"/>
        </w:rPr>
        <w:t>n</w:t>
      </w:r>
      <w:r w:rsidRPr="00AE4518">
        <w:rPr>
          <w:rFonts w:ascii="Garamond" w:eastAsia="Times New Roman" w:hAnsi="Garamond" w:cs="Times New Roman"/>
          <w:bCs/>
          <w:sz w:val="24"/>
          <w:szCs w:val="24"/>
        </w:rPr>
        <w:t xml:space="preserve">ë dhe jurisprudencën e </w:t>
      </w:r>
      <w:proofErr w:type="spellStart"/>
      <w:r w:rsidRPr="00AE4518">
        <w:rPr>
          <w:rFonts w:ascii="Garamond" w:eastAsia="Times New Roman" w:hAnsi="Garamond" w:cs="Times New Roman"/>
          <w:bCs/>
          <w:sz w:val="24"/>
          <w:szCs w:val="24"/>
        </w:rPr>
        <w:t>GJEDNJ</w:t>
      </w:r>
      <w:proofErr w:type="spellEnd"/>
      <w:r w:rsidRPr="00AE4518">
        <w:rPr>
          <w:rFonts w:ascii="Garamond" w:eastAsia="Times New Roman" w:hAnsi="Garamond" w:cs="Times New Roman"/>
          <w:bCs/>
          <w:sz w:val="24"/>
          <w:szCs w:val="24"/>
        </w:rPr>
        <w:t>-s</w:t>
      </w:r>
      <w:r w:rsidR="002F771B">
        <w:rPr>
          <w:rFonts w:ascii="Garamond" w:eastAsia="Times New Roman" w:hAnsi="Garamond" w:cs="Times New Roman"/>
          <w:bCs/>
          <w:sz w:val="24"/>
          <w:szCs w:val="24"/>
        </w:rPr>
        <w:t>ë.</w:t>
      </w:r>
    </w:p>
    <w:p w14:paraId="35BEAF3F" w14:textId="00700ECC"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23. Të forcojë bashkëpunimin institucional me Inspektorin e Lartë të Drejtësisë dhe</w:t>
      </w:r>
      <w:r w:rsidR="00070EC8" w:rsidRPr="00AE4518">
        <w:rPr>
          <w:rFonts w:ascii="Garamond" w:eastAsia="Times New Roman" w:hAnsi="Garamond" w:cs="Times New Roman"/>
          <w:bCs/>
          <w:sz w:val="24"/>
          <w:szCs w:val="24"/>
        </w:rPr>
        <w:t>,</w:t>
      </w:r>
      <w:r w:rsidRPr="00AE4518">
        <w:rPr>
          <w:rFonts w:ascii="Garamond" w:eastAsia="Times New Roman" w:hAnsi="Garamond" w:cs="Times New Roman"/>
          <w:bCs/>
          <w:sz w:val="24"/>
          <w:szCs w:val="24"/>
        </w:rPr>
        <w:t xml:space="preserve"> kur është e nevojshme, me Këshillin e Lartë të Prokurorisë për shkëmbimin e të dhënave, identifikimin e problematikave </w:t>
      </w:r>
      <w:proofErr w:type="spellStart"/>
      <w:r w:rsidRPr="00AE4518">
        <w:rPr>
          <w:rFonts w:ascii="Garamond" w:eastAsia="Times New Roman" w:hAnsi="Garamond" w:cs="Times New Roman"/>
          <w:bCs/>
          <w:sz w:val="24"/>
          <w:szCs w:val="24"/>
        </w:rPr>
        <w:t>sistemike</w:t>
      </w:r>
      <w:proofErr w:type="spellEnd"/>
      <w:r w:rsidRPr="00AE4518">
        <w:rPr>
          <w:rFonts w:ascii="Garamond" w:eastAsia="Times New Roman" w:hAnsi="Garamond" w:cs="Times New Roman"/>
          <w:bCs/>
          <w:sz w:val="24"/>
          <w:szCs w:val="24"/>
        </w:rPr>
        <w:t xml:space="preserve">, adresimin e </w:t>
      </w:r>
      <w:proofErr w:type="spellStart"/>
      <w:r w:rsidRPr="00AE4518">
        <w:rPr>
          <w:rFonts w:ascii="Garamond" w:eastAsia="Times New Roman" w:hAnsi="Garamond" w:cs="Times New Roman"/>
          <w:bCs/>
          <w:sz w:val="24"/>
          <w:szCs w:val="24"/>
        </w:rPr>
        <w:t>risqeve</w:t>
      </w:r>
      <w:proofErr w:type="spellEnd"/>
      <w:r w:rsidRPr="00AE4518">
        <w:rPr>
          <w:rFonts w:ascii="Garamond" w:eastAsia="Times New Roman" w:hAnsi="Garamond" w:cs="Times New Roman"/>
          <w:bCs/>
          <w:sz w:val="24"/>
          <w:szCs w:val="24"/>
        </w:rPr>
        <w:t xml:space="preserve"> të integritetit dhe forcimin e llogaridhënies në sistemin e drejtësisë.</w:t>
      </w:r>
    </w:p>
    <w:p w14:paraId="6F55C6F2" w14:textId="2A48FB3C"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24. Në konsideratë të normës shumë të ulët të veprimit institucional për çështjet disiplinore, të forcojë angazhimin për të adresuar me efektivitet këto çështje në funksion të llogaridhënies, si një përgjegjësi e përhershme e organeve të </w:t>
      </w:r>
      <w:r w:rsidR="002F771B">
        <w:rPr>
          <w:rFonts w:ascii="Garamond" w:eastAsia="Times New Roman" w:hAnsi="Garamond" w:cs="Times New Roman"/>
          <w:bCs/>
          <w:sz w:val="24"/>
          <w:szCs w:val="24"/>
        </w:rPr>
        <w:t>reja të sistemit të drejtësisë.</w:t>
      </w:r>
    </w:p>
    <w:p w14:paraId="48BE218F" w14:textId="119313FE"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25.</w:t>
      </w:r>
      <w:r w:rsidR="009F062B" w:rsidRPr="00AE4518">
        <w:rPr>
          <w:rFonts w:ascii="Garamond" w:eastAsia="Times New Roman" w:hAnsi="Garamond" w:cs="Times New Roman"/>
          <w:bCs/>
          <w:sz w:val="24"/>
          <w:szCs w:val="24"/>
        </w:rPr>
        <w:t xml:space="preserve"> N</w:t>
      </w:r>
      <w:r w:rsidRPr="00AE4518">
        <w:rPr>
          <w:rFonts w:ascii="Garamond" w:eastAsia="Times New Roman" w:hAnsi="Garamond" w:cs="Times New Roman"/>
          <w:bCs/>
          <w:sz w:val="24"/>
          <w:szCs w:val="24"/>
        </w:rPr>
        <w:t xml:space="preserve">ë bashkëpunim me Ministrinë e Drejtësisë, </w:t>
      </w:r>
      <w:r w:rsidR="007345B9" w:rsidRPr="00AE4518">
        <w:rPr>
          <w:rFonts w:ascii="Garamond" w:eastAsia="Times New Roman" w:hAnsi="Garamond" w:cs="Times New Roman"/>
          <w:bCs/>
          <w:sz w:val="24"/>
          <w:szCs w:val="24"/>
        </w:rPr>
        <w:t xml:space="preserve">të promovojë </w:t>
      </w:r>
      <w:r w:rsidRPr="00AE4518">
        <w:rPr>
          <w:rFonts w:ascii="Garamond" w:eastAsia="Times New Roman" w:hAnsi="Garamond" w:cs="Times New Roman"/>
          <w:bCs/>
          <w:sz w:val="24"/>
          <w:szCs w:val="24"/>
        </w:rPr>
        <w:t xml:space="preserve">gjykatat dhe aktorët përgjegjës, përdorimin e mekanizmave alternativë të zgjidhjes së mosmarrëveshjeve, përmes informimit të qytetarëve, trajnimit të administratës gjyqësore, orientimit procedural dhe evidentimit të ndikimit të këtyre mekanizmave </w:t>
      </w:r>
      <w:r w:rsidR="002F771B">
        <w:rPr>
          <w:rFonts w:ascii="Garamond" w:eastAsia="Times New Roman" w:hAnsi="Garamond" w:cs="Times New Roman"/>
          <w:bCs/>
          <w:sz w:val="24"/>
          <w:szCs w:val="24"/>
        </w:rPr>
        <w:t>në uljen e ngarkesës gjyqësore.</w:t>
      </w:r>
    </w:p>
    <w:p w14:paraId="411A374D" w14:textId="1C059257"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 xml:space="preserve">26. Të bashkëpunojë me strukturat përgjegjëse të Kuvendit të Shqipërisë për shkëmbimin e informacionit për zhvillimin dhe konsolidimin e metodologjisë së standardizuar të treguesve kyç të </w:t>
      </w:r>
      <w:proofErr w:type="spellStart"/>
      <w:r w:rsidRPr="00AE4518">
        <w:rPr>
          <w:rFonts w:ascii="Garamond" w:eastAsia="Times New Roman" w:hAnsi="Garamond" w:cs="Times New Roman"/>
          <w:bCs/>
          <w:sz w:val="24"/>
          <w:szCs w:val="24"/>
        </w:rPr>
        <w:t>performancës</w:t>
      </w:r>
      <w:proofErr w:type="spellEnd"/>
      <w:r w:rsidRPr="00AE4518">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brenda </w:t>
      </w:r>
      <w:r w:rsidR="007345B9" w:rsidRPr="00AE4518">
        <w:rPr>
          <w:rFonts w:ascii="Garamond" w:eastAsia="Times New Roman" w:hAnsi="Garamond" w:cs="Times New Roman"/>
          <w:bCs/>
          <w:sz w:val="24"/>
          <w:szCs w:val="24"/>
        </w:rPr>
        <w:t>3-</w:t>
      </w:r>
      <w:r w:rsidR="002F771B">
        <w:rPr>
          <w:rFonts w:ascii="Garamond" w:eastAsia="Times New Roman" w:hAnsi="Garamond" w:cs="Times New Roman"/>
          <w:bCs/>
          <w:sz w:val="24"/>
          <w:szCs w:val="24"/>
        </w:rPr>
        <w:t>mujorit të tretë të vitit 2026.</w:t>
      </w:r>
    </w:p>
    <w:p w14:paraId="25C86256" w14:textId="1BEB7392" w:rsidR="002B43B4" w:rsidRPr="00AE4518" w:rsidRDefault="002B43B4" w:rsidP="000F5955">
      <w:pPr>
        <w:spacing w:after="0" w:line="240" w:lineRule="auto"/>
        <w:ind w:firstLine="284"/>
        <w:jc w:val="both"/>
        <w:rPr>
          <w:rFonts w:ascii="Garamond" w:eastAsia="Times New Roman" w:hAnsi="Garamond" w:cs="Times New Roman"/>
          <w:bCs/>
          <w:sz w:val="24"/>
          <w:szCs w:val="24"/>
        </w:rPr>
      </w:pPr>
      <w:r w:rsidRPr="00AE4518">
        <w:rPr>
          <w:rFonts w:ascii="Garamond" w:eastAsia="Times New Roman" w:hAnsi="Garamond" w:cs="Times New Roman"/>
          <w:bCs/>
          <w:sz w:val="24"/>
          <w:szCs w:val="24"/>
        </w:rPr>
        <w:t>27. Brenda 30 ditë</w:t>
      </w:r>
      <w:r w:rsidR="007345B9" w:rsidRPr="00AE4518">
        <w:rPr>
          <w:rFonts w:ascii="Garamond" w:eastAsia="Times New Roman" w:hAnsi="Garamond" w:cs="Times New Roman"/>
          <w:bCs/>
          <w:sz w:val="24"/>
          <w:szCs w:val="24"/>
        </w:rPr>
        <w:t>ve</w:t>
      </w:r>
      <w:r w:rsidRPr="00AE4518">
        <w:rPr>
          <w:rFonts w:ascii="Garamond" w:eastAsia="Times New Roman" w:hAnsi="Garamond" w:cs="Times New Roman"/>
          <w:bCs/>
          <w:sz w:val="24"/>
          <w:szCs w:val="24"/>
        </w:rPr>
        <w:t xml:space="preserve"> nga miratimi i rezolutës, të hartojë dhe </w:t>
      </w:r>
      <w:r w:rsidR="004C53EC" w:rsidRPr="00AE4518">
        <w:rPr>
          <w:rFonts w:ascii="Garamond" w:eastAsia="Times New Roman" w:hAnsi="Garamond" w:cs="Times New Roman"/>
          <w:bCs/>
          <w:sz w:val="24"/>
          <w:szCs w:val="24"/>
        </w:rPr>
        <w:t xml:space="preserve">të </w:t>
      </w:r>
      <w:r w:rsidRPr="00AE4518">
        <w:rPr>
          <w:rFonts w:ascii="Garamond" w:eastAsia="Times New Roman" w:hAnsi="Garamond" w:cs="Times New Roman"/>
          <w:bCs/>
          <w:sz w:val="24"/>
          <w:szCs w:val="24"/>
        </w:rPr>
        <w:t xml:space="preserve">publikojë një plan veprimi për zbatimin e rekomandimeve, i cili të përcaktojë masat konkrete, afatet e realizimit, strukturat përgjegjëse, treguesit bazë dhe objektivat e synuar, si dhe të raportojë periodikisht </w:t>
      </w:r>
      <w:r w:rsidR="004C53EC" w:rsidRPr="00AE4518">
        <w:rPr>
          <w:rFonts w:ascii="Garamond" w:eastAsia="Times New Roman" w:hAnsi="Garamond" w:cs="Times New Roman"/>
          <w:bCs/>
          <w:sz w:val="24"/>
          <w:szCs w:val="24"/>
        </w:rPr>
        <w:t xml:space="preserve">për </w:t>
      </w:r>
      <w:r w:rsidR="002F771B">
        <w:rPr>
          <w:rFonts w:ascii="Garamond" w:eastAsia="Times New Roman" w:hAnsi="Garamond" w:cs="Times New Roman"/>
          <w:bCs/>
          <w:sz w:val="24"/>
          <w:szCs w:val="24"/>
        </w:rPr>
        <w:t>nivelin e përmbushjes së tyre.</w:t>
      </w:r>
    </w:p>
    <w:p w14:paraId="6E925810" w14:textId="492D89DB" w:rsidR="009F062B" w:rsidRPr="00AE4518" w:rsidRDefault="004C53EC" w:rsidP="000F5955">
      <w:pPr>
        <w:spacing w:after="0" w:line="240" w:lineRule="auto"/>
        <w:ind w:firstLine="284"/>
        <w:jc w:val="both"/>
        <w:rPr>
          <w:rFonts w:ascii="Garamond" w:hAnsi="Garamond" w:cs="Times New Roman"/>
          <w:sz w:val="24"/>
          <w:szCs w:val="24"/>
          <w:highlight w:val="yellow"/>
        </w:rPr>
      </w:pPr>
      <w:r w:rsidRPr="00AE4518">
        <w:rPr>
          <w:rFonts w:ascii="Garamond" w:eastAsia="Times New Roman" w:hAnsi="Garamond" w:cs="Times New Roman"/>
          <w:bCs/>
          <w:sz w:val="24"/>
          <w:szCs w:val="24"/>
        </w:rPr>
        <w:t xml:space="preserve"> </w:t>
      </w:r>
    </w:p>
    <w:p w14:paraId="221649EC" w14:textId="51918CE9" w:rsidR="00EB62DE" w:rsidRPr="00AE4518" w:rsidRDefault="00A755F6" w:rsidP="000F5955">
      <w:pPr>
        <w:spacing w:after="0" w:line="240" w:lineRule="auto"/>
        <w:ind w:firstLine="284"/>
        <w:jc w:val="both"/>
        <w:rPr>
          <w:rFonts w:ascii="Garamond" w:hAnsi="Garamond" w:cs="Times New Roman"/>
          <w:sz w:val="24"/>
          <w:szCs w:val="24"/>
        </w:rPr>
      </w:pPr>
      <w:r w:rsidRPr="00AE4518">
        <w:rPr>
          <w:rFonts w:ascii="Garamond" w:hAnsi="Garamond" w:cs="Times New Roman"/>
          <w:sz w:val="24"/>
          <w:szCs w:val="24"/>
        </w:rPr>
        <w:t>Miratuar në datën</w:t>
      </w:r>
      <w:r w:rsidR="009F062B" w:rsidRPr="00AE4518">
        <w:rPr>
          <w:rFonts w:ascii="Garamond" w:hAnsi="Garamond" w:cs="Times New Roman"/>
          <w:sz w:val="24"/>
          <w:szCs w:val="24"/>
        </w:rPr>
        <w:t xml:space="preserve"> 23.7</w:t>
      </w:r>
      <w:r w:rsidR="00181D50" w:rsidRPr="00AE4518">
        <w:rPr>
          <w:rFonts w:ascii="Garamond" w:hAnsi="Garamond" w:cs="Times New Roman"/>
          <w:sz w:val="24"/>
          <w:szCs w:val="24"/>
        </w:rPr>
        <w:t>.</w:t>
      </w:r>
      <w:r w:rsidR="003C57D3" w:rsidRPr="00AE4518">
        <w:rPr>
          <w:rFonts w:ascii="Garamond" w:hAnsi="Garamond" w:cs="Times New Roman"/>
          <w:sz w:val="24"/>
          <w:szCs w:val="24"/>
        </w:rPr>
        <w:t>202</w:t>
      </w:r>
      <w:r w:rsidR="00275863" w:rsidRPr="00AE4518">
        <w:rPr>
          <w:rFonts w:ascii="Garamond" w:hAnsi="Garamond" w:cs="Times New Roman"/>
          <w:sz w:val="24"/>
          <w:szCs w:val="24"/>
        </w:rPr>
        <w:t>6</w:t>
      </w:r>
      <w:r w:rsidR="002F771B">
        <w:rPr>
          <w:rFonts w:ascii="Garamond" w:hAnsi="Garamond" w:cs="Times New Roman"/>
          <w:sz w:val="24"/>
          <w:szCs w:val="24"/>
        </w:rPr>
        <w:t>.</w:t>
      </w:r>
    </w:p>
    <w:p w14:paraId="05A8005D" w14:textId="730E66CE" w:rsidR="00841A15" w:rsidRPr="00AE4518" w:rsidRDefault="00841A15" w:rsidP="000F5955">
      <w:pPr>
        <w:spacing w:after="0" w:line="240" w:lineRule="auto"/>
        <w:ind w:firstLine="284"/>
        <w:rPr>
          <w:rFonts w:ascii="Garamond" w:eastAsia="Times New Roman" w:hAnsi="Garamond" w:cs="Times New Roman"/>
          <w:sz w:val="24"/>
          <w:szCs w:val="24"/>
        </w:rPr>
      </w:pPr>
    </w:p>
    <w:p w14:paraId="1B1017D1" w14:textId="77777777" w:rsidR="007D7A4E" w:rsidRPr="00AE4518" w:rsidRDefault="007D7A4E" w:rsidP="007D7A4E">
      <w:pPr>
        <w:spacing w:after="0" w:line="240" w:lineRule="auto"/>
        <w:ind w:left="6920"/>
        <w:jc w:val="right"/>
        <w:rPr>
          <w:rFonts w:ascii="Garamond" w:hAnsi="Garamond" w:cs="Times New Roman"/>
          <w:bCs/>
          <w:color w:val="000000" w:themeColor="text1"/>
          <w:sz w:val="24"/>
          <w:szCs w:val="24"/>
        </w:rPr>
      </w:pPr>
      <w:r w:rsidRPr="00AE4518">
        <w:rPr>
          <w:rFonts w:ascii="Garamond" w:hAnsi="Garamond" w:cs="Times New Roman"/>
          <w:bCs/>
          <w:color w:val="000000" w:themeColor="text1"/>
          <w:sz w:val="24"/>
          <w:szCs w:val="24"/>
        </w:rPr>
        <w:lastRenderedPageBreak/>
        <w:t xml:space="preserve">KRYETAR </w:t>
      </w:r>
    </w:p>
    <w:p w14:paraId="536E7D2C" w14:textId="77777777" w:rsidR="007D7A4E" w:rsidRPr="00AE4518" w:rsidRDefault="007D7A4E" w:rsidP="007D7A4E">
      <w:pPr>
        <w:spacing w:after="0" w:line="240" w:lineRule="auto"/>
        <w:jc w:val="right"/>
        <w:rPr>
          <w:rFonts w:ascii="Garamond" w:hAnsi="Garamond" w:cs="Times New Roman"/>
          <w:b/>
          <w:bCs/>
          <w:color w:val="000000" w:themeColor="text1"/>
          <w:sz w:val="24"/>
          <w:szCs w:val="24"/>
        </w:rPr>
      </w:pPr>
      <w:proofErr w:type="spellStart"/>
      <w:r w:rsidRPr="00AE4518">
        <w:rPr>
          <w:rFonts w:ascii="Garamond" w:hAnsi="Garamond" w:cs="Times New Roman"/>
          <w:b/>
          <w:bCs/>
          <w:color w:val="000000" w:themeColor="text1"/>
          <w:sz w:val="24"/>
          <w:szCs w:val="24"/>
        </w:rPr>
        <w:t>Niko</w:t>
      </w:r>
      <w:proofErr w:type="spellEnd"/>
      <w:r w:rsidRPr="00AE4518">
        <w:rPr>
          <w:rFonts w:ascii="Garamond" w:hAnsi="Garamond" w:cs="Times New Roman"/>
          <w:b/>
          <w:bCs/>
          <w:color w:val="000000" w:themeColor="text1"/>
          <w:sz w:val="24"/>
          <w:szCs w:val="24"/>
        </w:rPr>
        <w:t xml:space="preserve"> </w:t>
      </w:r>
      <w:proofErr w:type="spellStart"/>
      <w:r w:rsidRPr="00AE4518">
        <w:rPr>
          <w:rFonts w:ascii="Garamond" w:hAnsi="Garamond" w:cs="Times New Roman"/>
          <w:b/>
          <w:bCs/>
          <w:color w:val="000000" w:themeColor="text1"/>
          <w:sz w:val="24"/>
          <w:szCs w:val="24"/>
        </w:rPr>
        <w:t>Peleshi</w:t>
      </w:r>
      <w:proofErr w:type="spellEnd"/>
    </w:p>
    <w:p w14:paraId="0A8ADB49" w14:textId="77777777" w:rsidR="007D7A4E" w:rsidRPr="00AE4518" w:rsidRDefault="007D7A4E" w:rsidP="000F5955">
      <w:pPr>
        <w:spacing w:after="0" w:line="240" w:lineRule="auto"/>
        <w:ind w:firstLine="284"/>
        <w:rPr>
          <w:rFonts w:ascii="Garamond" w:eastAsia="Times New Roman" w:hAnsi="Garamond" w:cs="Times New Roman"/>
          <w:sz w:val="24"/>
          <w:szCs w:val="24"/>
        </w:rPr>
      </w:pPr>
    </w:p>
    <w:p w14:paraId="1B441005" w14:textId="77777777" w:rsidR="00841A15" w:rsidRPr="00AE4518" w:rsidRDefault="00841A15" w:rsidP="000F5955">
      <w:pPr>
        <w:spacing w:after="0" w:line="240" w:lineRule="auto"/>
        <w:ind w:firstLine="284"/>
        <w:rPr>
          <w:rFonts w:ascii="Garamond" w:eastAsia="Times New Roman" w:hAnsi="Garamond" w:cs="Times New Roman"/>
          <w:sz w:val="24"/>
          <w:szCs w:val="24"/>
        </w:rPr>
      </w:pPr>
    </w:p>
    <w:p w14:paraId="328FB015" w14:textId="77777777" w:rsidR="003C57D3" w:rsidRPr="00AE4518" w:rsidRDefault="003C57D3" w:rsidP="000F5955">
      <w:pPr>
        <w:spacing w:after="0" w:line="240" w:lineRule="auto"/>
        <w:ind w:firstLine="284"/>
        <w:rPr>
          <w:rFonts w:ascii="Garamond" w:eastAsia="Times New Roman" w:hAnsi="Garamond" w:cs="Times New Roman"/>
          <w:sz w:val="24"/>
          <w:szCs w:val="24"/>
        </w:rPr>
      </w:pPr>
    </w:p>
    <w:p w14:paraId="3E9909DF" w14:textId="77777777" w:rsidR="0079748A" w:rsidRPr="00AE4518" w:rsidRDefault="0079748A" w:rsidP="000F5955">
      <w:pPr>
        <w:spacing w:after="0" w:line="240" w:lineRule="auto"/>
        <w:ind w:firstLine="284"/>
        <w:rPr>
          <w:rFonts w:ascii="Garamond" w:eastAsia="Times New Roman" w:hAnsi="Garamond" w:cs="Times New Roman"/>
          <w:sz w:val="24"/>
          <w:szCs w:val="24"/>
        </w:rPr>
      </w:pPr>
    </w:p>
    <w:sectPr w:rsidR="0079748A" w:rsidRPr="00AE4518"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6450D" w14:textId="77777777" w:rsidR="00796C64" w:rsidRDefault="00796C64" w:rsidP="00C86383">
      <w:pPr>
        <w:spacing w:after="0" w:line="240" w:lineRule="auto"/>
      </w:pPr>
      <w:r>
        <w:separator/>
      </w:r>
    </w:p>
  </w:endnote>
  <w:endnote w:type="continuationSeparator" w:id="0">
    <w:p w14:paraId="6FC88EAF" w14:textId="77777777" w:rsidR="00796C64" w:rsidRDefault="00796C64" w:rsidP="00C86383">
      <w:pPr>
        <w:spacing w:after="0" w:line="240" w:lineRule="auto"/>
      </w:pPr>
      <w:r>
        <w:continuationSeparator/>
      </w:r>
    </w:p>
  </w:endnote>
  <w:endnote w:type="continuationNotice" w:id="1">
    <w:p w14:paraId="61B48585" w14:textId="77777777" w:rsidR="00331EF5" w:rsidRDefault="00331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210D9B5" w:rsidR="00796C64" w:rsidRPr="00E7684C" w:rsidRDefault="00796C64">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2F771B">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796C64" w:rsidRDefault="00796C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70710" w14:textId="77777777" w:rsidR="00796C64" w:rsidRDefault="00796C64" w:rsidP="00C86383">
      <w:pPr>
        <w:spacing w:after="0" w:line="240" w:lineRule="auto"/>
      </w:pPr>
      <w:r>
        <w:separator/>
      </w:r>
    </w:p>
  </w:footnote>
  <w:footnote w:type="continuationSeparator" w:id="0">
    <w:p w14:paraId="4D69B89E" w14:textId="77777777" w:rsidR="00796C64" w:rsidRDefault="00796C64" w:rsidP="00C86383">
      <w:pPr>
        <w:spacing w:after="0" w:line="240" w:lineRule="auto"/>
      </w:pPr>
      <w:r>
        <w:continuationSeparator/>
      </w:r>
    </w:p>
  </w:footnote>
  <w:footnote w:type="continuationNotice" w:id="1">
    <w:p w14:paraId="0C2A3CCB" w14:textId="77777777" w:rsidR="00331EF5" w:rsidRDefault="00331EF5">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CFC"/>
    <w:rsid w:val="00013F99"/>
    <w:rsid w:val="00013FC1"/>
    <w:rsid w:val="0001705C"/>
    <w:rsid w:val="00017F55"/>
    <w:rsid w:val="00020115"/>
    <w:rsid w:val="000224FD"/>
    <w:rsid w:val="000225F5"/>
    <w:rsid w:val="00022B06"/>
    <w:rsid w:val="000278AC"/>
    <w:rsid w:val="00027E1F"/>
    <w:rsid w:val="00032920"/>
    <w:rsid w:val="00032ACF"/>
    <w:rsid w:val="00037E73"/>
    <w:rsid w:val="00044096"/>
    <w:rsid w:val="00044C1F"/>
    <w:rsid w:val="00051513"/>
    <w:rsid w:val="00055B91"/>
    <w:rsid w:val="0005725B"/>
    <w:rsid w:val="00062B6C"/>
    <w:rsid w:val="00062F7F"/>
    <w:rsid w:val="00070EC8"/>
    <w:rsid w:val="0007298B"/>
    <w:rsid w:val="00073681"/>
    <w:rsid w:val="00082B98"/>
    <w:rsid w:val="00083230"/>
    <w:rsid w:val="0008375C"/>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0F5955"/>
    <w:rsid w:val="0010178D"/>
    <w:rsid w:val="00104297"/>
    <w:rsid w:val="001049FD"/>
    <w:rsid w:val="001113F8"/>
    <w:rsid w:val="00114DD0"/>
    <w:rsid w:val="001156F1"/>
    <w:rsid w:val="00121DB5"/>
    <w:rsid w:val="00125D8E"/>
    <w:rsid w:val="001315C1"/>
    <w:rsid w:val="001325AF"/>
    <w:rsid w:val="00132AD7"/>
    <w:rsid w:val="001336E2"/>
    <w:rsid w:val="001356DB"/>
    <w:rsid w:val="001402A8"/>
    <w:rsid w:val="001424BF"/>
    <w:rsid w:val="001432F5"/>
    <w:rsid w:val="00143A0C"/>
    <w:rsid w:val="001501FF"/>
    <w:rsid w:val="00151769"/>
    <w:rsid w:val="0016140E"/>
    <w:rsid w:val="00162EC4"/>
    <w:rsid w:val="00176BBD"/>
    <w:rsid w:val="0018119B"/>
    <w:rsid w:val="00181B37"/>
    <w:rsid w:val="00181D50"/>
    <w:rsid w:val="00184409"/>
    <w:rsid w:val="001858C3"/>
    <w:rsid w:val="00191634"/>
    <w:rsid w:val="001A79AF"/>
    <w:rsid w:val="001B134B"/>
    <w:rsid w:val="001B6D41"/>
    <w:rsid w:val="001B7CF3"/>
    <w:rsid w:val="001C09EF"/>
    <w:rsid w:val="001C1147"/>
    <w:rsid w:val="001E2085"/>
    <w:rsid w:val="001E3542"/>
    <w:rsid w:val="001F4CD5"/>
    <w:rsid w:val="00202011"/>
    <w:rsid w:val="00203FC0"/>
    <w:rsid w:val="0020553B"/>
    <w:rsid w:val="002063FE"/>
    <w:rsid w:val="002129CF"/>
    <w:rsid w:val="00215C02"/>
    <w:rsid w:val="002176D7"/>
    <w:rsid w:val="002202CB"/>
    <w:rsid w:val="00223BB0"/>
    <w:rsid w:val="0022618D"/>
    <w:rsid w:val="002359AF"/>
    <w:rsid w:val="00235E78"/>
    <w:rsid w:val="00237CB2"/>
    <w:rsid w:val="00240C54"/>
    <w:rsid w:val="00240E91"/>
    <w:rsid w:val="00243068"/>
    <w:rsid w:val="00244B19"/>
    <w:rsid w:val="00244D0F"/>
    <w:rsid w:val="00262768"/>
    <w:rsid w:val="00262C8A"/>
    <w:rsid w:val="00266214"/>
    <w:rsid w:val="002707A6"/>
    <w:rsid w:val="00275863"/>
    <w:rsid w:val="00275F33"/>
    <w:rsid w:val="00283031"/>
    <w:rsid w:val="00286E87"/>
    <w:rsid w:val="0029415F"/>
    <w:rsid w:val="002A1841"/>
    <w:rsid w:val="002A38D2"/>
    <w:rsid w:val="002A4484"/>
    <w:rsid w:val="002B2319"/>
    <w:rsid w:val="002B3024"/>
    <w:rsid w:val="002B42ED"/>
    <w:rsid w:val="002B43B4"/>
    <w:rsid w:val="002B6674"/>
    <w:rsid w:val="002C098B"/>
    <w:rsid w:val="002C0BF7"/>
    <w:rsid w:val="002D28BD"/>
    <w:rsid w:val="002D47BF"/>
    <w:rsid w:val="002D6F17"/>
    <w:rsid w:val="002E049D"/>
    <w:rsid w:val="002E203D"/>
    <w:rsid w:val="002E30A1"/>
    <w:rsid w:val="002E3E9A"/>
    <w:rsid w:val="002E57A2"/>
    <w:rsid w:val="002F13C1"/>
    <w:rsid w:val="002F1E84"/>
    <w:rsid w:val="002F495E"/>
    <w:rsid w:val="002F56DF"/>
    <w:rsid w:val="002F771B"/>
    <w:rsid w:val="00310428"/>
    <w:rsid w:val="00312A26"/>
    <w:rsid w:val="00321277"/>
    <w:rsid w:val="00323548"/>
    <w:rsid w:val="00327E49"/>
    <w:rsid w:val="003305FA"/>
    <w:rsid w:val="00331EF5"/>
    <w:rsid w:val="0033383F"/>
    <w:rsid w:val="003339DF"/>
    <w:rsid w:val="003345F5"/>
    <w:rsid w:val="00335564"/>
    <w:rsid w:val="00343599"/>
    <w:rsid w:val="00343D14"/>
    <w:rsid w:val="0034558C"/>
    <w:rsid w:val="00351908"/>
    <w:rsid w:val="003556E0"/>
    <w:rsid w:val="003557DA"/>
    <w:rsid w:val="0036467F"/>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3F2"/>
    <w:rsid w:val="003C3B41"/>
    <w:rsid w:val="003C51DC"/>
    <w:rsid w:val="003C57D3"/>
    <w:rsid w:val="003D23B3"/>
    <w:rsid w:val="003D6B2B"/>
    <w:rsid w:val="003E08F3"/>
    <w:rsid w:val="003E193B"/>
    <w:rsid w:val="003E25A8"/>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24F3"/>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C53EC"/>
    <w:rsid w:val="004D1840"/>
    <w:rsid w:val="004D18EB"/>
    <w:rsid w:val="004D508B"/>
    <w:rsid w:val="004D62AE"/>
    <w:rsid w:val="004E0456"/>
    <w:rsid w:val="004E639B"/>
    <w:rsid w:val="004E7623"/>
    <w:rsid w:val="004F08BE"/>
    <w:rsid w:val="004F3A91"/>
    <w:rsid w:val="00501097"/>
    <w:rsid w:val="00502636"/>
    <w:rsid w:val="0050400B"/>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83D1D"/>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2D28"/>
    <w:rsid w:val="00695534"/>
    <w:rsid w:val="006A1126"/>
    <w:rsid w:val="006B27CE"/>
    <w:rsid w:val="006B2B4C"/>
    <w:rsid w:val="006B790D"/>
    <w:rsid w:val="006C2AEE"/>
    <w:rsid w:val="006D3004"/>
    <w:rsid w:val="006D6CF7"/>
    <w:rsid w:val="006E5794"/>
    <w:rsid w:val="006E6ACC"/>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8DB"/>
    <w:rsid w:val="00722A76"/>
    <w:rsid w:val="007259CC"/>
    <w:rsid w:val="007312D6"/>
    <w:rsid w:val="007345B9"/>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6C64"/>
    <w:rsid w:val="0079748A"/>
    <w:rsid w:val="007A1453"/>
    <w:rsid w:val="007A24F8"/>
    <w:rsid w:val="007A4144"/>
    <w:rsid w:val="007A54D2"/>
    <w:rsid w:val="007A6000"/>
    <w:rsid w:val="007A744F"/>
    <w:rsid w:val="007B6844"/>
    <w:rsid w:val="007B7A9E"/>
    <w:rsid w:val="007C05DC"/>
    <w:rsid w:val="007C0DC8"/>
    <w:rsid w:val="007C1E4A"/>
    <w:rsid w:val="007C6F84"/>
    <w:rsid w:val="007D7A4E"/>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5A58"/>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8F3"/>
    <w:rsid w:val="00993F35"/>
    <w:rsid w:val="00995CC4"/>
    <w:rsid w:val="0099713F"/>
    <w:rsid w:val="009A0CB1"/>
    <w:rsid w:val="009A34C0"/>
    <w:rsid w:val="009A67C9"/>
    <w:rsid w:val="009A734A"/>
    <w:rsid w:val="009B3A7B"/>
    <w:rsid w:val="009B6083"/>
    <w:rsid w:val="009D0BB6"/>
    <w:rsid w:val="009D3A41"/>
    <w:rsid w:val="009D5991"/>
    <w:rsid w:val="009D76B9"/>
    <w:rsid w:val="009E1F39"/>
    <w:rsid w:val="009E3C1B"/>
    <w:rsid w:val="009E6633"/>
    <w:rsid w:val="009E6CA9"/>
    <w:rsid w:val="009E7F8D"/>
    <w:rsid w:val="009F062B"/>
    <w:rsid w:val="009F1F17"/>
    <w:rsid w:val="009F5E40"/>
    <w:rsid w:val="00A07E25"/>
    <w:rsid w:val="00A14187"/>
    <w:rsid w:val="00A14640"/>
    <w:rsid w:val="00A14720"/>
    <w:rsid w:val="00A16B59"/>
    <w:rsid w:val="00A16E2C"/>
    <w:rsid w:val="00A215AB"/>
    <w:rsid w:val="00A22178"/>
    <w:rsid w:val="00A241B8"/>
    <w:rsid w:val="00A267B5"/>
    <w:rsid w:val="00A3090A"/>
    <w:rsid w:val="00A437BD"/>
    <w:rsid w:val="00A460C0"/>
    <w:rsid w:val="00A503B4"/>
    <w:rsid w:val="00A516BC"/>
    <w:rsid w:val="00A5392D"/>
    <w:rsid w:val="00A558AE"/>
    <w:rsid w:val="00A564E2"/>
    <w:rsid w:val="00A67678"/>
    <w:rsid w:val="00A74915"/>
    <w:rsid w:val="00A755F6"/>
    <w:rsid w:val="00A75E9F"/>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4518"/>
    <w:rsid w:val="00AE5AB4"/>
    <w:rsid w:val="00AE6DAB"/>
    <w:rsid w:val="00AF1CA2"/>
    <w:rsid w:val="00AF5A5B"/>
    <w:rsid w:val="00AF78C9"/>
    <w:rsid w:val="00B03133"/>
    <w:rsid w:val="00B074F2"/>
    <w:rsid w:val="00B07B19"/>
    <w:rsid w:val="00B1268D"/>
    <w:rsid w:val="00B131E7"/>
    <w:rsid w:val="00B14DA6"/>
    <w:rsid w:val="00B1678C"/>
    <w:rsid w:val="00B22C15"/>
    <w:rsid w:val="00B242A8"/>
    <w:rsid w:val="00B351AA"/>
    <w:rsid w:val="00B35261"/>
    <w:rsid w:val="00B41476"/>
    <w:rsid w:val="00B432B3"/>
    <w:rsid w:val="00B53958"/>
    <w:rsid w:val="00B53DAC"/>
    <w:rsid w:val="00B542F0"/>
    <w:rsid w:val="00B65D03"/>
    <w:rsid w:val="00B71AED"/>
    <w:rsid w:val="00B750FF"/>
    <w:rsid w:val="00B7731C"/>
    <w:rsid w:val="00B77321"/>
    <w:rsid w:val="00B7748B"/>
    <w:rsid w:val="00B826D3"/>
    <w:rsid w:val="00B83F77"/>
    <w:rsid w:val="00B85B4C"/>
    <w:rsid w:val="00B91916"/>
    <w:rsid w:val="00B96BF9"/>
    <w:rsid w:val="00BA2D77"/>
    <w:rsid w:val="00BA3142"/>
    <w:rsid w:val="00BA7E66"/>
    <w:rsid w:val="00BB1D27"/>
    <w:rsid w:val="00BB4C3C"/>
    <w:rsid w:val="00BB5EC4"/>
    <w:rsid w:val="00BC2A76"/>
    <w:rsid w:val="00BD592D"/>
    <w:rsid w:val="00BD5A4B"/>
    <w:rsid w:val="00BF0A3E"/>
    <w:rsid w:val="00BF1682"/>
    <w:rsid w:val="00BF31BC"/>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4F29"/>
    <w:rsid w:val="00C65542"/>
    <w:rsid w:val="00C829DC"/>
    <w:rsid w:val="00C86383"/>
    <w:rsid w:val="00C9434B"/>
    <w:rsid w:val="00C9564B"/>
    <w:rsid w:val="00C96F2B"/>
    <w:rsid w:val="00CA0814"/>
    <w:rsid w:val="00CA0EBE"/>
    <w:rsid w:val="00CA57B6"/>
    <w:rsid w:val="00CB1F79"/>
    <w:rsid w:val="00CC6F24"/>
    <w:rsid w:val="00CD31B5"/>
    <w:rsid w:val="00CD3633"/>
    <w:rsid w:val="00CD48BD"/>
    <w:rsid w:val="00CE032B"/>
    <w:rsid w:val="00CE0964"/>
    <w:rsid w:val="00CE0B9A"/>
    <w:rsid w:val="00CE2DFE"/>
    <w:rsid w:val="00CE5869"/>
    <w:rsid w:val="00CE6F13"/>
    <w:rsid w:val="00D05C90"/>
    <w:rsid w:val="00D0709B"/>
    <w:rsid w:val="00D121EC"/>
    <w:rsid w:val="00D17929"/>
    <w:rsid w:val="00D2027A"/>
    <w:rsid w:val="00D22C59"/>
    <w:rsid w:val="00D265C0"/>
    <w:rsid w:val="00D27092"/>
    <w:rsid w:val="00D31426"/>
    <w:rsid w:val="00D31E4D"/>
    <w:rsid w:val="00D332B5"/>
    <w:rsid w:val="00D34AAF"/>
    <w:rsid w:val="00D40BD5"/>
    <w:rsid w:val="00D44DC4"/>
    <w:rsid w:val="00D45458"/>
    <w:rsid w:val="00D53EDD"/>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3AF5"/>
    <w:rsid w:val="00DA5786"/>
    <w:rsid w:val="00DB28BF"/>
    <w:rsid w:val="00DB3852"/>
    <w:rsid w:val="00DB5ECD"/>
    <w:rsid w:val="00DB7E09"/>
    <w:rsid w:val="00DC0C48"/>
    <w:rsid w:val="00DC57B4"/>
    <w:rsid w:val="00DC5C84"/>
    <w:rsid w:val="00DC7F2F"/>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51DFA"/>
    <w:rsid w:val="00E51E75"/>
    <w:rsid w:val="00E535F4"/>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C35FA"/>
    <w:rsid w:val="00ED4C45"/>
    <w:rsid w:val="00ED5AEE"/>
    <w:rsid w:val="00ED668D"/>
    <w:rsid w:val="00EE1FA6"/>
    <w:rsid w:val="00EE4C8B"/>
    <w:rsid w:val="00EE6A25"/>
    <w:rsid w:val="00EF6235"/>
    <w:rsid w:val="00F05169"/>
    <w:rsid w:val="00F0526E"/>
    <w:rsid w:val="00F05EA7"/>
    <w:rsid w:val="00F131F5"/>
    <w:rsid w:val="00F142C1"/>
    <w:rsid w:val="00F1525A"/>
    <w:rsid w:val="00F261B9"/>
    <w:rsid w:val="00F3246E"/>
    <w:rsid w:val="00F32B61"/>
    <w:rsid w:val="00F37FAF"/>
    <w:rsid w:val="00F4148E"/>
    <w:rsid w:val="00F42E3E"/>
    <w:rsid w:val="00F43580"/>
    <w:rsid w:val="00F454F1"/>
    <w:rsid w:val="00F45BC9"/>
    <w:rsid w:val="00F466D7"/>
    <w:rsid w:val="00F5324C"/>
    <w:rsid w:val="00F55436"/>
    <w:rsid w:val="00F5634D"/>
    <w:rsid w:val="00F64B5E"/>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C7FE5"/>
    <w:rsid w:val="00FD2B25"/>
    <w:rsid w:val="00FD2BF4"/>
    <w:rsid w:val="00FD2D67"/>
    <w:rsid w:val="00FD2EBB"/>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47308AFACC6492BBB31005AEB86AC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2026-07-30T06:52:47Z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Këshillit të Lartë Gjyqësor për vitin 2025 dhe rekomandimet për vitin 2026</Titulli>
    <Modifikuesi xmlns="0e656187-b300-4fb0-8bf4-3a50f872073c">ermira.bukaci</Modifikuesi>
    <Nr_x002e__x0020_prot_x0020_QBZ xmlns="0e656187-b300-4fb0-8bf4-3a50f872073c">1736/1</Nr_x002e__x0020_prot_x0020_QBZ>
    <Data_x0020_e_x0020_Modifikimit xmlns="0e656187-b300-4fb0-8bf4-3a50f872073c">2026-07-30T08:08:57Z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FDBF-C0A1-4D8A-8674-926160FA72B1}">
  <ds:schemaRefs>
    <ds:schemaRef ds:uri="http://schemas.microsoft.com/sharepoint/v3/contenttype/forms"/>
  </ds:schemaRefs>
</ds:datastoreItem>
</file>

<file path=customXml/itemProps2.xml><?xml version="1.0" encoding="utf-8"?>
<ds:datastoreItem xmlns:ds="http://schemas.openxmlformats.org/officeDocument/2006/customXml" ds:itemID="{E364BBE1-328E-4390-B0EA-40801887D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EB8486C-32E6-47B5-B844-9F40751E3B34}">
  <ds:schemaRefs>
    <ds:schemaRef ds:uri="http://schemas.microsoft.com/office/2006/documentManagement/types"/>
    <ds:schemaRef ds:uri="0e656187-b300-4fb0-8bf4-3a50f872073c"/>
    <ds:schemaRef ds:uri="http://schemas.microsoft.com/office/2006/metadata/properties"/>
    <ds:schemaRef ds:uri="http://purl.org/dc/terms/"/>
    <ds:schemaRef ds:uri="http://www.w3.org/XML/1998/namespace"/>
    <ds:schemaRef ds:uri="http://schemas.openxmlformats.org/package/2006/metadata/core-properties"/>
    <ds:schemaRef ds:uri="http://purl.org/dc/elements/1.1/"/>
    <ds:schemaRef ds:uri="http://purl.org/dc/dcmitype/"/>
  </ds:schemaRefs>
</ds:datastoreItem>
</file>

<file path=customXml/itemProps4.xml><?xml version="1.0" encoding="utf-8"?>
<ds:datastoreItem xmlns:ds="http://schemas.openxmlformats.org/officeDocument/2006/customXml" ds:itemID="{88EE2827-63C1-45DE-958D-A672BD62B20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498</TotalTime>
  <Pages>5</Pages>
  <Words>2621</Words>
  <Characters>14943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Këshillit të Lartë Gjyqësor për vitin 2025 dhe rekomandimet për vitin 2026</dc:title>
  <dc:creator>user</dc:creator>
  <cp:lastModifiedBy>fjora.cahani</cp:lastModifiedBy>
  <cp:revision>224</cp:revision>
  <cp:lastPrinted>2026-07-25T07:36:00Z</cp:lastPrinted>
  <dcterms:created xsi:type="dcterms:W3CDTF">2019-04-04T07:08:00Z</dcterms:created>
  <dcterms:modified xsi:type="dcterms:W3CDTF">2026-07-30T09:44:00Z</dcterms:modified>
</cp:coreProperties>
</file>