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E32D91" w14:textId="45B04F62" w:rsidR="00493028" w:rsidRPr="00B87418" w:rsidRDefault="0042060E" w:rsidP="000B5A09">
      <w:pPr>
        <w:spacing w:after="0" w:line="240" w:lineRule="auto"/>
        <w:ind w:firstLine="284"/>
        <w:jc w:val="center"/>
        <w:rPr>
          <w:rFonts w:ascii="Garamond" w:eastAsia="Times New Roman" w:hAnsi="Garamond" w:cs="Times New Roman"/>
          <w:b/>
          <w:sz w:val="24"/>
          <w:szCs w:val="24"/>
        </w:rPr>
      </w:pPr>
      <w:r w:rsidRPr="00B87418">
        <w:rPr>
          <w:rFonts w:ascii="Garamond" w:eastAsia="Times New Roman" w:hAnsi="Garamond" w:cs="Times New Roman"/>
          <w:b/>
          <w:sz w:val="24"/>
          <w:szCs w:val="24"/>
        </w:rPr>
        <w:t>REZOLUT</w:t>
      </w:r>
      <w:r w:rsidR="007F1C28" w:rsidRPr="00B87418">
        <w:rPr>
          <w:rFonts w:ascii="Garamond" w:eastAsia="Times New Roman" w:hAnsi="Garamond" w:cs="Times New Roman"/>
          <w:b/>
          <w:sz w:val="24"/>
          <w:szCs w:val="24"/>
        </w:rPr>
        <w:t>Ë</w:t>
      </w:r>
      <w:r w:rsidR="00493028" w:rsidRPr="00B87418">
        <w:rPr>
          <w:rFonts w:ascii="Garamond" w:eastAsia="Times New Roman" w:hAnsi="Garamond" w:cs="Times New Roman"/>
          <w:b/>
          <w:sz w:val="24"/>
          <w:szCs w:val="24"/>
        </w:rPr>
        <w:t xml:space="preserve"> </w:t>
      </w:r>
    </w:p>
    <w:p w14:paraId="629DA87A" w14:textId="77777777" w:rsidR="00493028" w:rsidRPr="00B87418" w:rsidRDefault="00493028" w:rsidP="000B5A09">
      <w:pPr>
        <w:spacing w:after="0" w:line="240" w:lineRule="auto"/>
        <w:ind w:firstLine="284"/>
        <w:jc w:val="center"/>
        <w:rPr>
          <w:rFonts w:ascii="Garamond" w:eastAsia="Times New Roman" w:hAnsi="Garamond" w:cs="Times New Roman"/>
          <w:b/>
          <w:sz w:val="24"/>
          <w:szCs w:val="24"/>
        </w:rPr>
      </w:pPr>
    </w:p>
    <w:p w14:paraId="784E9FA0" w14:textId="77777777" w:rsidR="008D2459" w:rsidRPr="00B87418" w:rsidRDefault="008D2459" w:rsidP="000B5A09">
      <w:pPr>
        <w:spacing w:after="0" w:line="240" w:lineRule="auto"/>
        <w:ind w:firstLine="284"/>
        <w:jc w:val="center"/>
        <w:rPr>
          <w:rFonts w:ascii="Garamond" w:eastAsia="Times New Roman" w:hAnsi="Garamond" w:cs="Times New Roman"/>
          <w:b/>
          <w:sz w:val="24"/>
          <w:szCs w:val="24"/>
        </w:rPr>
      </w:pPr>
      <w:r w:rsidRPr="00B87418">
        <w:rPr>
          <w:rFonts w:ascii="Garamond" w:eastAsia="Times New Roman" w:hAnsi="Garamond" w:cs="Times New Roman"/>
          <w:b/>
          <w:sz w:val="24"/>
          <w:szCs w:val="24"/>
        </w:rPr>
        <w:t>PËR VLERËSIMIN E VEPRIMTARISË SË KËSHILLIT TË LARTË TË PROKURORISË PËR VITIN 2025 DHE REKOMANDIMET PËR VITIN 2026</w:t>
      </w:r>
    </w:p>
    <w:p w14:paraId="7B4EA532" w14:textId="77777777" w:rsidR="008D2459" w:rsidRPr="00B87418" w:rsidRDefault="008D2459" w:rsidP="000B5A09">
      <w:pPr>
        <w:spacing w:after="0" w:line="240" w:lineRule="auto"/>
        <w:ind w:firstLine="284"/>
        <w:jc w:val="center"/>
        <w:rPr>
          <w:rFonts w:ascii="Garamond" w:eastAsia="Times New Roman" w:hAnsi="Garamond" w:cs="Times New Roman"/>
          <w:b/>
          <w:sz w:val="24"/>
          <w:szCs w:val="24"/>
        </w:rPr>
      </w:pPr>
    </w:p>
    <w:p w14:paraId="798BE6FA" w14:textId="6DBF83D7" w:rsidR="008D2459" w:rsidRPr="00B87418" w:rsidRDefault="008D2459" w:rsidP="000B5A09">
      <w:pPr>
        <w:spacing w:after="0" w:line="240" w:lineRule="auto"/>
        <w:ind w:firstLine="284"/>
        <w:jc w:val="both"/>
        <w:rPr>
          <w:rFonts w:ascii="Garamond" w:eastAsia="Times New Roman" w:hAnsi="Garamond" w:cs="Times New Roman"/>
          <w:b/>
          <w:sz w:val="24"/>
          <w:szCs w:val="24"/>
        </w:rPr>
      </w:pPr>
      <w:r w:rsidRPr="00B87418">
        <w:rPr>
          <w:rFonts w:ascii="Garamond" w:eastAsia="Times New Roman" w:hAnsi="Garamond" w:cs="Times New Roman"/>
          <w:b/>
          <w:sz w:val="24"/>
          <w:szCs w:val="24"/>
        </w:rPr>
        <w:t>Kuvendi i Shqipërisë,</w:t>
      </w:r>
    </w:p>
    <w:p w14:paraId="498D818D" w14:textId="72A90DE1"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Duke mbajtur parasysh rolin e Këshillit të Lartë të Prokurorisë në garantimin e pavarësisë, llogaridhënies, disiplinës, statusit dhe karrierës së prokurorë</w:t>
      </w:r>
      <w:r w:rsidR="00B87418">
        <w:rPr>
          <w:rFonts w:ascii="Garamond" w:eastAsia="Times New Roman" w:hAnsi="Garamond" w:cs="Times New Roman"/>
          <w:bCs/>
          <w:sz w:val="24"/>
          <w:szCs w:val="24"/>
        </w:rPr>
        <w:t>ve të Republikës së Shqipërisë;</w:t>
      </w:r>
    </w:p>
    <w:p w14:paraId="54AFEB78" w14:textId="149852FE"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Duke nënvizuar rolin e Këshillit të Lartë të Prokurorisë në emërimin, vlerësimin, ngritjen në detyrë, transferimin dhe vendosjen e masave disiplinore për prokurorët e të gjitha</w:t>
      </w:r>
      <w:r w:rsidR="00B87418">
        <w:rPr>
          <w:rFonts w:ascii="Garamond" w:eastAsia="Times New Roman" w:hAnsi="Garamond" w:cs="Times New Roman"/>
          <w:bCs/>
          <w:sz w:val="24"/>
          <w:szCs w:val="24"/>
        </w:rPr>
        <w:t xml:space="preserve"> niveleve;</w:t>
      </w:r>
    </w:p>
    <w:p w14:paraId="7BE92DFC" w14:textId="63F6444F"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Duke mbajtur parasysh rolin kyç të Këshillit të Lartë të Prokurorisë për vlerësimin etik</w:t>
      </w:r>
      <w:r w:rsidR="00B87418">
        <w:rPr>
          <w:rFonts w:ascii="Garamond" w:eastAsia="Times New Roman" w:hAnsi="Garamond" w:cs="Times New Roman"/>
          <w:bCs/>
          <w:sz w:val="24"/>
          <w:szCs w:val="24"/>
        </w:rPr>
        <w:t xml:space="preserve"> dhe profesional të prokurorit;</w:t>
      </w:r>
    </w:p>
    <w:p w14:paraId="3B96231E" w14:textId="61366C0A"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Duke mbajtur në konsideratë rolin e Këshillit të Lartë të Prokurorisë në miratimin e standardeve të etikës së prokurorëve dhe të rregullave të sjelljes së prokurorëve, si dhe për mbi</w:t>
      </w:r>
      <w:r w:rsidR="00B87418">
        <w:rPr>
          <w:rFonts w:ascii="Garamond" w:eastAsia="Times New Roman" w:hAnsi="Garamond" w:cs="Times New Roman"/>
          <w:bCs/>
          <w:sz w:val="24"/>
          <w:szCs w:val="24"/>
        </w:rPr>
        <w:t>këqyrjen e respektimit të tyre;</w:t>
      </w:r>
    </w:p>
    <w:p w14:paraId="09CE186F" w14:textId="2A55C090"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Duke nënvizuar rëndësinë e bashkëpunimit të Këshillit të Lartë të Prokurorisë me Shkollën e Magjistraturës për trajnimin vazhdues të prokurorëve dhe emërimin e prokurorëve pas diplomimi</w:t>
      </w:r>
      <w:r w:rsidR="00B87418">
        <w:rPr>
          <w:rFonts w:ascii="Garamond" w:eastAsia="Times New Roman" w:hAnsi="Garamond" w:cs="Times New Roman"/>
          <w:bCs/>
          <w:sz w:val="24"/>
          <w:szCs w:val="24"/>
        </w:rPr>
        <w:t>t në Shkollën e Magjistraturës,</w:t>
      </w:r>
    </w:p>
    <w:p w14:paraId="11286C97" w14:textId="77777777" w:rsidR="008D2459" w:rsidRPr="00B87418" w:rsidRDefault="008D2459" w:rsidP="000B5A09">
      <w:pPr>
        <w:spacing w:after="0" w:line="240" w:lineRule="auto"/>
        <w:ind w:firstLine="284"/>
        <w:jc w:val="both"/>
        <w:rPr>
          <w:rFonts w:ascii="Garamond" w:eastAsia="Times New Roman" w:hAnsi="Garamond" w:cs="Times New Roman"/>
          <w:b/>
          <w:sz w:val="24"/>
          <w:szCs w:val="24"/>
        </w:rPr>
      </w:pPr>
      <w:r w:rsidRPr="00B87418">
        <w:rPr>
          <w:rFonts w:ascii="Garamond" w:eastAsia="Times New Roman" w:hAnsi="Garamond" w:cs="Times New Roman"/>
          <w:b/>
          <w:sz w:val="24"/>
          <w:szCs w:val="24"/>
        </w:rPr>
        <w:t>Në vlerësim të raportit të paraqitur nga Këshilli i Lartë i Prokurorisë për veprimtarinë e tij për vitin 2025, në përmbushje të rekomandimeve të dhëna dhe debatit të zhvilluar rreth tij, konstaton:</w:t>
      </w:r>
    </w:p>
    <w:p w14:paraId="18E5C9CE" w14:textId="77777777"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Garantimin e funksionimit të sistemit të prokurorisë nëpërmjet administrimit të proceseve që lidhen me statusin, karrierën, llogaridhënien dhe përgjegjësinë disiplinore të prokurorëve, të materializuara gjatë vitit 2025 në miratimin e 384 akteve administrative me karakter individual, kolektiv dhe normativ.</w:t>
      </w:r>
    </w:p>
    <w:p w14:paraId="427BA420" w14:textId="02A50AD3"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Vijimi</w:t>
      </w:r>
      <w:r w:rsidR="000F7E27" w:rsidRPr="00B87418">
        <w:rPr>
          <w:rFonts w:ascii="Garamond" w:eastAsia="Times New Roman" w:hAnsi="Garamond" w:cs="Times New Roman"/>
          <w:bCs/>
          <w:sz w:val="24"/>
          <w:szCs w:val="24"/>
        </w:rPr>
        <w:t>n e</w:t>
      </w:r>
      <w:r w:rsidRPr="00B87418">
        <w:rPr>
          <w:rFonts w:ascii="Garamond" w:eastAsia="Times New Roman" w:hAnsi="Garamond" w:cs="Times New Roman"/>
          <w:bCs/>
          <w:sz w:val="24"/>
          <w:szCs w:val="24"/>
        </w:rPr>
        <w:t xml:space="preserve"> proceseve të administrimit të karrierës së prokurorëve përmes emërimit të 26 prokurorëve të rinj, zhvillimit të procedurave të lëvizjeve paralele dhe përmbushjes së procedurave për emërimin e drejtuesve të prokurorive të juridiksionit të përgjithshëm, Prokurorisë së Posaçme dhe Byrosë Kombëtare të Hetimit.</w:t>
      </w:r>
    </w:p>
    <w:p w14:paraId="1C54339F" w14:textId="022A849E"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Përparimi</w:t>
      </w:r>
      <w:r w:rsidR="001050B1" w:rsidRPr="00B87418">
        <w:rPr>
          <w:rFonts w:ascii="Garamond" w:eastAsia="Times New Roman" w:hAnsi="Garamond" w:cs="Times New Roman"/>
          <w:bCs/>
          <w:sz w:val="24"/>
          <w:szCs w:val="24"/>
        </w:rPr>
        <w:t>n e</w:t>
      </w:r>
      <w:r w:rsidRPr="00B87418">
        <w:rPr>
          <w:rFonts w:ascii="Garamond" w:eastAsia="Times New Roman" w:hAnsi="Garamond" w:cs="Times New Roman"/>
          <w:bCs/>
          <w:sz w:val="24"/>
          <w:szCs w:val="24"/>
        </w:rPr>
        <w:t xml:space="preserve"> procesit të vlerësimit etik dhe profesional të prokurorëve përmes përfundimit të 40 raporteve të vlerësimit, duke reflektuar rritjen e kapaciteteve institucionale dhe adresimin gradual të rekomandimeve të Bashkimit Evropian. Megjithatë, evidentohet nevoja për përshpejtimin e këtij ritmi dhe forcimin e mekanizmave të monitorimit të </w:t>
      </w:r>
      <w:proofErr w:type="spellStart"/>
      <w:r w:rsidRPr="00B87418">
        <w:rPr>
          <w:rFonts w:ascii="Garamond" w:eastAsia="Times New Roman" w:hAnsi="Garamond" w:cs="Times New Roman"/>
          <w:bCs/>
          <w:sz w:val="24"/>
          <w:szCs w:val="24"/>
        </w:rPr>
        <w:t>periodicitetit</w:t>
      </w:r>
      <w:proofErr w:type="spellEnd"/>
      <w:r w:rsidRPr="00B87418">
        <w:rPr>
          <w:rFonts w:ascii="Garamond" w:eastAsia="Times New Roman" w:hAnsi="Garamond" w:cs="Times New Roman"/>
          <w:bCs/>
          <w:sz w:val="24"/>
          <w:szCs w:val="24"/>
        </w:rPr>
        <w:t xml:space="preserve"> të vlerësimeve dhe lidhjes së tyre me zhvillimin e karrierës dhe </w:t>
      </w:r>
      <w:proofErr w:type="spellStart"/>
      <w:r w:rsidRPr="00B87418">
        <w:rPr>
          <w:rFonts w:ascii="Garamond" w:eastAsia="Times New Roman" w:hAnsi="Garamond" w:cs="Times New Roman"/>
          <w:bCs/>
          <w:sz w:val="24"/>
          <w:szCs w:val="24"/>
        </w:rPr>
        <w:t>performancën</w:t>
      </w:r>
      <w:proofErr w:type="spellEnd"/>
      <w:r w:rsidRPr="00B87418">
        <w:rPr>
          <w:rFonts w:ascii="Garamond" w:eastAsia="Times New Roman" w:hAnsi="Garamond" w:cs="Times New Roman"/>
          <w:bCs/>
          <w:sz w:val="24"/>
          <w:szCs w:val="24"/>
        </w:rPr>
        <w:t xml:space="preserve"> e sistemit.</w:t>
      </w:r>
    </w:p>
    <w:p w14:paraId="654D25FD" w14:textId="63D5958C"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Ndërmarrj</w:t>
      </w:r>
      <w:r w:rsidR="006856E4" w:rsidRPr="00B87418">
        <w:rPr>
          <w:rFonts w:ascii="Garamond" w:eastAsia="Times New Roman" w:hAnsi="Garamond" w:cs="Times New Roman"/>
          <w:bCs/>
          <w:sz w:val="24"/>
          <w:szCs w:val="24"/>
        </w:rPr>
        <w:t>en</w:t>
      </w:r>
      <w:r w:rsidRPr="00B87418">
        <w:rPr>
          <w:rFonts w:ascii="Garamond" w:eastAsia="Times New Roman" w:hAnsi="Garamond" w:cs="Times New Roman"/>
          <w:bCs/>
          <w:sz w:val="24"/>
          <w:szCs w:val="24"/>
        </w:rPr>
        <w:t xml:space="preserve"> e masave konkrete për reduktimin e </w:t>
      </w:r>
      <w:proofErr w:type="spellStart"/>
      <w:r w:rsidRPr="00B87418">
        <w:rPr>
          <w:rFonts w:ascii="Garamond" w:eastAsia="Times New Roman" w:hAnsi="Garamond" w:cs="Times New Roman"/>
          <w:bCs/>
          <w:sz w:val="24"/>
          <w:szCs w:val="24"/>
        </w:rPr>
        <w:t>vakancave</w:t>
      </w:r>
      <w:proofErr w:type="spellEnd"/>
      <w:r w:rsidRPr="00B87418">
        <w:rPr>
          <w:rFonts w:ascii="Garamond" w:eastAsia="Times New Roman" w:hAnsi="Garamond" w:cs="Times New Roman"/>
          <w:bCs/>
          <w:sz w:val="24"/>
          <w:szCs w:val="24"/>
        </w:rPr>
        <w:t xml:space="preserve"> në sistemin e prokurorisë, duke ulur numrin e tyre nga 121 në 96 vende vakante. Megjithatë, analiza evidenton se niveli i </w:t>
      </w:r>
      <w:proofErr w:type="spellStart"/>
      <w:r w:rsidRPr="00B87418">
        <w:rPr>
          <w:rFonts w:ascii="Garamond" w:eastAsia="Times New Roman" w:hAnsi="Garamond" w:cs="Times New Roman"/>
          <w:bCs/>
          <w:sz w:val="24"/>
          <w:szCs w:val="24"/>
        </w:rPr>
        <w:t>vakancave</w:t>
      </w:r>
      <w:proofErr w:type="spellEnd"/>
      <w:r w:rsidRPr="00B87418">
        <w:rPr>
          <w:rFonts w:ascii="Garamond" w:eastAsia="Times New Roman" w:hAnsi="Garamond" w:cs="Times New Roman"/>
          <w:bCs/>
          <w:sz w:val="24"/>
          <w:szCs w:val="24"/>
        </w:rPr>
        <w:t xml:space="preserve"> vijon të mbetet i konsiderueshëm në disa prokurori dhe ritmi i plotësimit të tyre mbetet më i ulët se nevojat reale të sistemit, ndër</w:t>
      </w:r>
      <w:r w:rsidR="005C4C51" w:rsidRPr="00B87418">
        <w:rPr>
          <w:rFonts w:ascii="Garamond" w:eastAsia="Times New Roman" w:hAnsi="Garamond" w:cs="Times New Roman"/>
          <w:bCs/>
          <w:sz w:val="24"/>
          <w:szCs w:val="24"/>
        </w:rPr>
        <w:t>sa</w:t>
      </w:r>
      <w:r w:rsidRPr="00B87418">
        <w:rPr>
          <w:rFonts w:ascii="Garamond" w:eastAsia="Times New Roman" w:hAnsi="Garamond" w:cs="Times New Roman"/>
          <w:bCs/>
          <w:sz w:val="24"/>
          <w:szCs w:val="24"/>
        </w:rPr>
        <w:t xml:space="preserve"> mungon një analizë afatmesme </w:t>
      </w:r>
      <w:r w:rsidR="005C4C51" w:rsidRPr="00B87418">
        <w:rPr>
          <w:rFonts w:ascii="Garamond" w:eastAsia="Times New Roman" w:hAnsi="Garamond" w:cs="Times New Roman"/>
          <w:bCs/>
          <w:sz w:val="24"/>
          <w:szCs w:val="24"/>
        </w:rPr>
        <w:t>për</w:t>
      </w:r>
      <w:r w:rsidRPr="00B87418">
        <w:rPr>
          <w:rFonts w:ascii="Garamond" w:eastAsia="Times New Roman" w:hAnsi="Garamond" w:cs="Times New Roman"/>
          <w:bCs/>
          <w:sz w:val="24"/>
          <w:szCs w:val="24"/>
        </w:rPr>
        <w:t xml:space="preserve"> nevojat për burime njerëzore dhe kapacitetet e formimit të magjistratëve.</w:t>
      </w:r>
    </w:p>
    <w:p w14:paraId="5BB742D6" w14:textId="59175AB6"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Evidentimi</w:t>
      </w:r>
      <w:r w:rsidR="00C83044" w:rsidRPr="00B87418">
        <w:rPr>
          <w:rFonts w:ascii="Garamond" w:eastAsia="Times New Roman" w:hAnsi="Garamond" w:cs="Times New Roman"/>
          <w:bCs/>
          <w:sz w:val="24"/>
          <w:szCs w:val="24"/>
        </w:rPr>
        <w:t>n e</w:t>
      </w:r>
      <w:r w:rsidRPr="00B87418">
        <w:rPr>
          <w:rFonts w:ascii="Garamond" w:eastAsia="Times New Roman" w:hAnsi="Garamond" w:cs="Times New Roman"/>
          <w:bCs/>
          <w:sz w:val="24"/>
          <w:szCs w:val="24"/>
        </w:rPr>
        <w:t xml:space="preserve"> sfidave që lidhen me shpërndarjen e burimeve njerëzore dhe ndikimin e </w:t>
      </w:r>
      <w:proofErr w:type="spellStart"/>
      <w:r w:rsidRPr="00B87418">
        <w:rPr>
          <w:rFonts w:ascii="Garamond" w:eastAsia="Times New Roman" w:hAnsi="Garamond" w:cs="Times New Roman"/>
          <w:bCs/>
          <w:sz w:val="24"/>
          <w:szCs w:val="24"/>
        </w:rPr>
        <w:t>vakancave</w:t>
      </w:r>
      <w:proofErr w:type="spellEnd"/>
      <w:r w:rsidRPr="00B87418">
        <w:rPr>
          <w:rFonts w:ascii="Garamond" w:eastAsia="Times New Roman" w:hAnsi="Garamond" w:cs="Times New Roman"/>
          <w:bCs/>
          <w:sz w:val="24"/>
          <w:szCs w:val="24"/>
        </w:rPr>
        <w:t xml:space="preserve"> në ngarkesën e punës dhe funksionimin efektiv të prokurorive, veçanërisht në prokuroritë me juridiksion të përgjithshëm.</w:t>
      </w:r>
    </w:p>
    <w:p w14:paraId="208BE31C" w14:textId="525FBACE"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Ushtrimi</w:t>
      </w:r>
      <w:r w:rsidR="003B191D" w:rsidRPr="00B87418">
        <w:rPr>
          <w:rFonts w:ascii="Garamond" w:eastAsia="Times New Roman" w:hAnsi="Garamond" w:cs="Times New Roman"/>
          <w:bCs/>
          <w:sz w:val="24"/>
          <w:szCs w:val="24"/>
        </w:rPr>
        <w:t>n e</w:t>
      </w:r>
      <w:r w:rsidRPr="00B87418">
        <w:rPr>
          <w:rFonts w:ascii="Garamond" w:eastAsia="Times New Roman" w:hAnsi="Garamond" w:cs="Times New Roman"/>
          <w:bCs/>
          <w:sz w:val="24"/>
          <w:szCs w:val="24"/>
        </w:rPr>
        <w:t xml:space="preserve"> kompetencave disiplinore në bashkëpunim me Inspektorin e Lartë të Drejtësisë, duke garantuar funksionimin e procedurave disiplinore</w:t>
      </w:r>
      <w:r w:rsidR="00B87418">
        <w:rPr>
          <w:rFonts w:ascii="Garamond" w:eastAsia="Times New Roman" w:hAnsi="Garamond" w:cs="Times New Roman"/>
          <w:bCs/>
          <w:sz w:val="24"/>
          <w:szCs w:val="24"/>
        </w:rPr>
        <w:t>,</w:t>
      </w:r>
      <w:r w:rsidRPr="00B87418">
        <w:rPr>
          <w:rFonts w:ascii="Garamond" w:eastAsia="Times New Roman" w:hAnsi="Garamond" w:cs="Times New Roman"/>
          <w:bCs/>
          <w:sz w:val="24"/>
          <w:szCs w:val="24"/>
        </w:rPr>
        <w:t xml:space="preserve"> në përputhje me standardet e procesit të rregullt dhe të pavarur.</w:t>
      </w:r>
    </w:p>
    <w:p w14:paraId="31947B12" w14:textId="44952923"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Vijimi</w:t>
      </w:r>
      <w:r w:rsidR="003B191D" w:rsidRPr="00B87418">
        <w:rPr>
          <w:rFonts w:ascii="Garamond" w:eastAsia="Times New Roman" w:hAnsi="Garamond" w:cs="Times New Roman"/>
          <w:bCs/>
          <w:sz w:val="24"/>
          <w:szCs w:val="24"/>
        </w:rPr>
        <w:t>n e</w:t>
      </w:r>
      <w:r w:rsidRPr="00B87418">
        <w:rPr>
          <w:rFonts w:ascii="Garamond" w:eastAsia="Times New Roman" w:hAnsi="Garamond" w:cs="Times New Roman"/>
          <w:bCs/>
          <w:sz w:val="24"/>
          <w:szCs w:val="24"/>
        </w:rPr>
        <w:t xml:space="preserve"> konsolidimit të kuadrit rregullator të institucionit përmes miratimit dhe përditësimit të akteve nënligjore që lidhen me vlerësimin etik dhe profesional, konfliktin e interesit, organizimin e brendshëm, </w:t>
      </w:r>
      <w:proofErr w:type="spellStart"/>
      <w:r w:rsidRPr="00B87418">
        <w:rPr>
          <w:rFonts w:ascii="Garamond" w:eastAsia="Times New Roman" w:hAnsi="Garamond" w:cs="Times New Roman"/>
          <w:bCs/>
          <w:sz w:val="24"/>
          <w:szCs w:val="24"/>
        </w:rPr>
        <w:t>mentorimin</w:t>
      </w:r>
      <w:proofErr w:type="spellEnd"/>
      <w:r w:rsidRPr="00B87418">
        <w:rPr>
          <w:rFonts w:ascii="Garamond" w:eastAsia="Times New Roman" w:hAnsi="Garamond" w:cs="Times New Roman"/>
          <w:bCs/>
          <w:sz w:val="24"/>
          <w:szCs w:val="24"/>
        </w:rPr>
        <w:t xml:space="preserve"> e kandidatëve për prokurorë, administrimin e dosjeve të personelit dhe çështje të tjera të administrimit të sistemit të prokurorisë. Megjithatë, procesi i përditësimit të kuadrit rregullator mbetet dinamik dhe kërkon monitorim të vazhdueshëm në funksion të harmonizimit me zhvillimet ligjore dhe nevojat praktike të sistemit.</w:t>
      </w:r>
    </w:p>
    <w:p w14:paraId="28422979" w14:textId="08D50D80"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Miratimi</w:t>
      </w:r>
      <w:r w:rsidR="00817C03" w:rsidRPr="00B87418">
        <w:rPr>
          <w:rFonts w:ascii="Garamond" w:eastAsia="Times New Roman" w:hAnsi="Garamond" w:cs="Times New Roman"/>
          <w:bCs/>
          <w:sz w:val="24"/>
          <w:szCs w:val="24"/>
        </w:rPr>
        <w:t xml:space="preserve"> i</w:t>
      </w:r>
      <w:r w:rsidRPr="00B87418">
        <w:rPr>
          <w:rFonts w:ascii="Garamond" w:eastAsia="Times New Roman" w:hAnsi="Garamond" w:cs="Times New Roman"/>
          <w:bCs/>
          <w:sz w:val="24"/>
          <w:szCs w:val="24"/>
        </w:rPr>
        <w:t xml:space="preserve"> Planit Strategjik 2025–2029 dhe Planit të Veprimit përbën një zhvillim të rëndësishëm në drejtim të planifikimit institucional afatmesëm dhe afatgjatë të Këshillit. Megjithatë, evidentohet nevoja </w:t>
      </w:r>
      <w:r w:rsidRPr="00B87418">
        <w:rPr>
          <w:rFonts w:ascii="Garamond" w:eastAsia="Times New Roman" w:hAnsi="Garamond" w:cs="Times New Roman"/>
          <w:bCs/>
          <w:sz w:val="24"/>
          <w:szCs w:val="24"/>
        </w:rPr>
        <w:lastRenderedPageBreak/>
        <w:t>për forcimin e mekanizmave të monitorimit të zbatimit të objektivave strategjikë, matjes së rezultateve dhe lidhjes së tyre me planifikimin buxhetor dhe administrimin e burimeve njerëzore.</w:t>
      </w:r>
    </w:p>
    <w:p w14:paraId="0D3DC8D3" w14:textId="48DB403E"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Angazhimi</w:t>
      </w:r>
      <w:r w:rsidR="00BF2ADB" w:rsidRPr="00B87418">
        <w:rPr>
          <w:rFonts w:ascii="Garamond" w:eastAsia="Times New Roman" w:hAnsi="Garamond" w:cs="Times New Roman"/>
          <w:bCs/>
          <w:sz w:val="24"/>
          <w:szCs w:val="24"/>
        </w:rPr>
        <w:t>n</w:t>
      </w:r>
      <w:r w:rsidRPr="00B87418">
        <w:rPr>
          <w:rFonts w:ascii="Garamond" w:eastAsia="Times New Roman" w:hAnsi="Garamond" w:cs="Times New Roman"/>
          <w:bCs/>
          <w:sz w:val="24"/>
          <w:szCs w:val="24"/>
        </w:rPr>
        <w:t xml:space="preserve"> aktiv </w:t>
      </w:r>
      <w:r w:rsidR="00BF2ADB" w:rsidRPr="00B87418">
        <w:rPr>
          <w:rFonts w:ascii="Garamond" w:eastAsia="Times New Roman" w:hAnsi="Garamond" w:cs="Times New Roman"/>
          <w:bCs/>
          <w:sz w:val="24"/>
          <w:szCs w:val="24"/>
        </w:rPr>
        <w:t>të</w:t>
      </w:r>
      <w:r w:rsidRPr="00B87418">
        <w:rPr>
          <w:rFonts w:ascii="Garamond" w:eastAsia="Times New Roman" w:hAnsi="Garamond" w:cs="Times New Roman"/>
          <w:bCs/>
          <w:sz w:val="24"/>
          <w:szCs w:val="24"/>
        </w:rPr>
        <w:t xml:space="preserve"> Këshillit në përmbushjen e detyrimeve që burojnë nga procesi i integrimit evropian, veçanërisht në kuadër të </w:t>
      </w:r>
      <w:r w:rsidR="00B87418">
        <w:rPr>
          <w:rFonts w:ascii="Garamond" w:eastAsia="Times New Roman" w:hAnsi="Garamond" w:cs="Times New Roman"/>
          <w:bCs/>
          <w:sz w:val="24"/>
          <w:szCs w:val="24"/>
        </w:rPr>
        <w:t>k</w:t>
      </w:r>
      <w:r w:rsidRPr="00B87418">
        <w:rPr>
          <w:rFonts w:ascii="Garamond" w:eastAsia="Times New Roman" w:hAnsi="Garamond" w:cs="Times New Roman"/>
          <w:bCs/>
          <w:sz w:val="24"/>
          <w:szCs w:val="24"/>
        </w:rPr>
        <w:t>apitullit 23 të negociatave me Bashkimin Evropian, duke adresuar rekomandimet e Komisionit Evropian dhe duke përmirësuar koordinimin institucional me organet e tjera të qeverisjes së sistemit të drejtësisë.</w:t>
      </w:r>
    </w:p>
    <w:p w14:paraId="164DED2B" w14:textId="73700B60"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Përmirësimi</w:t>
      </w:r>
      <w:r w:rsidR="00BF2ADB" w:rsidRPr="00B87418">
        <w:rPr>
          <w:rFonts w:ascii="Garamond" w:eastAsia="Times New Roman" w:hAnsi="Garamond" w:cs="Times New Roman"/>
          <w:bCs/>
          <w:sz w:val="24"/>
          <w:szCs w:val="24"/>
        </w:rPr>
        <w:t>n e</w:t>
      </w:r>
      <w:r w:rsidRPr="00B87418">
        <w:rPr>
          <w:rFonts w:ascii="Garamond" w:eastAsia="Times New Roman" w:hAnsi="Garamond" w:cs="Times New Roman"/>
          <w:bCs/>
          <w:sz w:val="24"/>
          <w:szCs w:val="24"/>
        </w:rPr>
        <w:t xml:space="preserve"> bashkëpunimit institucional me Këshillin e Lartë Gjyqësor dhe institucionet e tjera të sistemit të drejtësisë, në funksion të harmonizimit të praktikave, koordinimit të proceseve dhe rritjes së efektivitetit të administrimit të sistemit të drejtësisë.</w:t>
      </w:r>
    </w:p>
    <w:p w14:paraId="46904C09" w14:textId="5C4C2731"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Vijimi</w:t>
      </w:r>
      <w:r w:rsidR="00BF2ADB" w:rsidRPr="00B87418">
        <w:rPr>
          <w:rFonts w:ascii="Garamond" w:eastAsia="Times New Roman" w:hAnsi="Garamond" w:cs="Times New Roman"/>
          <w:bCs/>
          <w:sz w:val="24"/>
          <w:szCs w:val="24"/>
        </w:rPr>
        <w:t>n e</w:t>
      </w:r>
      <w:r w:rsidRPr="00B87418">
        <w:rPr>
          <w:rFonts w:ascii="Garamond" w:eastAsia="Times New Roman" w:hAnsi="Garamond" w:cs="Times New Roman"/>
          <w:bCs/>
          <w:sz w:val="24"/>
          <w:szCs w:val="24"/>
        </w:rPr>
        <w:t xml:space="preserve"> proceseve të digjitalizimit dhe modernizimit të administrimit të sistemit të prokurorisë, </w:t>
      </w:r>
      <w:r w:rsidR="00BF2ADB" w:rsidRPr="00B87418">
        <w:rPr>
          <w:rFonts w:ascii="Garamond" w:eastAsia="Times New Roman" w:hAnsi="Garamond" w:cs="Times New Roman"/>
          <w:bCs/>
          <w:sz w:val="24"/>
          <w:szCs w:val="24"/>
        </w:rPr>
        <w:t>M</w:t>
      </w:r>
      <w:r w:rsidRPr="00B87418">
        <w:rPr>
          <w:rFonts w:ascii="Garamond" w:eastAsia="Times New Roman" w:hAnsi="Garamond" w:cs="Times New Roman"/>
          <w:bCs/>
          <w:sz w:val="24"/>
          <w:szCs w:val="24"/>
        </w:rPr>
        <w:t>egjithatë evidentohet nevoja për përshpejtimin e implementimit të projekteve teknologjike dhe forcimin e kapaciteteve administrative e teknike</w:t>
      </w:r>
      <w:r w:rsidR="00BF2ADB" w:rsidRPr="00B87418">
        <w:rPr>
          <w:rFonts w:ascii="Garamond" w:eastAsia="Times New Roman" w:hAnsi="Garamond" w:cs="Times New Roman"/>
          <w:bCs/>
          <w:sz w:val="24"/>
          <w:szCs w:val="24"/>
        </w:rPr>
        <w:t>,</w:t>
      </w:r>
      <w:r w:rsidRPr="00B87418">
        <w:rPr>
          <w:rFonts w:ascii="Garamond" w:eastAsia="Times New Roman" w:hAnsi="Garamond" w:cs="Times New Roman"/>
          <w:bCs/>
          <w:sz w:val="24"/>
          <w:szCs w:val="24"/>
        </w:rPr>
        <w:t xml:space="preserve"> në funksion të rritjes së </w:t>
      </w:r>
      <w:proofErr w:type="spellStart"/>
      <w:r w:rsidRPr="00B87418">
        <w:rPr>
          <w:rFonts w:ascii="Garamond" w:eastAsia="Times New Roman" w:hAnsi="Garamond" w:cs="Times New Roman"/>
          <w:bCs/>
          <w:sz w:val="24"/>
          <w:szCs w:val="24"/>
        </w:rPr>
        <w:t>eficiencës</w:t>
      </w:r>
      <w:proofErr w:type="spellEnd"/>
      <w:r w:rsidRPr="00B87418">
        <w:rPr>
          <w:rFonts w:ascii="Garamond" w:eastAsia="Times New Roman" w:hAnsi="Garamond" w:cs="Times New Roman"/>
          <w:bCs/>
          <w:sz w:val="24"/>
          <w:szCs w:val="24"/>
        </w:rPr>
        <w:t>, transparencës dhe cilësisë së shërbimeve institucionale.</w:t>
      </w:r>
    </w:p>
    <w:p w14:paraId="28C1BEB3" w14:textId="70886567"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Nevojën për të theksuar se Këshilli funksionon si institucion kolegjial</w:t>
      </w:r>
      <w:r w:rsidR="00BF2ADB" w:rsidRPr="00B87418">
        <w:rPr>
          <w:rFonts w:ascii="Garamond" w:eastAsia="Times New Roman" w:hAnsi="Garamond" w:cs="Times New Roman"/>
          <w:bCs/>
          <w:sz w:val="24"/>
          <w:szCs w:val="24"/>
        </w:rPr>
        <w:t>,</w:t>
      </w:r>
      <w:r w:rsidRPr="00B87418">
        <w:rPr>
          <w:rFonts w:ascii="Garamond" w:eastAsia="Times New Roman" w:hAnsi="Garamond" w:cs="Times New Roman"/>
          <w:bCs/>
          <w:sz w:val="24"/>
          <w:szCs w:val="24"/>
        </w:rPr>
        <w:t xml:space="preserve"> i cili duhet të udhëhiqet ndër të tjera nga parimi i komunikimit dhe ndërveprimit me respekt reciprok ndërmjet anëtarëve të tij, sipas standardeve më të larta të etikës institucionale. </w:t>
      </w:r>
    </w:p>
    <w:p w14:paraId="278F3FCE" w14:textId="0D551853" w:rsidR="008D2459" w:rsidRPr="00B87418" w:rsidRDefault="008D2459" w:rsidP="000B5A09">
      <w:pPr>
        <w:spacing w:after="0" w:line="240" w:lineRule="auto"/>
        <w:ind w:firstLine="284"/>
        <w:jc w:val="both"/>
        <w:rPr>
          <w:rFonts w:ascii="Garamond" w:eastAsia="Times New Roman" w:hAnsi="Garamond" w:cs="Times New Roman"/>
          <w:b/>
          <w:sz w:val="24"/>
          <w:szCs w:val="24"/>
        </w:rPr>
      </w:pPr>
      <w:r w:rsidRPr="00B87418">
        <w:rPr>
          <w:rFonts w:ascii="Garamond" w:eastAsia="Times New Roman" w:hAnsi="Garamond" w:cs="Times New Roman"/>
          <w:b/>
          <w:sz w:val="24"/>
          <w:szCs w:val="24"/>
        </w:rPr>
        <w:t>Kuvendi rekomandon që Këshilli i Lartë i Prokurorisë për vitin 2026, në përmbushje të detyrave të ngarkuara me ligj, të angazhohet veçanërisht edhe në këto drejtime:</w:t>
      </w:r>
    </w:p>
    <w:p w14:paraId="46CA6ABF" w14:textId="38224F11"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1.</w:t>
      </w:r>
      <w:r w:rsidR="005A6625" w:rsidRPr="00B87418">
        <w:rPr>
          <w:rFonts w:ascii="Garamond" w:eastAsia="Times New Roman" w:hAnsi="Garamond" w:cs="Times New Roman"/>
          <w:bCs/>
          <w:sz w:val="24"/>
          <w:szCs w:val="24"/>
        </w:rPr>
        <w:t xml:space="preserve"> </w:t>
      </w:r>
      <w:r w:rsidR="00D6629D" w:rsidRPr="00B87418">
        <w:rPr>
          <w:rFonts w:ascii="Garamond" w:eastAsia="Times New Roman" w:hAnsi="Garamond" w:cs="Times New Roman"/>
          <w:bCs/>
          <w:sz w:val="24"/>
          <w:szCs w:val="24"/>
        </w:rPr>
        <w:t>N</w:t>
      </w:r>
      <w:r w:rsidRPr="00B87418">
        <w:rPr>
          <w:rFonts w:ascii="Garamond" w:eastAsia="Times New Roman" w:hAnsi="Garamond" w:cs="Times New Roman"/>
          <w:bCs/>
          <w:sz w:val="24"/>
          <w:szCs w:val="24"/>
        </w:rPr>
        <w:t>ë bashkëpunim me Prokurorin e Përgjithshëm,</w:t>
      </w:r>
      <w:r w:rsidR="005A6625" w:rsidRPr="00B87418">
        <w:rPr>
          <w:rFonts w:ascii="Garamond" w:eastAsia="Times New Roman" w:hAnsi="Garamond" w:cs="Times New Roman"/>
          <w:bCs/>
          <w:sz w:val="24"/>
          <w:szCs w:val="24"/>
        </w:rPr>
        <w:t xml:space="preserve"> të zhvillojë</w:t>
      </w:r>
      <w:r w:rsidRPr="00B87418">
        <w:rPr>
          <w:rFonts w:ascii="Garamond" w:eastAsia="Times New Roman" w:hAnsi="Garamond" w:cs="Times New Roman"/>
          <w:bCs/>
          <w:sz w:val="24"/>
          <w:szCs w:val="24"/>
        </w:rPr>
        <w:t xml:space="preserve"> një analizë të plotë </w:t>
      </w:r>
      <w:r w:rsidR="005A6625" w:rsidRPr="00B87418">
        <w:rPr>
          <w:rFonts w:ascii="Garamond" w:eastAsia="Times New Roman" w:hAnsi="Garamond" w:cs="Times New Roman"/>
          <w:bCs/>
          <w:sz w:val="24"/>
          <w:szCs w:val="24"/>
        </w:rPr>
        <w:t>për</w:t>
      </w:r>
      <w:r w:rsidRPr="00B87418">
        <w:rPr>
          <w:rFonts w:ascii="Garamond" w:eastAsia="Times New Roman" w:hAnsi="Garamond" w:cs="Times New Roman"/>
          <w:bCs/>
          <w:sz w:val="24"/>
          <w:szCs w:val="24"/>
        </w:rPr>
        <w:t xml:space="preserve"> organizimin dhe burimet njerëzore të sistemit të prokurorisë, duke përfshirë numrin e prokurorëve për çdo prokurori, </w:t>
      </w:r>
      <w:proofErr w:type="spellStart"/>
      <w:r w:rsidRPr="00B87418">
        <w:rPr>
          <w:rFonts w:ascii="Garamond" w:eastAsia="Times New Roman" w:hAnsi="Garamond" w:cs="Times New Roman"/>
          <w:bCs/>
          <w:sz w:val="24"/>
          <w:szCs w:val="24"/>
        </w:rPr>
        <w:t>vakancat</w:t>
      </w:r>
      <w:proofErr w:type="spellEnd"/>
      <w:r w:rsidRPr="00B87418">
        <w:rPr>
          <w:rFonts w:ascii="Garamond" w:eastAsia="Times New Roman" w:hAnsi="Garamond" w:cs="Times New Roman"/>
          <w:bCs/>
          <w:sz w:val="24"/>
          <w:szCs w:val="24"/>
        </w:rPr>
        <w:t xml:space="preserve"> e përhershme dhe të përkohshme, ngarkesën e punës, stokun e çështjeve, efektet e organizimit dhe rishpërndarjes aktuale të burimeve njerëzore në funksionimin e sistemit, nevojat për prokurorë dhe staf mbështetës sipas prokurorive, si dhe perspektivën afatmesme të zhvillimit të tij, me qëllim krijimin e një sistemi të qëndrueshëm të planifikimit strategjik të burimeve njerëzore dhe adresimin e problematikave të evidentuara. Në këtë kuadër, të paraqesë pranë Kuvendit</w:t>
      </w:r>
      <w:r w:rsidR="00B87418">
        <w:rPr>
          <w:rFonts w:ascii="Garamond" w:eastAsia="Times New Roman" w:hAnsi="Garamond" w:cs="Times New Roman"/>
          <w:bCs/>
          <w:sz w:val="24"/>
          <w:szCs w:val="24"/>
        </w:rPr>
        <w:t>,</w:t>
      </w:r>
      <w:r w:rsidRPr="00B87418">
        <w:rPr>
          <w:rFonts w:ascii="Garamond" w:eastAsia="Times New Roman" w:hAnsi="Garamond" w:cs="Times New Roman"/>
          <w:bCs/>
          <w:sz w:val="24"/>
          <w:szCs w:val="24"/>
        </w:rPr>
        <w:t xml:space="preserve"> deri në fund të muajit shtator </w:t>
      </w:r>
      <w:r w:rsidR="00EE5CD6" w:rsidRPr="00B87418">
        <w:rPr>
          <w:rFonts w:ascii="Garamond" w:eastAsia="Times New Roman" w:hAnsi="Garamond" w:cs="Times New Roman"/>
          <w:bCs/>
          <w:sz w:val="24"/>
          <w:szCs w:val="24"/>
        </w:rPr>
        <w:t xml:space="preserve">të vitit </w:t>
      </w:r>
      <w:r w:rsidRPr="00B87418">
        <w:rPr>
          <w:rFonts w:ascii="Garamond" w:eastAsia="Times New Roman" w:hAnsi="Garamond" w:cs="Times New Roman"/>
          <w:bCs/>
          <w:sz w:val="24"/>
          <w:szCs w:val="24"/>
        </w:rPr>
        <w:t>2026</w:t>
      </w:r>
      <w:r w:rsidR="00B87418">
        <w:rPr>
          <w:rFonts w:ascii="Garamond" w:eastAsia="Times New Roman" w:hAnsi="Garamond" w:cs="Times New Roman"/>
          <w:bCs/>
          <w:sz w:val="24"/>
          <w:szCs w:val="24"/>
        </w:rPr>
        <w:t>,</w:t>
      </w:r>
      <w:r w:rsidRPr="00B87418">
        <w:rPr>
          <w:rFonts w:ascii="Garamond" w:eastAsia="Times New Roman" w:hAnsi="Garamond" w:cs="Times New Roman"/>
          <w:bCs/>
          <w:sz w:val="24"/>
          <w:szCs w:val="24"/>
        </w:rPr>
        <w:t xml:space="preserve"> rezultatet e kësaj analize së bashku me masat konkrete të propozuara për përmirësimin e organizimit dhe rritjen e efikasitetit të sistemit të prokurorisë.</w:t>
      </w:r>
    </w:p>
    <w:p w14:paraId="5E6E056A" w14:textId="38F15428"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2.</w:t>
      </w:r>
      <w:r w:rsidR="00705E81" w:rsidRPr="00B87418">
        <w:rPr>
          <w:rFonts w:ascii="Garamond" w:eastAsia="Times New Roman" w:hAnsi="Garamond" w:cs="Times New Roman"/>
          <w:bCs/>
          <w:sz w:val="24"/>
          <w:szCs w:val="24"/>
        </w:rPr>
        <w:t xml:space="preserve"> </w:t>
      </w:r>
      <w:r w:rsidRPr="00B87418">
        <w:rPr>
          <w:rFonts w:ascii="Garamond" w:eastAsia="Times New Roman" w:hAnsi="Garamond" w:cs="Times New Roman"/>
          <w:bCs/>
          <w:sz w:val="24"/>
          <w:szCs w:val="24"/>
        </w:rPr>
        <w:t xml:space="preserve">Të vijojë konsolidimin e sistemit të vlerësimit etik dhe profesional të prokurorëve, duke garantuar realizimin në kohë të procedurave të vlerësimit, standardizimin e praktikave, rritjen e cilësisë së raporteve analitike dhe zhvillimin e sistemeve elektronike mbështetëse të procesit, si dhe duke forcuar lidhjen ndërmjet rezultateve të vlerësimit, </w:t>
      </w:r>
      <w:proofErr w:type="spellStart"/>
      <w:r w:rsidRPr="00B87418">
        <w:rPr>
          <w:rFonts w:ascii="Garamond" w:eastAsia="Times New Roman" w:hAnsi="Garamond" w:cs="Times New Roman"/>
          <w:bCs/>
          <w:sz w:val="24"/>
          <w:szCs w:val="24"/>
        </w:rPr>
        <w:t>performancës</w:t>
      </w:r>
      <w:proofErr w:type="spellEnd"/>
      <w:r w:rsidRPr="00B87418">
        <w:rPr>
          <w:rFonts w:ascii="Garamond" w:eastAsia="Times New Roman" w:hAnsi="Garamond" w:cs="Times New Roman"/>
          <w:bCs/>
          <w:sz w:val="24"/>
          <w:szCs w:val="24"/>
        </w:rPr>
        <w:t xml:space="preserve"> dhe zhvillimit të karrierës</w:t>
      </w:r>
      <w:r w:rsidR="00705E81" w:rsidRPr="00B87418">
        <w:rPr>
          <w:rFonts w:ascii="Garamond" w:eastAsia="Times New Roman" w:hAnsi="Garamond" w:cs="Times New Roman"/>
          <w:bCs/>
          <w:sz w:val="24"/>
          <w:szCs w:val="24"/>
        </w:rPr>
        <w:t>.</w:t>
      </w:r>
    </w:p>
    <w:p w14:paraId="3DD2A027" w14:textId="77777777"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 xml:space="preserve">3. Të forcojë transparencën dhe efektivitetin e procedurave të emërimit, ngritjes në detyrë, transferimit dhe komandimit të prokurorëve, duke garantuar zbatimin e parimit të </w:t>
      </w:r>
      <w:proofErr w:type="spellStart"/>
      <w:r w:rsidRPr="00B87418">
        <w:rPr>
          <w:rFonts w:ascii="Garamond" w:eastAsia="Times New Roman" w:hAnsi="Garamond" w:cs="Times New Roman"/>
          <w:bCs/>
          <w:sz w:val="24"/>
          <w:szCs w:val="24"/>
        </w:rPr>
        <w:t>meritokracisë</w:t>
      </w:r>
      <w:proofErr w:type="spellEnd"/>
      <w:r w:rsidRPr="00B87418">
        <w:rPr>
          <w:rFonts w:ascii="Garamond" w:eastAsia="Times New Roman" w:hAnsi="Garamond" w:cs="Times New Roman"/>
          <w:bCs/>
          <w:sz w:val="24"/>
          <w:szCs w:val="24"/>
        </w:rPr>
        <w:t xml:space="preserve"> dhe duke analizuar ndikimin e këtyre mekanizmave në funksionimin e sistemit të prokurorisë.</w:t>
      </w:r>
    </w:p>
    <w:p w14:paraId="5456E08B" w14:textId="7DE6F785"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4.</w:t>
      </w:r>
      <w:r w:rsidR="00767FC7" w:rsidRPr="00B87418">
        <w:rPr>
          <w:rFonts w:ascii="Garamond" w:eastAsia="Times New Roman" w:hAnsi="Garamond" w:cs="Times New Roman"/>
          <w:bCs/>
          <w:sz w:val="24"/>
          <w:szCs w:val="24"/>
        </w:rPr>
        <w:t xml:space="preserve"> </w:t>
      </w:r>
      <w:r w:rsidRPr="00B87418">
        <w:rPr>
          <w:rFonts w:ascii="Garamond" w:eastAsia="Times New Roman" w:hAnsi="Garamond" w:cs="Times New Roman"/>
          <w:bCs/>
          <w:sz w:val="24"/>
          <w:szCs w:val="24"/>
        </w:rPr>
        <w:t>Të forcojë mekanizmat e monitorimit dhe administrimit të funksionimit të sistemit të prokurorisë dhe të ushtrimit të funksionit të prokurorëve në aspektet organizative dhe administrative, duke vlerësuar nevojën për përmirësimin e kuadrit rregullator dhe praktikave administrative që lidhen me respektimin e orarit zyrtar të punës, organizimin e veprimtarisë së prokurorive, administrimin e burimeve njerëzore dhe rritjen e efikasitetit të veprimtarisë së sistemit të prokurorisë.</w:t>
      </w:r>
    </w:p>
    <w:p w14:paraId="23F10F50" w14:textId="7753A56B"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5. Të vijojë bashkëpunimin për forcimin e kapaciteteve administrative dhe organizative të sistemit të prokurorisë, zhvillimi</w:t>
      </w:r>
      <w:r w:rsidR="00064C4E" w:rsidRPr="00B87418">
        <w:rPr>
          <w:rFonts w:ascii="Garamond" w:eastAsia="Times New Roman" w:hAnsi="Garamond" w:cs="Times New Roman"/>
          <w:bCs/>
          <w:sz w:val="24"/>
          <w:szCs w:val="24"/>
        </w:rPr>
        <w:t>n</w:t>
      </w:r>
      <w:r w:rsidRPr="00B87418">
        <w:rPr>
          <w:rFonts w:ascii="Garamond" w:eastAsia="Times New Roman" w:hAnsi="Garamond" w:cs="Times New Roman"/>
          <w:bCs/>
          <w:sz w:val="24"/>
          <w:szCs w:val="24"/>
        </w:rPr>
        <w:t xml:space="preserve"> profesional të stafit mbështetës, përmirësimi</w:t>
      </w:r>
      <w:r w:rsidR="00064C4E" w:rsidRPr="00B87418">
        <w:rPr>
          <w:rFonts w:ascii="Garamond" w:eastAsia="Times New Roman" w:hAnsi="Garamond" w:cs="Times New Roman"/>
          <w:bCs/>
          <w:sz w:val="24"/>
          <w:szCs w:val="24"/>
        </w:rPr>
        <w:t>n</w:t>
      </w:r>
      <w:r w:rsidRPr="00B87418">
        <w:rPr>
          <w:rFonts w:ascii="Garamond" w:eastAsia="Times New Roman" w:hAnsi="Garamond" w:cs="Times New Roman"/>
          <w:bCs/>
          <w:sz w:val="24"/>
          <w:szCs w:val="24"/>
        </w:rPr>
        <w:t xml:space="preserve"> </w:t>
      </w:r>
      <w:r w:rsidR="00064C4E" w:rsidRPr="00B87418">
        <w:rPr>
          <w:rFonts w:ascii="Garamond" w:eastAsia="Times New Roman" w:hAnsi="Garamond" w:cs="Times New Roman"/>
          <w:bCs/>
          <w:sz w:val="24"/>
          <w:szCs w:val="24"/>
        </w:rPr>
        <w:t>e</w:t>
      </w:r>
      <w:r w:rsidRPr="00B87418">
        <w:rPr>
          <w:rFonts w:ascii="Garamond" w:eastAsia="Times New Roman" w:hAnsi="Garamond" w:cs="Times New Roman"/>
          <w:bCs/>
          <w:sz w:val="24"/>
          <w:szCs w:val="24"/>
        </w:rPr>
        <w:t xml:space="preserve"> aftësive në përdorimin e sistemeve digjitale, rritje</w:t>
      </w:r>
      <w:r w:rsidR="00131063" w:rsidRPr="00B87418">
        <w:rPr>
          <w:rFonts w:ascii="Garamond" w:eastAsia="Times New Roman" w:hAnsi="Garamond" w:cs="Times New Roman"/>
          <w:bCs/>
          <w:sz w:val="24"/>
          <w:szCs w:val="24"/>
        </w:rPr>
        <w:t>n</w:t>
      </w:r>
      <w:r w:rsidRPr="00B87418">
        <w:rPr>
          <w:rFonts w:ascii="Garamond" w:eastAsia="Times New Roman" w:hAnsi="Garamond" w:cs="Times New Roman"/>
          <w:bCs/>
          <w:sz w:val="24"/>
          <w:szCs w:val="24"/>
        </w:rPr>
        <w:t xml:space="preserve"> </w:t>
      </w:r>
      <w:r w:rsidR="00131063" w:rsidRPr="00B87418">
        <w:rPr>
          <w:rFonts w:ascii="Garamond" w:eastAsia="Times New Roman" w:hAnsi="Garamond" w:cs="Times New Roman"/>
          <w:bCs/>
          <w:sz w:val="24"/>
          <w:szCs w:val="24"/>
        </w:rPr>
        <w:t>e</w:t>
      </w:r>
      <w:r w:rsidRPr="00B87418">
        <w:rPr>
          <w:rFonts w:ascii="Garamond" w:eastAsia="Times New Roman" w:hAnsi="Garamond" w:cs="Times New Roman"/>
          <w:bCs/>
          <w:sz w:val="24"/>
          <w:szCs w:val="24"/>
        </w:rPr>
        <w:t xml:space="preserve"> rolit mbështetës të administratës dhe forcimi</w:t>
      </w:r>
      <w:r w:rsidR="00131063" w:rsidRPr="00B87418">
        <w:rPr>
          <w:rFonts w:ascii="Garamond" w:eastAsia="Times New Roman" w:hAnsi="Garamond" w:cs="Times New Roman"/>
          <w:bCs/>
          <w:sz w:val="24"/>
          <w:szCs w:val="24"/>
        </w:rPr>
        <w:t>n</w:t>
      </w:r>
      <w:r w:rsidRPr="00B87418">
        <w:rPr>
          <w:rFonts w:ascii="Garamond" w:eastAsia="Times New Roman" w:hAnsi="Garamond" w:cs="Times New Roman"/>
          <w:bCs/>
          <w:sz w:val="24"/>
          <w:szCs w:val="24"/>
        </w:rPr>
        <w:t xml:space="preserve"> </w:t>
      </w:r>
      <w:r w:rsidR="00131063" w:rsidRPr="00B87418">
        <w:rPr>
          <w:rFonts w:ascii="Garamond" w:eastAsia="Times New Roman" w:hAnsi="Garamond" w:cs="Times New Roman"/>
          <w:bCs/>
          <w:sz w:val="24"/>
          <w:szCs w:val="24"/>
        </w:rPr>
        <w:t>e</w:t>
      </w:r>
      <w:r w:rsidRPr="00B87418">
        <w:rPr>
          <w:rFonts w:ascii="Garamond" w:eastAsia="Times New Roman" w:hAnsi="Garamond" w:cs="Times New Roman"/>
          <w:bCs/>
          <w:sz w:val="24"/>
          <w:szCs w:val="24"/>
        </w:rPr>
        <w:t xml:space="preserve"> mekanizmave të monitorimit të funksionimi</w:t>
      </w:r>
      <w:r w:rsidR="00B87418">
        <w:rPr>
          <w:rFonts w:ascii="Garamond" w:eastAsia="Times New Roman" w:hAnsi="Garamond" w:cs="Times New Roman"/>
          <w:bCs/>
          <w:sz w:val="24"/>
          <w:szCs w:val="24"/>
        </w:rPr>
        <w:t>t administrativ të prokurorive.</w:t>
      </w:r>
    </w:p>
    <w:p w14:paraId="71E5293B" w14:textId="7AF323C7"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 xml:space="preserve">6. Të bashkëpunojë në zhvillimin e mekanizmave të standardizuar për mbledhjen, administrimin dhe analizimin e të dhënave statistikore </w:t>
      </w:r>
      <w:r w:rsidR="00135D36" w:rsidRPr="00B87418">
        <w:rPr>
          <w:rFonts w:ascii="Garamond" w:eastAsia="Times New Roman" w:hAnsi="Garamond" w:cs="Times New Roman"/>
          <w:bCs/>
          <w:sz w:val="24"/>
          <w:szCs w:val="24"/>
        </w:rPr>
        <w:t>për</w:t>
      </w:r>
      <w:r w:rsidRPr="00B87418">
        <w:rPr>
          <w:rFonts w:ascii="Garamond" w:eastAsia="Times New Roman" w:hAnsi="Garamond" w:cs="Times New Roman"/>
          <w:bCs/>
          <w:sz w:val="24"/>
          <w:szCs w:val="24"/>
        </w:rPr>
        <w:t xml:space="preserve"> funksionimin e sistemit të prokurorisë, duke raportuar tregues të matshëm </w:t>
      </w:r>
      <w:r w:rsidR="00724F19" w:rsidRPr="00B87418">
        <w:rPr>
          <w:rFonts w:ascii="Garamond" w:eastAsia="Times New Roman" w:hAnsi="Garamond" w:cs="Times New Roman"/>
          <w:bCs/>
          <w:sz w:val="24"/>
          <w:szCs w:val="24"/>
        </w:rPr>
        <w:t>për</w:t>
      </w:r>
      <w:r w:rsidRPr="00B87418">
        <w:rPr>
          <w:rFonts w:ascii="Garamond" w:eastAsia="Times New Roman" w:hAnsi="Garamond" w:cs="Times New Roman"/>
          <w:bCs/>
          <w:sz w:val="24"/>
          <w:szCs w:val="24"/>
        </w:rPr>
        <w:t xml:space="preserve"> ngarkesën e punës, stokun e çështjeve, kohëzgjatjen e procedimeve, procedurat e karrierës dhe tregues të tjerë të </w:t>
      </w:r>
      <w:proofErr w:type="spellStart"/>
      <w:r w:rsidRPr="00B87418">
        <w:rPr>
          <w:rFonts w:ascii="Garamond" w:eastAsia="Times New Roman" w:hAnsi="Garamond" w:cs="Times New Roman"/>
          <w:bCs/>
          <w:sz w:val="24"/>
          <w:szCs w:val="24"/>
        </w:rPr>
        <w:t>performancës</w:t>
      </w:r>
      <w:proofErr w:type="spellEnd"/>
      <w:r w:rsidRPr="00B87418">
        <w:rPr>
          <w:rFonts w:ascii="Garamond" w:eastAsia="Times New Roman" w:hAnsi="Garamond" w:cs="Times New Roman"/>
          <w:bCs/>
          <w:sz w:val="24"/>
          <w:szCs w:val="24"/>
        </w:rPr>
        <w:t xml:space="preserve"> institucionale, në përputhje me standardet evropiane dhe praktikat më të mira ndërkombëtare.</w:t>
      </w:r>
    </w:p>
    <w:p w14:paraId="7F6BACF9" w14:textId="77777777"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7. Të përshpejtojë procesin e transformimit digjital të veprimtarisë së Këshillit dhe të sistemit të prokurorisë, duke vijuar projektet për administrimin elektronik të proceseve, digjitalizimin e arkivave, zhvillimin e sistemeve të integruara të informacionit dhe statistikave, si dhe ndërveprimin e tyre me sistemet e institucioneve të tjera të drejtësisë.</w:t>
      </w:r>
    </w:p>
    <w:p w14:paraId="60D7C610" w14:textId="30C0DB2A"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lastRenderedPageBreak/>
        <w:t xml:space="preserve">8. Të vijojë përmirësimin dhe përmbylljen e kuadrit rregullator të institucionit, duke përfunduar miratimin e akteve nënligjore të nevojshme, monitoruar periodikisht efektivitetin e zbatimit të tyre dhe raportuar në Kuvend </w:t>
      </w:r>
      <w:r w:rsidR="00C115B6" w:rsidRPr="00B87418">
        <w:rPr>
          <w:rFonts w:ascii="Garamond" w:eastAsia="Times New Roman" w:hAnsi="Garamond" w:cs="Times New Roman"/>
          <w:bCs/>
          <w:sz w:val="24"/>
          <w:szCs w:val="24"/>
        </w:rPr>
        <w:t>për</w:t>
      </w:r>
      <w:r w:rsidRPr="00B87418">
        <w:rPr>
          <w:rFonts w:ascii="Garamond" w:eastAsia="Times New Roman" w:hAnsi="Garamond" w:cs="Times New Roman"/>
          <w:bCs/>
          <w:sz w:val="24"/>
          <w:szCs w:val="24"/>
        </w:rPr>
        <w:t xml:space="preserve"> statusin e akteve të pambyllura, arsyet e </w:t>
      </w:r>
      <w:r w:rsidR="00B87418">
        <w:rPr>
          <w:rFonts w:ascii="Garamond" w:eastAsia="Times New Roman" w:hAnsi="Garamond" w:cs="Times New Roman"/>
          <w:bCs/>
          <w:sz w:val="24"/>
          <w:szCs w:val="24"/>
        </w:rPr>
        <w:t>vonesave dhe masat e ndërmarra.</w:t>
      </w:r>
    </w:p>
    <w:p w14:paraId="50D64C85" w14:textId="3AB4C5FA"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 xml:space="preserve">9. Të bashkëpunojë për analizimin në mënyrë periodike </w:t>
      </w:r>
      <w:r w:rsidR="00425838" w:rsidRPr="00B87418">
        <w:rPr>
          <w:rFonts w:ascii="Garamond" w:eastAsia="Times New Roman" w:hAnsi="Garamond" w:cs="Times New Roman"/>
          <w:bCs/>
          <w:sz w:val="24"/>
          <w:szCs w:val="24"/>
        </w:rPr>
        <w:t xml:space="preserve">të </w:t>
      </w:r>
      <w:r w:rsidRPr="00B87418">
        <w:rPr>
          <w:rFonts w:ascii="Garamond" w:eastAsia="Times New Roman" w:hAnsi="Garamond" w:cs="Times New Roman"/>
          <w:bCs/>
          <w:sz w:val="24"/>
          <w:szCs w:val="24"/>
        </w:rPr>
        <w:t>funksionimi</w:t>
      </w:r>
      <w:r w:rsidR="00425838" w:rsidRPr="00B87418">
        <w:rPr>
          <w:rFonts w:ascii="Garamond" w:eastAsia="Times New Roman" w:hAnsi="Garamond" w:cs="Times New Roman"/>
          <w:bCs/>
          <w:sz w:val="24"/>
          <w:szCs w:val="24"/>
        </w:rPr>
        <w:t>t</w:t>
      </w:r>
      <w:r w:rsidRPr="00B87418">
        <w:rPr>
          <w:rFonts w:ascii="Garamond" w:eastAsia="Times New Roman" w:hAnsi="Garamond" w:cs="Times New Roman"/>
          <w:bCs/>
          <w:sz w:val="24"/>
          <w:szCs w:val="24"/>
        </w:rPr>
        <w:t xml:space="preserve"> </w:t>
      </w:r>
      <w:r w:rsidR="0058617F" w:rsidRPr="00B87418">
        <w:rPr>
          <w:rFonts w:ascii="Garamond" w:eastAsia="Times New Roman" w:hAnsi="Garamond" w:cs="Times New Roman"/>
          <w:bCs/>
          <w:sz w:val="24"/>
          <w:szCs w:val="24"/>
        </w:rPr>
        <w:t>të</w:t>
      </w:r>
      <w:r w:rsidRPr="00B87418">
        <w:rPr>
          <w:rFonts w:ascii="Garamond" w:eastAsia="Times New Roman" w:hAnsi="Garamond" w:cs="Times New Roman"/>
          <w:bCs/>
          <w:sz w:val="24"/>
          <w:szCs w:val="24"/>
        </w:rPr>
        <w:t xml:space="preserve"> kuadrit ligjor dhe nënligjor</w:t>
      </w:r>
      <w:r w:rsidR="00FB109A" w:rsidRPr="00B87418">
        <w:rPr>
          <w:rFonts w:ascii="Garamond" w:eastAsia="Times New Roman" w:hAnsi="Garamond" w:cs="Times New Roman"/>
          <w:bCs/>
          <w:sz w:val="24"/>
          <w:szCs w:val="24"/>
        </w:rPr>
        <w:t>,</w:t>
      </w:r>
      <w:r w:rsidRPr="00B87418">
        <w:rPr>
          <w:rFonts w:ascii="Garamond" w:eastAsia="Times New Roman" w:hAnsi="Garamond" w:cs="Times New Roman"/>
          <w:bCs/>
          <w:sz w:val="24"/>
          <w:szCs w:val="24"/>
        </w:rPr>
        <w:t xml:space="preserve"> që ndikon në organizimin dhe funksionimin e sistemit të prokurorisë dhe, bazuar në problematikat e evidentuara gjatë zbatimit të tij, të formulojë rekomandime dhe propozime për ndryshime ligjore ose nënligjore, me qëllim përmirësimin e procedurave, adresimin e boshllëqeve normative, harmonizimin e praktikave institucionale dhe rritjen e efektivitetit të funksionimit të sistemit të drejtësisë.</w:t>
      </w:r>
    </w:p>
    <w:p w14:paraId="48427C0F" w14:textId="2B7F55BE"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 xml:space="preserve">10. </w:t>
      </w:r>
      <w:r w:rsidR="0058617F" w:rsidRPr="00B87418">
        <w:rPr>
          <w:rFonts w:ascii="Garamond" w:eastAsia="Times New Roman" w:hAnsi="Garamond" w:cs="Times New Roman"/>
          <w:bCs/>
          <w:sz w:val="24"/>
          <w:szCs w:val="24"/>
        </w:rPr>
        <w:t>N</w:t>
      </w:r>
      <w:r w:rsidRPr="00B87418">
        <w:rPr>
          <w:rFonts w:ascii="Garamond" w:eastAsia="Times New Roman" w:hAnsi="Garamond" w:cs="Times New Roman"/>
          <w:bCs/>
          <w:sz w:val="24"/>
          <w:szCs w:val="24"/>
        </w:rPr>
        <w:t>ë bashkëpunim me Inspektorin e Lartë të Drejtësisë dhe institucionet e tjera përgjegjëse,</w:t>
      </w:r>
      <w:r w:rsidR="00F33669" w:rsidRPr="00B87418">
        <w:rPr>
          <w:rFonts w:ascii="Garamond" w:eastAsia="Times New Roman" w:hAnsi="Garamond" w:cs="Times New Roman"/>
          <w:bCs/>
          <w:sz w:val="24"/>
          <w:szCs w:val="24"/>
        </w:rPr>
        <w:t xml:space="preserve"> të zhvillojë </w:t>
      </w:r>
      <w:r w:rsidRPr="00B87418">
        <w:rPr>
          <w:rFonts w:ascii="Garamond" w:eastAsia="Times New Roman" w:hAnsi="Garamond" w:cs="Times New Roman"/>
          <w:bCs/>
          <w:sz w:val="24"/>
          <w:szCs w:val="24"/>
        </w:rPr>
        <w:t xml:space="preserve">analiza periodike </w:t>
      </w:r>
      <w:r w:rsidR="00F33669" w:rsidRPr="00B87418">
        <w:rPr>
          <w:rFonts w:ascii="Garamond" w:eastAsia="Times New Roman" w:hAnsi="Garamond" w:cs="Times New Roman"/>
          <w:bCs/>
          <w:sz w:val="24"/>
          <w:szCs w:val="24"/>
        </w:rPr>
        <w:t>për</w:t>
      </w:r>
      <w:r w:rsidRPr="00B87418">
        <w:rPr>
          <w:rFonts w:ascii="Garamond" w:eastAsia="Times New Roman" w:hAnsi="Garamond" w:cs="Times New Roman"/>
          <w:bCs/>
          <w:sz w:val="24"/>
          <w:szCs w:val="24"/>
        </w:rPr>
        <w:t xml:space="preserve"> problematikat </w:t>
      </w:r>
      <w:proofErr w:type="spellStart"/>
      <w:r w:rsidRPr="00B87418">
        <w:rPr>
          <w:rFonts w:ascii="Garamond" w:eastAsia="Times New Roman" w:hAnsi="Garamond" w:cs="Times New Roman"/>
          <w:bCs/>
          <w:sz w:val="24"/>
          <w:szCs w:val="24"/>
        </w:rPr>
        <w:t>sistemike</w:t>
      </w:r>
      <w:proofErr w:type="spellEnd"/>
      <w:r w:rsidRPr="00B87418">
        <w:rPr>
          <w:rFonts w:ascii="Garamond" w:eastAsia="Times New Roman" w:hAnsi="Garamond" w:cs="Times New Roman"/>
          <w:bCs/>
          <w:sz w:val="24"/>
          <w:szCs w:val="24"/>
        </w:rPr>
        <w:t xml:space="preserve"> që evidentohen nga procedurat disiplinore, ankesat dhe mekanizmat e mbikëqyrjes së veprimtarisë së prokurorëve, me qëllim identifikimin e nevojave për përmirësimin e praktikave institucionale, zhvillimin profesional, forcimin e standardeve etike dhe, kur është e nevojshme, formulimin e propozimeve për përmirësime të kuadrit rregullator.</w:t>
      </w:r>
    </w:p>
    <w:p w14:paraId="399E1AF3" w14:textId="6E1291B1"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 xml:space="preserve">11. Të zhvillojë mekanizma të qëndrueshëm për monitorimin e zbatimit të rekomandimeve të Bashkimit </w:t>
      </w:r>
      <w:r w:rsidR="00B87418" w:rsidRPr="00B87418">
        <w:rPr>
          <w:rFonts w:ascii="Garamond" w:eastAsia="Times New Roman" w:hAnsi="Garamond" w:cs="Times New Roman"/>
          <w:bCs/>
          <w:sz w:val="24"/>
          <w:szCs w:val="24"/>
        </w:rPr>
        <w:t>Evropian</w:t>
      </w:r>
      <w:r w:rsidRPr="00B87418">
        <w:rPr>
          <w:rFonts w:ascii="Garamond" w:eastAsia="Times New Roman" w:hAnsi="Garamond" w:cs="Times New Roman"/>
          <w:bCs/>
          <w:sz w:val="24"/>
          <w:szCs w:val="24"/>
        </w:rPr>
        <w:t xml:space="preserve"> dhe detyrimeve që burojnë nga procesi i negociatave për anëtarësim, duke raportuar periodikisht </w:t>
      </w:r>
      <w:r w:rsidR="0092704E" w:rsidRPr="00B87418">
        <w:rPr>
          <w:rFonts w:ascii="Garamond" w:eastAsia="Times New Roman" w:hAnsi="Garamond" w:cs="Times New Roman"/>
          <w:bCs/>
          <w:sz w:val="24"/>
          <w:szCs w:val="24"/>
        </w:rPr>
        <w:t>për</w:t>
      </w:r>
      <w:r w:rsidRPr="00B87418">
        <w:rPr>
          <w:rFonts w:ascii="Garamond" w:eastAsia="Times New Roman" w:hAnsi="Garamond" w:cs="Times New Roman"/>
          <w:bCs/>
          <w:sz w:val="24"/>
          <w:szCs w:val="24"/>
        </w:rPr>
        <w:t xml:space="preserve"> masat e ndërmarra, rezultatet e arritura dhe sfidat e evidentuara në fushat që lidhen me kompetencat e Këshillit.</w:t>
      </w:r>
    </w:p>
    <w:p w14:paraId="017CAB68" w14:textId="5C457CE5"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 xml:space="preserve">12. Të standardizojë raportimin </w:t>
      </w:r>
      <w:r w:rsidR="0092704E" w:rsidRPr="00B87418">
        <w:rPr>
          <w:rFonts w:ascii="Garamond" w:eastAsia="Times New Roman" w:hAnsi="Garamond" w:cs="Times New Roman"/>
          <w:bCs/>
          <w:sz w:val="24"/>
          <w:szCs w:val="24"/>
        </w:rPr>
        <w:t>për</w:t>
      </w:r>
      <w:r w:rsidRPr="00B87418">
        <w:rPr>
          <w:rFonts w:ascii="Garamond" w:eastAsia="Times New Roman" w:hAnsi="Garamond" w:cs="Times New Roman"/>
          <w:bCs/>
          <w:sz w:val="24"/>
          <w:szCs w:val="24"/>
        </w:rPr>
        <w:t xml:space="preserve"> veprimtarinë e Komisionit të Përkohshëm të Shqyrtimit të Ankesave kundër vendimeve të Inspektorit të Lartë të Drejtësisë, duke publikuar dhe raportuar periodikisht të dhëna statistikore </w:t>
      </w:r>
      <w:r w:rsidR="00417D4F" w:rsidRPr="00B87418">
        <w:rPr>
          <w:rFonts w:ascii="Garamond" w:eastAsia="Times New Roman" w:hAnsi="Garamond" w:cs="Times New Roman"/>
          <w:bCs/>
          <w:sz w:val="24"/>
          <w:szCs w:val="24"/>
        </w:rPr>
        <w:t xml:space="preserve">për </w:t>
      </w:r>
      <w:r w:rsidRPr="00B87418">
        <w:rPr>
          <w:rFonts w:ascii="Garamond" w:eastAsia="Times New Roman" w:hAnsi="Garamond" w:cs="Times New Roman"/>
          <w:bCs/>
          <w:sz w:val="24"/>
          <w:szCs w:val="24"/>
        </w:rPr>
        <w:t xml:space="preserve">numrin e ankesave të paraqitura </w:t>
      </w:r>
      <w:r w:rsidR="00B87418">
        <w:rPr>
          <w:rFonts w:ascii="Garamond" w:eastAsia="Times New Roman" w:hAnsi="Garamond" w:cs="Times New Roman"/>
          <w:bCs/>
          <w:sz w:val="24"/>
          <w:szCs w:val="24"/>
        </w:rPr>
        <w:t>dhe të shqyrtuara, rezultatet e</w:t>
      </w:r>
      <w:r w:rsidR="00417D4F" w:rsidRPr="00B87418">
        <w:rPr>
          <w:rFonts w:ascii="Garamond" w:eastAsia="Times New Roman" w:hAnsi="Garamond" w:cs="Times New Roman"/>
          <w:bCs/>
          <w:sz w:val="24"/>
          <w:szCs w:val="24"/>
        </w:rPr>
        <w:t xml:space="preserve"> </w:t>
      </w:r>
      <w:r w:rsidRPr="00B87418">
        <w:rPr>
          <w:rFonts w:ascii="Garamond" w:eastAsia="Times New Roman" w:hAnsi="Garamond" w:cs="Times New Roman"/>
          <w:bCs/>
          <w:sz w:val="24"/>
          <w:szCs w:val="24"/>
        </w:rPr>
        <w:t>vendimmarrjes, kohëzgjatjen e procedurave dhe problematikat e evidentuara gjatë funksionimit të këtij mekanizmi.</w:t>
      </w:r>
    </w:p>
    <w:p w14:paraId="26C86111" w14:textId="026FED9C"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 xml:space="preserve">13. Të raportojë periodikisht </w:t>
      </w:r>
      <w:r w:rsidR="00417D4F" w:rsidRPr="00B87418">
        <w:rPr>
          <w:rFonts w:ascii="Garamond" w:eastAsia="Times New Roman" w:hAnsi="Garamond" w:cs="Times New Roman"/>
          <w:bCs/>
          <w:sz w:val="24"/>
          <w:szCs w:val="24"/>
        </w:rPr>
        <w:t xml:space="preserve">për </w:t>
      </w:r>
      <w:r w:rsidRPr="00B87418">
        <w:rPr>
          <w:rFonts w:ascii="Garamond" w:eastAsia="Times New Roman" w:hAnsi="Garamond" w:cs="Times New Roman"/>
          <w:bCs/>
          <w:sz w:val="24"/>
          <w:szCs w:val="24"/>
        </w:rPr>
        <w:t xml:space="preserve">çështjet ku Këshilli është palë, duke përfshirë tregues </w:t>
      </w:r>
      <w:r w:rsidR="00276C86" w:rsidRPr="00B87418">
        <w:rPr>
          <w:rFonts w:ascii="Garamond" w:eastAsia="Times New Roman" w:hAnsi="Garamond" w:cs="Times New Roman"/>
          <w:bCs/>
          <w:sz w:val="24"/>
          <w:szCs w:val="24"/>
        </w:rPr>
        <w:t xml:space="preserve">për </w:t>
      </w:r>
      <w:r w:rsidRPr="00B87418">
        <w:rPr>
          <w:rFonts w:ascii="Garamond" w:eastAsia="Times New Roman" w:hAnsi="Garamond" w:cs="Times New Roman"/>
          <w:bCs/>
          <w:sz w:val="24"/>
          <w:szCs w:val="24"/>
        </w:rPr>
        <w:t>tipologjinë e proceseve gjyqësore, rezultatet e tyre, ndikimin në praktikën institucionale dhe masat e ndërmarra për parandalimin e mosmarrëveshjeve gjyqësore të përsëritura dhe përputhshmërinë e vendimmarrjeve të Këshillit me parimin e sigurisë juridike.</w:t>
      </w:r>
    </w:p>
    <w:p w14:paraId="70408A10" w14:textId="1AFB3505"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 xml:space="preserve">14. Të forcojë transparencën dhe llogaridhënien institucionale, duke orientuar raportimin publik dhe parlamentar jo vetëm drejt pasqyrimit të aktivitetit procedural të Këshillit, por edhe drejt matjes së rezultateve dhe ndikimit të vendimmarrjes së tij në funksionimin e sistemit të prokurorisë nëpërmjet treguesve të standardizuar të </w:t>
      </w:r>
      <w:proofErr w:type="spellStart"/>
      <w:r w:rsidRPr="00B87418">
        <w:rPr>
          <w:rFonts w:ascii="Garamond" w:eastAsia="Times New Roman" w:hAnsi="Garamond" w:cs="Times New Roman"/>
          <w:bCs/>
          <w:sz w:val="24"/>
          <w:szCs w:val="24"/>
        </w:rPr>
        <w:t>performancës</w:t>
      </w:r>
      <w:proofErr w:type="spellEnd"/>
      <w:r w:rsidRPr="00B87418">
        <w:rPr>
          <w:rFonts w:ascii="Garamond" w:eastAsia="Times New Roman" w:hAnsi="Garamond" w:cs="Times New Roman"/>
          <w:bCs/>
          <w:sz w:val="24"/>
          <w:szCs w:val="24"/>
        </w:rPr>
        <w:t xml:space="preserve"> dhe raportimit periodik të tyre.</w:t>
      </w:r>
    </w:p>
    <w:p w14:paraId="76FD78B0" w14:textId="7E7DDFEC"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15.</w:t>
      </w:r>
      <w:r w:rsidR="006042FE" w:rsidRPr="00B87418">
        <w:rPr>
          <w:rFonts w:ascii="Garamond" w:eastAsia="Times New Roman" w:hAnsi="Garamond" w:cs="Times New Roman"/>
          <w:bCs/>
          <w:sz w:val="24"/>
          <w:szCs w:val="24"/>
        </w:rPr>
        <w:t xml:space="preserve"> </w:t>
      </w:r>
      <w:r w:rsidRPr="00B87418">
        <w:rPr>
          <w:rFonts w:ascii="Garamond" w:eastAsia="Times New Roman" w:hAnsi="Garamond" w:cs="Times New Roman"/>
          <w:bCs/>
          <w:sz w:val="24"/>
          <w:szCs w:val="24"/>
        </w:rPr>
        <w:t xml:space="preserve">Të zhvillojë dhe konsolidojë një sistem të integruar të monitorimit të </w:t>
      </w:r>
      <w:proofErr w:type="spellStart"/>
      <w:r w:rsidRPr="00B87418">
        <w:rPr>
          <w:rFonts w:ascii="Garamond" w:eastAsia="Times New Roman" w:hAnsi="Garamond" w:cs="Times New Roman"/>
          <w:bCs/>
          <w:sz w:val="24"/>
          <w:szCs w:val="24"/>
        </w:rPr>
        <w:t>performancës</w:t>
      </w:r>
      <w:proofErr w:type="spellEnd"/>
      <w:r w:rsidRPr="00B87418">
        <w:rPr>
          <w:rFonts w:ascii="Garamond" w:eastAsia="Times New Roman" w:hAnsi="Garamond" w:cs="Times New Roman"/>
          <w:bCs/>
          <w:sz w:val="24"/>
          <w:szCs w:val="24"/>
        </w:rPr>
        <w:t xml:space="preserve"> institucionale të Këshillit dhe të sistemit të prokurorisë, duke standardizuar metodologjinë e mbledhjes dhe analizës së të dhënave statistikore, treguesit e </w:t>
      </w:r>
      <w:proofErr w:type="spellStart"/>
      <w:r w:rsidRPr="00B87418">
        <w:rPr>
          <w:rFonts w:ascii="Garamond" w:eastAsia="Times New Roman" w:hAnsi="Garamond" w:cs="Times New Roman"/>
          <w:bCs/>
          <w:sz w:val="24"/>
          <w:szCs w:val="24"/>
        </w:rPr>
        <w:t>performancës</w:t>
      </w:r>
      <w:proofErr w:type="spellEnd"/>
      <w:r w:rsidRPr="00B87418">
        <w:rPr>
          <w:rFonts w:ascii="Garamond" w:eastAsia="Times New Roman" w:hAnsi="Garamond" w:cs="Times New Roman"/>
          <w:bCs/>
          <w:sz w:val="24"/>
          <w:szCs w:val="24"/>
        </w:rPr>
        <w:t xml:space="preserve"> dhe mekanizmat e raportimit publik dhe parlamentar, në funksion të matjes së rezultateve të vendimmarrjes së Këshillit, monitorimit të zbatimit të rekomandimeve të Bashkimit E</w:t>
      </w:r>
      <w:r w:rsidR="006042FE" w:rsidRPr="00B87418">
        <w:rPr>
          <w:rFonts w:ascii="Garamond" w:eastAsia="Times New Roman" w:hAnsi="Garamond" w:cs="Times New Roman"/>
          <w:bCs/>
          <w:sz w:val="24"/>
          <w:szCs w:val="24"/>
        </w:rPr>
        <w:t>v</w:t>
      </w:r>
      <w:r w:rsidRPr="00B87418">
        <w:rPr>
          <w:rFonts w:ascii="Garamond" w:eastAsia="Times New Roman" w:hAnsi="Garamond" w:cs="Times New Roman"/>
          <w:bCs/>
          <w:sz w:val="24"/>
          <w:szCs w:val="24"/>
        </w:rPr>
        <w:t>ropian dhe forcimit të llogaridhënies institucionale.</w:t>
      </w:r>
    </w:p>
    <w:p w14:paraId="750BFDAE" w14:textId="77777777"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16. Të mbështesë masat për përmirësimin e infrastrukturës dhe forcimin e standardeve të sigurisë në institucionet e sistemit të prokurorisë, si dhe të nxisë miratimin dhe zbatimin e standardeve dhe protokolleve të unifikuara të sigurisë, duke forcuar bashkëpunimin institucional me Kuvendin, Ministrinë e Drejtësisë, Prokurorin e Përgjithshëm dhe institucionet përgjegjëse të ekzekutivit.</w:t>
      </w:r>
    </w:p>
    <w:p w14:paraId="68100541" w14:textId="3E0462A9"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17. Në kuadër të vlerësimit etik dhe profesional të prokurorëve</w:t>
      </w:r>
      <w:r w:rsidR="006042FE" w:rsidRPr="00B87418">
        <w:rPr>
          <w:rFonts w:ascii="Garamond" w:eastAsia="Times New Roman" w:hAnsi="Garamond" w:cs="Times New Roman"/>
          <w:bCs/>
          <w:sz w:val="24"/>
          <w:szCs w:val="24"/>
        </w:rPr>
        <w:t>,</w:t>
      </w:r>
      <w:r w:rsidRPr="00B87418">
        <w:rPr>
          <w:rFonts w:ascii="Garamond" w:eastAsia="Times New Roman" w:hAnsi="Garamond" w:cs="Times New Roman"/>
          <w:bCs/>
          <w:sz w:val="24"/>
          <w:szCs w:val="24"/>
        </w:rPr>
        <w:t xml:space="preserve"> të vlerësojë cilësinë e akteve, arsyetimin dhe respektimin e standardeve të procesit të rregullt dhe të afateve ligjore përkundrejt palëve në proces, në përputhje me jurisprudencën e Gjykatës së Lartë, Gjykatës Kushtetuese dhe </w:t>
      </w:r>
      <w:proofErr w:type="spellStart"/>
      <w:r w:rsidRPr="00B87418">
        <w:rPr>
          <w:rFonts w:ascii="Garamond" w:eastAsia="Times New Roman" w:hAnsi="Garamond" w:cs="Times New Roman"/>
          <w:bCs/>
          <w:sz w:val="24"/>
          <w:szCs w:val="24"/>
        </w:rPr>
        <w:t>G</w:t>
      </w:r>
      <w:r w:rsidR="00FD6767" w:rsidRPr="00B87418">
        <w:rPr>
          <w:rFonts w:ascii="Garamond" w:eastAsia="Times New Roman" w:hAnsi="Garamond" w:cs="Times New Roman"/>
          <w:bCs/>
          <w:sz w:val="24"/>
          <w:szCs w:val="24"/>
        </w:rPr>
        <w:t>J</w:t>
      </w:r>
      <w:r w:rsidRPr="00B87418">
        <w:rPr>
          <w:rFonts w:ascii="Garamond" w:eastAsia="Times New Roman" w:hAnsi="Garamond" w:cs="Times New Roman"/>
          <w:bCs/>
          <w:sz w:val="24"/>
          <w:szCs w:val="24"/>
        </w:rPr>
        <w:t>EDNJ</w:t>
      </w:r>
      <w:proofErr w:type="spellEnd"/>
      <w:r w:rsidRPr="00B87418">
        <w:rPr>
          <w:rFonts w:ascii="Garamond" w:eastAsia="Times New Roman" w:hAnsi="Garamond" w:cs="Times New Roman"/>
          <w:bCs/>
          <w:sz w:val="24"/>
          <w:szCs w:val="24"/>
        </w:rPr>
        <w:t xml:space="preserve">-së. </w:t>
      </w:r>
    </w:p>
    <w:p w14:paraId="49A670FE" w14:textId="77777777"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18. Të zbatojë standarde të njëjta të promovimit të prokurorëve, duke shmangur promovimet në grup, si dhe të përmirësojë dokumentimin e procedurave vendimmarrëse.</w:t>
      </w:r>
    </w:p>
    <w:p w14:paraId="1149AD13" w14:textId="7FF7D90F"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19. Të hartojë dhe publikojë udhëzime interpretuese, duke përfshirë praktika të unifikuara për elementet cilësor</w:t>
      </w:r>
      <w:r w:rsidR="006042FE" w:rsidRPr="00B87418">
        <w:rPr>
          <w:rFonts w:ascii="Garamond" w:eastAsia="Times New Roman" w:hAnsi="Garamond" w:cs="Times New Roman"/>
          <w:bCs/>
          <w:sz w:val="24"/>
          <w:szCs w:val="24"/>
        </w:rPr>
        <w:t>e</w:t>
      </w:r>
      <w:r w:rsidRPr="00B87418">
        <w:rPr>
          <w:rFonts w:ascii="Garamond" w:eastAsia="Times New Roman" w:hAnsi="Garamond" w:cs="Times New Roman"/>
          <w:bCs/>
          <w:sz w:val="24"/>
          <w:szCs w:val="24"/>
        </w:rPr>
        <w:t xml:space="preserve"> të procesit të vlerësimit, me qëllim rritjen e </w:t>
      </w:r>
      <w:proofErr w:type="spellStart"/>
      <w:r w:rsidRPr="00B87418">
        <w:rPr>
          <w:rFonts w:ascii="Garamond" w:eastAsia="Times New Roman" w:hAnsi="Garamond" w:cs="Times New Roman"/>
          <w:bCs/>
          <w:sz w:val="24"/>
          <w:szCs w:val="24"/>
        </w:rPr>
        <w:t>parashikueshmërisë</w:t>
      </w:r>
      <w:proofErr w:type="spellEnd"/>
      <w:r w:rsidRPr="00B87418">
        <w:rPr>
          <w:rFonts w:ascii="Garamond" w:eastAsia="Times New Roman" w:hAnsi="Garamond" w:cs="Times New Roman"/>
          <w:bCs/>
          <w:sz w:val="24"/>
          <w:szCs w:val="24"/>
        </w:rPr>
        <w:t xml:space="preserve">, </w:t>
      </w:r>
      <w:proofErr w:type="spellStart"/>
      <w:r w:rsidRPr="00B87418">
        <w:rPr>
          <w:rFonts w:ascii="Garamond" w:eastAsia="Times New Roman" w:hAnsi="Garamond" w:cs="Times New Roman"/>
          <w:bCs/>
          <w:sz w:val="24"/>
          <w:szCs w:val="24"/>
        </w:rPr>
        <w:t>krahasueshmërisë</w:t>
      </w:r>
      <w:proofErr w:type="spellEnd"/>
      <w:r w:rsidRPr="00B87418">
        <w:rPr>
          <w:rFonts w:ascii="Garamond" w:eastAsia="Times New Roman" w:hAnsi="Garamond" w:cs="Times New Roman"/>
          <w:bCs/>
          <w:sz w:val="24"/>
          <w:szCs w:val="24"/>
        </w:rPr>
        <w:t xml:space="preserve">, koherencës dhe </w:t>
      </w:r>
      <w:proofErr w:type="spellStart"/>
      <w:r w:rsidRPr="00B87418">
        <w:rPr>
          <w:rFonts w:ascii="Garamond" w:eastAsia="Times New Roman" w:hAnsi="Garamond" w:cs="Times New Roman"/>
          <w:bCs/>
          <w:sz w:val="24"/>
          <w:szCs w:val="24"/>
        </w:rPr>
        <w:t>gjurmueshmërisë</w:t>
      </w:r>
      <w:proofErr w:type="spellEnd"/>
      <w:r w:rsidRPr="00B87418">
        <w:rPr>
          <w:rFonts w:ascii="Garamond" w:eastAsia="Times New Roman" w:hAnsi="Garamond" w:cs="Times New Roman"/>
          <w:bCs/>
          <w:sz w:val="24"/>
          <w:szCs w:val="24"/>
        </w:rPr>
        <w:t xml:space="preserve"> së arsyetimit të </w:t>
      </w:r>
      <w:r w:rsidR="00B87418">
        <w:rPr>
          <w:rFonts w:ascii="Garamond" w:eastAsia="Times New Roman" w:hAnsi="Garamond" w:cs="Times New Roman"/>
          <w:bCs/>
          <w:sz w:val="24"/>
          <w:szCs w:val="24"/>
        </w:rPr>
        <w:t>vendimmarrjes.</w:t>
      </w:r>
    </w:p>
    <w:p w14:paraId="52815B7D" w14:textId="77777777"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 xml:space="preserve">20. Të arsyetojë në mënyrë të plotë vendimet lidhur me procedurat e emërimit, ngritjes në detyrë, transferimit dhe komandimit të prokurorëve, si dhe të mundësojë </w:t>
      </w:r>
      <w:proofErr w:type="spellStart"/>
      <w:r w:rsidRPr="00B87418">
        <w:rPr>
          <w:rFonts w:ascii="Garamond" w:eastAsia="Times New Roman" w:hAnsi="Garamond" w:cs="Times New Roman"/>
          <w:bCs/>
          <w:sz w:val="24"/>
          <w:szCs w:val="24"/>
        </w:rPr>
        <w:t>aksesin</w:t>
      </w:r>
      <w:proofErr w:type="spellEnd"/>
      <w:r w:rsidRPr="00B87418">
        <w:rPr>
          <w:rFonts w:ascii="Garamond" w:eastAsia="Times New Roman" w:hAnsi="Garamond" w:cs="Times New Roman"/>
          <w:bCs/>
          <w:sz w:val="24"/>
          <w:szCs w:val="24"/>
        </w:rPr>
        <w:t xml:space="preserve"> në kohë të publikut në to.</w:t>
      </w:r>
    </w:p>
    <w:p w14:paraId="479F9CFB" w14:textId="654936D5"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 xml:space="preserve">21. Të analizojë ankesat dhe procedimet disiplinore të papërfunduara ndaj prokurorëve, duke identifikuar shkaqet e vonesave dhe duke miratuar masa konkrete për reduktimin e tyre brenda </w:t>
      </w:r>
      <w:r w:rsidR="006042FE" w:rsidRPr="00B87418">
        <w:rPr>
          <w:rFonts w:ascii="Garamond" w:eastAsia="Times New Roman" w:hAnsi="Garamond" w:cs="Times New Roman"/>
          <w:bCs/>
          <w:sz w:val="24"/>
          <w:szCs w:val="24"/>
        </w:rPr>
        <w:t xml:space="preserve">muajit </w:t>
      </w:r>
      <w:r w:rsidRPr="00B87418">
        <w:rPr>
          <w:rFonts w:ascii="Garamond" w:eastAsia="Times New Roman" w:hAnsi="Garamond" w:cs="Times New Roman"/>
          <w:bCs/>
          <w:sz w:val="24"/>
          <w:szCs w:val="24"/>
        </w:rPr>
        <w:t>dhjetor</w:t>
      </w:r>
      <w:r w:rsidR="006042FE" w:rsidRPr="00B87418">
        <w:rPr>
          <w:rFonts w:ascii="Garamond" w:eastAsia="Times New Roman" w:hAnsi="Garamond" w:cs="Times New Roman"/>
          <w:bCs/>
          <w:sz w:val="24"/>
          <w:szCs w:val="24"/>
        </w:rPr>
        <w:t xml:space="preserve"> të vitit </w:t>
      </w:r>
      <w:r w:rsidR="00B87418">
        <w:rPr>
          <w:rFonts w:ascii="Garamond" w:eastAsia="Times New Roman" w:hAnsi="Garamond" w:cs="Times New Roman"/>
          <w:bCs/>
          <w:sz w:val="24"/>
          <w:szCs w:val="24"/>
        </w:rPr>
        <w:t>2026.</w:t>
      </w:r>
    </w:p>
    <w:p w14:paraId="51562977" w14:textId="77777777"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lastRenderedPageBreak/>
        <w:t>22. Në bashkëpunim me institucionet përgjegjëse, të konsolidojë llogaridhënien dhe integritetin e prokurorëve nëpërmjet verifikimit të plotë dhe sistematik të deklarimeve pasurore, në përputhje me standardet e vendosura nga procesi i rivlerësimit kalimtar.</w:t>
      </w:r>
    </w:p>
    <w:p w14:paraId="7181A3BA" w14:textId="6B897EF1"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 xml:space="preserve">23. Të mbështesë Prokurorin e Përgjithshëm në përmirësimin dhe zbatimin e masave për të siguruar zbatimin efektiv të rregullave të shpërndarjes rastësore të çështjeve në prokurori, për realizimin e automatizimit të plotë, </w:t>
      </w:r>
      <w:proofErr w:type="spellStart"/>
      <w:r w:rsidRPr="00B87418">
        <w:rPr>
          <w:rFonts w:ascii="Garamond" w:eastAsia="Times New Roman" w:hAnsi="Garamond" w:cs="Times New Roman"/>
          <w:bCs/>
          <w:sz w:val="24"/>
          <w:szCs w:val="24"/>
        </w:rPr>
        <w:t>gjurmueshmërisë</w:t>
      </w:r>
      <w:proofErr w:type="spellEnd"/>
      <w:r w:rsidRPr="00B87418">
        <w:rPr>
          <w:rFonts w:ascii="Garamond" w:eastAsia="Times New Roman" w:hAnsi="Garamond" w:cs="Times New Roman"/>
          <w:bCs/>
          <w:sz w:val="24"/>
          <w:szCs w:val="24"/>
        </w:rPr>
        <w:t xml:space="preserve"> dhe mekanizmat e </w:t>
      </w:r>
      <w:proofErr w:type="spellStart"/>
      <w:r w:rsidRPr="00B87418">
        <w:rPr>
          <w:rFonts w:ascii="Garamond" w:eastAsia="Times New Roman" w:hAnsi="Garamond" w:cs="Times New Roman"/>
          <w:bCs/>
          <w:sz w:val="24"/>
          <w:szCs w:val="24"/>
        </w:rPr>
        <w:t>auditimit</w:t>
      </w:r>
      <w:proofErr w:type="spellEnd"/>
      <w:r w:rsidRPr="00B87418">
        <w:rPr>
          <w:rFonts w:ascii="Garamond" w:eastAsia="Times New Roman" w:hAnsi="Garamond" w:cs="Times New Roman"/>
          <w:bCs/>
          <w:sz w:val="24"/>
          <w:szCs w:val="24"/>
        </w:rPr>
        <w:t xml:space="preserve"> të procesit, për të garantuar integritetin dhe paanësinë e këtij procesi.</w:t>
      </w:r>
    </w:p>
    <w:p w14:paraId="15730D2F" w14:textId="3404B9D7"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24. Në bashkëpunim me Prokurorinë e Posaçme kundër Korrupsionit dhe Krimit të Organizuar, të analizojë</w:t>
      </w:r>
      <w:r w:rsidR="00B87418">
        <w:rPr>
          <w:rFonts w:ascii="Garamond" w:eastAsia="Times New Roman" w:hAnsi="Garamond" w:cs="Times New Roman"/>
          <w:bCs/>
          <w:sz w:val="24"/>
          <w:szCs w:val="24"/>
        </w:rPr>
        <w:t>,</w:t>
      </w:r>
      <w:r w:rsidRPr="00B87418">
        <w:rPr>
          <w:rFonts w:ascii="Garamond" w:eastAsia="Times New Roman" w:hAnsi="Garamond" w:cs="Times New Roman"/>
          <w:bCs/>
          <w:sz w:val="24"/>
          <w:szCs w:val="24"/>
        </w:rPr>
        <w:t xml:space="preserve"> në përputhje me rekomandimin e BE-së</w:t>
      </w:r>
      <w:r w:rsidR="00B87418">
        <w:rPr>
          <w:rFonts w:ascii="Garamond" w:eastAsia="Times New Roman" w:hAnsi="Garamond" w:cs="Times New Roman"/>
          <w:bCs/>
          <w:sz w:val="24"/>
          <w:szCs w:val="24"/>
        </w:rPr>
        <w:t>,</w:t>
      </w:r>
      <w:r w:rsidRPr="00B87418">
        <w:rPr>
          <w:rFonts w:ascii="Garamond" w:eastAsia="Times New Roman" w:hAnsi="Garamond" w:cs="Times New Roman"/>
          <w:bCs/>
          <w:sz w:val="24"/>
          <w:szCs w:val="24"/>
        </w:rPr>
        <w:t xml:space="preserve"> nevojën për rishikim të rregullave dhe procedurave lidhur me procesin e emërimit të </w:t>
      </w:r>
      <w:r w:rsidR="00B87418">
        <w:rPr>
          <w:rFonts w:ascii="Garamond" w:eastAsia="Times New Roman" w:hAnsi="Garamond" w:cs="Times New Roman"/>
          <w:bCs/>
          <w:sz w:val="24"/>
          <w:szCs w:val="24"/>
        </w:rPr>
        <w:t>d</w:t>
      </w:r>
      <w:r w:rsidRPr="00B87418">
        <w:rPr>
          <w:rFonts w:ascii="Garamond" w:eastAsia="Times New Roman" w:hAnsi="Garamond" w:cs="Times New Roman"/>
          <w:bCs/>
          <w:sz w:val="24"/>
          <w:szCs w:val="24"/>
        </w:rPr>
        <w:t>rejtorit të Byrosë Kombëtare të Hetimit, për të qartësuar dhe garantuar procese të hapura, konkurruese dhe pa vonesa.</w:t>
      </w:r>
    </w:p>
    <w:p w14:paraId="79CD8C3A" w14:textId="129F9C98"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 xml:space="preserve">25. Të forcojë bashkëpunimin me Shkollën e Magjistraturës dhe Prokurorin e Përgjithshëm për përmirësimin e </w:t>
      </w:r>
      <w:proofErr w:type="spellStart"/>
      <w:r w:rsidRPr="00B87418">
        <w:rPr>
          <w:rFonts w:ascii="Garamond" w:eastAsia="Times New Roman" w:hAnsi="Garamond" w:cs="Times New Roman"/>
          <w:bCs/>
          <w:sz w:val="24"/>
          <w:szCs w:val="24"/>
        </w:rPr>
        <w:t>kurrikulës</w:t>
      </w:r>
      <w:proofErr w:type="spellEnd"/>
      <w:r w:rsidRPr="00B87418">
        <w:rPr>
          <w:rFonts w:ascii="Garamond" w:eastAsia="Times New Roman" w:hAnsi="Garamond" w:cs="Times New Roman"/>
          <w:bCs/>
          <w:sz w:val="24"/>
          <w:szCs w:val="24"/>
        </w:rPr>
        <w:t xml:space="preserve"> së formimit fillestar dhe vazhdues të prokurorëve, duke realizuar një analizë të nevojave specifike të sistemit të prokurorisë, me fokus në hetimet financiare, krimin </w:t>
      </w:r>
      <w:proofErr w:type="spellStart"/>
      <w:r w:rsidRPr="00B87418">
        <w:rPr>
          <w:rFonts w:ascii="Garamond" w:eastAsia="Times New Roman" w:hAnsi="Garamond" w:cs="Times New Roman"/>
          <w:bCs/>
          <w:sz w:val="24"/>
          <w:szCs w:val="24"/>
        </w:rPr>
        <w:t>kibernetik</w:t>
      </w:r>
      <w:proofErr w:type="spellEnd"/>
      <w:r w:rsidRPr="00B87418">
        <w:rPr>
          <w:rFonts w:ascii="Garamond" w:eastAsia="Times New Roman" w:hAnsi="Garamond" w:cs="Times New Roman"/>
          <w:bCs/>
          <w:sz w:val="24"/>
          <w:szCs w:val="24"/>
        </w:rPr>
        <w:t>, standardet e procesit të rregullt, etikën, komunikimin pub</w:t>
      </w:r>
      <w:r w:rsidR="00B87418">
        <w:rPr>
          <w:rFonts w:ascii="Garamond" w:eastAsia="Times New Roman" w:hAnsi="Garamond" w:cs="Times New Roman"/>
          <w:bCs/>
          <w:sz w:val="24"/>
          <w:szCs w:val="24"/>
        </w:rPr>
        <w:t>lik dhe menaxhimin e çështjeve.</w:t>
      </w:r>
    </w:p>
    <w:p w14:paraId="5D898A33" w14:textId="45260E8F"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26.</w:t>
      </w:r>
      <w:r w:rsidR="006D3861" w:rsidRPr="00B87418">
        <w:rPr>
          <w:rFonts w:ascii="Garamond" w:eastAsia="Times New Roman" w:hAnsi="Garamond" w:cs="Times New Roman"/>
          <w:bCs/>
          <w:sz w:val="24"/>
          <w:szCs w:val="24"/>
        </w:rPr>
        <w:t xml:space="preserve"> </w:t>
      </w:r>
      <w:r w:rsidRPr="00B87418">
        <w:rPr>
          <w:rFonts w:ascii="Garamond" w:eastAsia="Times New Roman" w:hAnsi="Garamond" w:cs="Times New Roman"/>
          <w:bCs/>
          <w:sz w:val="24"/>
          <w:szCs w:val="24"/>
        </w:rPr>
        <w:t xml:space="preserve">Të bashkëpunojë me Prokurorin e Përgjithshëm për hartimin e metodologjisë dhe planit konkret të veprimit për reduktimin e çështjeve të prapambetura në të gjitha nivelet e sistemit të prokurorisë brenda </w:t>
      </w:r>
      <w:r w:rsidR="006D3861" w:rsidRPr="00B87418">
        <w:rPr>
          <w:rFonts w:ascii="Garamond" w:eastAsia="Times New Roman" w:hAnsi="Garamond" w:cs="Times New Roman"/>
          <w:bCs/>
          <w:sz w:val="24"/>
          <w:szCs w:val="24"/>
        </w:rPr>
        <w:t>3-</w:t>
      </w:r>
      <w:r w:rsidRPr="00B87418">
        <w:rPr>
          <w:rFonts w:ascii="Garamond" w:eastAsia="Times New Roman" w:hAnsi="Garamond" w:cs="Times New Roman"/>
          <w:bCs/>
          <w:sz w:val="24"/>
          <w:szCs w:val="24"/>
        </w:rPr>
        <w:t>mujorit të katërt</w:t>
      </w:r>
      <w:r w:rsidR="000E1AB1" w:rsidRPr="00B87418">
        <w:rPr>
          <w:rFonts w:ascii="Garamond" w:eastAsia="Times New Roman" w:hAnsi="Garamond" w:cs="Times New Roman"/>
          <w:bCs/>
          <w:sz w:val="24"/>
          <w:szCs w:val="24"/>
        </w:rPr>
        <w:t xml:space="preserve"> të vitit 2026.</w:t>
      </w:r>
    </w:p>
    <w:p w14:paraId="0087AD8F" w14:textId="70F6455B"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 xml:space="preserve">27. Të nxisë prokuroritë përmes mekanizmave të Këshillit që të rrisin transparencën dhe komunikimin me publikun dhe viktimat e veprave penale, duke garantuar informimin e qartë dhe në kohë të qytetarëve </w:t>
      </w:r>
      <w:r w:rsidR="00413EA5" w:rsidRPr="00B87418">
        <w:rPr>
          <w:rFonts w:ascii="Garamond" w:eastAsia="Times New Roman" w:hAnsi="Garamond" w:cs="Times New Roman"/>
          <w:bCs/>
          <w:sz w:val="24"/>
          <w:szCs w:val="24"/>
        </w:rPr>
        <w:t>për</w:t>
      </w:r>
      <w:r w:rsidRPr="00B87418">
        <w:rPr>
          <w:rFonts w:ascii="Garamond" w:eastAsia="Times New Roman" w:hAnsi="Garamond" w:cs="Times New Roman"/>
          <w:bCs/>
          <w:sz w:val="24"/>
          <w:szCs w:val="24"/>
        </w:rPr>
        <w:t xml:space="preserve"> statusin e çështjeve, në përputhje me rregullat e ruajtjes së sekretit hetimor, mbrojtjen e të dhënave personale dhe me të drejtat e palëve në proces.</w:t>
      </w:r>
    </w:p>
    <w:p w14:paraId="7019F10E" w14:textId="20939EA6"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 xml:space="preserve">28. Në konsideratë të përfundimit të mandatit të Prokurorit të </w:t>
      </w:r>
      <w:r w:rsidR="00A03125" w:rsidRPr="00B87418">
        <w:rPr>
          <w:rFonts w:ascii="Garamond" w:eastAsia="Times New Roman" w:hAnsi="Garamond" w:cs="Times New Roman"/>
          <w:bCs/>
          <w:sz w:val="24"/>
          <w:szCs w:val="24"/>
        </w:rPr>
        <w:t>Përgjithshëm</w:t>
      </w:r>
      <w:r w:rsidRPr="00B87418">
        <w:rPr>
          <w:rFonts w:ascii="Garamond" w:eastAsia="Times New Roman" w:hAnsi="Garamond" w:cs="Times New Roman"/>
          <w:bCs/>
          <w:sz w:val="24"/>
          <w:szCs w:val="24"/>
        </w:rPr>
        <w:t xml:space="preserve"> në detyrë në </w:t>
      </w:r>
      <w:r w:rsidR="00A03125" w:rsidRPr="00B87418">
        <w:rPr>
          <w:rFonts w:ascii="Garamond" w:eastAsia="Times New Roman" w:hAnsi="Garamond" w:cs="Times New Roman"/>
          <w:bCs/>
          <w:sz w:val="24"/>
          <w:szCs w:val="24"/>
        </w:rPr>
        <w:t>mua</w:t>
      </w:r>
      <w:r w:rsidR="00876AC9" w:rsidRPr="00B87418">
        <w:rPr>
          <w:rFonts w:ascii="Garamond" w:eastAsia="Times New Roman" w:hAnsi="Garamond" w:cs="Times New Roman"/>
          <w:bCs/>
          <w:sz w:val="24"/>
          <w:szCs w:val="24"/>
        </w:rPr>
        <w:t xml:space="preserve">jin </w:t>
      </w:r>
      <w:r w:rsidRPr="00B87418">
        <w:rPr>
          <w:rFonts w:ascii="Garamond" w:eastAsia="Times New Roman" w:hAnsi="Garamond" w:cs="Times New Roman"/>
          <w:bCs/>
          <w:sz w:val="24"/>
          <w:szCs w:val="24"/>
        </w:rPr>
        <w:t xml:space="preserve">dhjetor </w:t>
      </w:r>
      <w:r w:rsidR="00876AC9" w:rsidRPr="00B87418">
        <w:rPr>
          <w:rFonts w:ascii="Garamond" w:eastAsia="Times New Roman" w:hAnsi="Garamond" w:cs="Times New Roman"/>
          <w:bCs/>
          <w:sz w:val="24"/>
          <w:szCs w:val="24"/>
        </w:rPr>
        <w:t xml:space="preserve">të vitit </w:t>
      </w:r>
      <w:r w:rsidRPr="00B87418">
        <w:rPr>
          <w:rFonts w:ascii="Garamond" w:eastAsia="Times New Roman" w:hAnsi="Garamond" w:cs="Times New Roman"/>
          <w:bCs/>
          <w:sz w:val="24"/>
          <w:szCs w:val="24"/>
        </w:rPr>
        <w:t>2026, të garantojë standarde vlerësimi dhe përzgjedhjeje të kandidatëve me integritetin më të lartë, duke shmangur çdolloj ndikimi në këtë proces me rëndësi për ruajtjen e pavarësisë dhe paanësisë së funksionimit të zyrës së Prokurorit të Përgjithshëm dhe të prokurorive të j</w:t>
      </w:r>
      <w:r w:rsidR="00B87418">
        <w:rPr>
          <w:rFonts w:ascii="Garamond" w:eastAsia="Times New Roman" w:hAnsi="Garamond" w:cs="Times New Roman"/>
          <w:bCs/>
          <w:sz w:val="24"/>
          <w:szCs w:val="24"/>
        </w:rPr>
        <w:t>uridiksionit të përgjithshëm.</w:t>
      </w:r>
      <w:bookmarkStart w:id="0" w:name="_GoBack"/>
      <w:bookmarkEnd w:id="0"/>
    </w:p>
    <w:p w14:paraId="2E41A970" w14:textId="167D5B45"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29. Të forcojë funksionin parandalues dhe orientues</w:t>
      </w:r>
      <w:r w:rsidR="00B87418">
        <w:rPr>
          <w:rFonts w:ascii="Garamond" w:eastAsia="Times New Roman" w:hAnsi="Garamond" w:cs="Times New Roman"/>
          <w:bCs/>
          <w:sz w:val="24"/>
          <w:szCs w:val="24"/>
        </w:rPr>
        <w:t>,</w:t>
      </w:r>
      <w:r w:rsidRPr="00B87418">
        <w:rPr>
          <w:rFonts w:ascii="Garamond" w:eastAsia="Times New Roman" w:hAnsi="Garamond" w:cs="Times New Roman"/>
          <w:bCs/>
          <w:sz w:val="24"/>
          <w:szCs w:val="24"/>
        </w:rPr>
        <w:t xml:space="preserve"> lidhur me çështje të etikës profesionale nëpërmjet një sistemi periodik dhe të </w:t>
      </w:r>
      <w:proofErr w:type="spellStart"/>
      <w:r w:rsidRPr="00B87418">
        <w:rPr>
          <w:rFonts w:ascii="Garamond" w:eastAsia="Times New Roman" w:hAnsi="Garamond" w:cs="Times New Roman"/>
          <w:bCs/>
          <w:sz w:val="24"/>
          <w:szCs w:val="24"/>
        </w:rPr>
        <w:t>anonimizuar</w:t>
      </w:r>
      <w:proofErr w:type="spellEnd"/>
      <w:r w:rsidRPr="00B87418">
        <w:rPr>
          <w:rFonts w:ascii="Garamond" w:eastAsia="Times New Roman" w:hAnsi="Garamond" w:cs="Times New Roman"/>
          <w:bCs/>
          <w:sz w:val="24"/>
          <w:szCs w:val="24"/>
        </w:rPr>
        <w:t xml:space="preserve"> raportimi të Këshilltarit të Etikës </w:t>
      </w:r>
      <w:r w:rsidR="00035566" w:rsidRPr="00B87418">
        <w:rPr>
          <w:rFonts w:ascii="Garamond" w:eastAsia="Times New Roman" w:hAnsi="Garamond" w:cs="Times New Roman"/>
          <w:bCs/>
          <w:sz w:val="24"/>
          <w:szCs w:val="24"/>
        </w:rPr>
        <w:t>për</w:t>
      </w:r>
      <w:r w:rsidRPr="00B87418">
        <w:rPr>
          <w:rFonts w:ascii="Garamond" w:eastAsia="Times New Roman" w:hAnsi="Garamond" w:cs="Times New Roman"/>
          <w:bCs/>
          <w:sz w:val="24"/>
          <w:szCs w:val="24"/>
        </w:rPr>
        <w:t xml:space="preserve"> çështjet etike të përsëritura, këshillimet e ofruara, zbatimin e mekanizmave të konfliktit të interesit, masat parandaluese dhe nevojat për trajnim, duke garantuar në çdo rast </w:t>
      </w:r>
      <w:proofErr w:type="spellStart"/>
      <w:r w:rsidRPr="00B87418">
        <w:rPr>
          <w:rFonts w:ascii="Garamond" w:eastAsia="Times New Roman" w:hAnsi="Garamond" w:cs="Times New Roman"/>
          <w:bCs/>
          <w:sz w:val="24"/>
          <w:szCs w:val="24"/>
        </w:rPr>
        <w:t>konf</w:t>
      </w:r>
      <w:r w:rsidR="00B87418">
        <w:rPr>
          <w:rFonts w:ascii="Garamond" w:eastAsia="Times New Roman" w:hAnsi="Garamond" w:cs="Times New Roman"/>
          <w:bCs/>
          <w:sz w:val="24"/>
          <w:szCs w:val="24"/>
        </w:rPr>
        <w:t>idencialitetin</w:t>
      </w:r>
      <w:proofErr w:type="spellEnd"/>
      <w:r w:rsidR="00B87418">
        <w:rPr>
          <w:rFonts w:ascii="Garamond" w:eastAsia="Times New Roman" w:hAnsi="Garamond" w:cs="Times New Roman"/>
          <w:bCs/>
          <w:sz w:val="24"/>
          <w:szCs w:val="24"/>
        </w:rPr>
        <w:t xml:space="preserve"> e informacionit.</w:t>
      </w:r>
    </w:p>
    <w:p w14:paraId="280DFCBD" w14:textId="573B61B5" w:rsidR="008D2459"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 xml:space="preserve">30. Të bashkëpunojë me strukturat përgjegjëse të Kuvendit të Shqipërisë për shkëmbimin e informacionit për zhvillimin dhe konsolidimin e metodologjisë së standardizuar të treguesve kyç të </w:t>
      </w:r>
      <w:proofErr w:type="spellStart"/>
      <w:r w:rsidRPr="00B87418">
        <w:rPr>
          <w:rFonts w:ascii="Garamond" w:eastAsia="Times New Roman" w:hAnsi="Garamond" w:cs="Times New Roman"/>
          <w:bCs/>
          <w:sz w:val="24"/>
          <w:szCs w:val="24"/>
        </w:rPr>
        <w:t>performancës</w:t>
      </w:r>
      <w:proofErr w:type="spellEnd"/>
      <w:r w:rsidRPr="00B87418">
        <w:rPr>
          <w:rFonts w:ascii="Garamond" w:eastAsia="Times New Roman" w:hAnsi="Garamond" w:cs="Times New Roman"/>
          <w:bCs/>
          <w:sz w:val="24"/>
          <w:szCs w:val="24"/>
        </w:rPr>
        <w:t xml:space="preserve">, si bazë për monitorimin dhe vlerësimin e zbatimit të rekomandimeve të rezolutës, në funksion të forcimit të llogaridhënies dhe mbikëqyrjes parlamentare, brenda </w:t>
      </w:r>
      <w:r w:rsidR="00035566" w:rsidRPr="00B87418">
        <w:rPr>
          <w:rFonts w:ascii="Garamond" w:eastAsia="Times New Roman" w:hAnsi="Garamond" w:cs="Times New Roman"/>
          <w:bCs/>
          <w:sz w:val="24"/>
          <w:szCs w:val="24"/>
        </w:rPr>
        <w:t>3-</w:t>
      </w:r>
      <w:r w:rsidRPr="00B87418">
        <w:rPr>
          <w:rFonts w:ascii="Garamond" w:eastAsia="Times New Roman" w:hAnsi="Garamond" w:cs="Times New Roman"/>
          <w:bCs/>
          <w:sz w:val="24"/>
          <w:szCs w:val="24"/>
        </w:rPr>
        <w:t xml:space="preserve">mujorit </w:t>
      </w:r>
      <w:r w:rsidR="00B87418">
        <w:rPr>
          <w:rFonts w:ascii="Garamond" w:eastAsia="Times New Roman" w:hAnsi="Garamond" w:cs="Times New Roman"/>
          <w:bCs/>
          <w:sz w:val="24"/>
          <w:szCs w:val="24"/>
        </w:rPr>
        <w:t>të tretë të vitit 2026.</w:t>
      </w:r>
    </w:p>
    <w:p w14:paraId="18089A2B" w14:textId="443DE0A7" w:rsidR="0042060E" w:rsidRPr="00B87418" w:rsidRDefault="008D2459" w:rsidP="000B5A09">
      <w:pPr>
        <w:spacing w:after="0" w:line="240" w:lineRule="auto"/>
        <w:ind w:firstLine="284"/>
        <w:jc w:val="both"/>
        <w:rPr>
          <w:rFonts w:ascii="Garamond" w:eastAsia="Times New Roman" w:hAnsi="Garamond" w:cs="Times New Roman"/>
          <w:bCs/>
          <w:sz w:val="24"/>
          <w:szCs w:val="24"/>
        </w:rPr>
      </w:pPr>
      <w:r w:rsidRPr="00B87418">
        <w:rPr>
          <w:rFonts w:ascii="Garamond" w:eastAsia="Times New Roman" w:hAnsi="Garamond" w:cs="Times New Roman"/>
          <w:bCs/>
          <w:sz w:val="24"/>
          <w:szCs w:val="24"/>
        </w:rPr>
        <w:t>31. Brenda 30 ditë</w:t>
      </w:r>
      <w:r w:rsidR="000375E8" w:rsidRPr="00B87418">
        <w:rPr>
          <w:rFonts w:ascii="Garamond" w:eastAsia="Times New Roman" w:hAnsi="Garamond" w:cs="Times New Roman"/>
          <w:bCs/>
          <w:sz w:val="24"/>
          <w:szCs w:val="24"/>
        </w:rPr>
        <w:t>ve</w:t>
      </w:r>
      <w:r w:rsidRPr="00B87418">
        <w:rPr>
          <w:rFonts w:ascii="Garamond" w:eastAsia="Times New Roman" w:hAnsi="Garamond" w:cs="Times New Roman"/>
          <w:bCs/>
          <w:sz w:val="24"/>
          <w:szCs w:val="24"/>
        </w:rPr>
        <w:t xml:space="preserve"> nga miratimi i rezolutës të hartojë dhe publikojë një plan veprimi për zbatimin e rekomandimeve, i cili të përcaktojë masat konkrete, afatet e realizimit, strukturat përgjegjëse, treguesit bazë dhe objektivat e synuar, si dhe të raportojë periodikisht </w:t>
      </w:r>
      <w:r w:rsidR="00421644" w:rsidRPr="00B87418">
        <w:rPr>
          <w:rFonts w:ascii="Garamond" w:eastAsia="Times New Roman" w:hAnsi="Garamond" w:cs="Times New Roman"/>
          <w:bCs/>
          <w:sz w:val="24"/>
          <w:szCs w:val="24"/>
        </w:rPr>
        <w:t>për</w:t>
      </w:r>
      <w:r w:rsidRPr="00B87418">
        <w:rPr>
          <w:rFonts w:ascii="Garamond" w:eastAsia="Times New Roman" w:hAnsi="Garamond" w:cs="Times New Roman"/>
          <w:bCs/>
          <w:sz w:val="24"/>
          <w:szCs w:val="24"/>
        </w:rPr>
        <w:t xml:space="preserve"> nivelin e përmbushjes së tyre.</w:t>
      </w:r>
    </w:p>
    <w:p w14:paraId="6B5CB90E" w14:textId="2C202670" w:rsidR="0042060E" w:rsidRPr="00B87418" w:rsidRDefault="0042060E" w:rsidP="000B5A09">
      <w:pPr>
        <w:spacing w:after="0" w:line="240" w:lineRule="auto"/>
        <w:ind w:firstLine="284"/>
        <w:jc w:val="both"/>
        <w:rPr>
          <w:rFonts w:ascii="Garamond" w:eastAsia="Times New Roman" w:hAnsi="Garamond" w:cs="Times New Roman"/>
          <w:b/>
          <w:sz w:val="24"/>
          <w:szCs w:val="24"/>
        </w:rPr>
      </w:pPr>
    </w:p>
    <w:p w14:paraId="221649EC" w14:textId="79D0AD82" w:rsidR="00EB62DE" w:rsidRPr="00B87418" w:rsidRDefault="00A755F6" w:rsidP="000B5A09">
      <w:pPr>
        <w:spacing w:after="0" w:line="240" w:lineRule="auto"/>
        <w:ind w:firstLine="284"/>
        <w:jc w:val="both"/>
        <w:rPr>
          <w:rFonts w:ascii="Garamond" w:hAnsi="Garamond" w:cs="Times New Roman"/>
          <w:sz w:val="24"/>
          <w:szCs w:val="24"/>
        </w:rPr>
      </w:pPr>
      <w:r w:rsidRPr="00B87418">
        <w:rPr>
          <w:rFonts w:ascii="Garamond" w:hAnsi="Garamond" w:cs="Times New Roman"/>
          <w:sz w:val="24"/>
          <w:szCs w:val="24"/>
        </w:rPr>
        <w:t xml:space="preserve">Miratuar në datën </w:t>
      </w:r>
      <w:r w:rsidR="005D7015" w:rsidRPr="00B87418">
        <w:rPr>
          <w:rFonts w:ascii="Garamond" w:hAnsi="Garamond" w:cs="Times New Roman"/>
          <w:sz w:val="24"/>
          <w:szCs w:val="24"/>
        </w:rPr>
        <w:t>23.7.</w:t>
      </w:r>
      <w:r w:rsidR="003C57D3" w:rsidRPr="00B87418">
        <w:rPr>
          <w:rFonts w:ascii="Garamond" w:hAnsi="Garamond" w:cs="Times New Roman"/>
          <w:sz w:val="24"/>
          <w:szCs w:val="24"/>
        </w:rPr>
        <w:t>202</w:t>
      </w:r>
      <w:r w:rsidR="00275863" w:rsidRPr="00B87418">
        <w:rPr>
          <w:rFonts w:ascii="Garamond" w:hAnsi="Garamond" w:cs="Times New Roman"/>
          <w:sz w:val="24"/>
          <w:szCs w:val="24"/>
        </w:rPr>
        <w:t>6</w:t>
      </w:r>
      <w:r w:rsidR="00B87418">
        <w:rPr>
          <w:rFonts w:ascii="Garamond" w:hAnsi="Garamond" w:cs="Times New Roman"/>
          <w:sz w:val="24"/>
          <w:szCs w:val="24"/>
        </w:rPr>
        <w:t>.</w:t>
      </w:r>
    </w:p>
    <w:p w14:paraId="5332925A" w14:textId="77777777" w:rsidR="00206ED9" w:rsidRPr="00B87418" w:rsidRDefault="00206ED9" w:rsidP="000B5A09">
      <w:pPr>
        <w:spacing w:after="0" w:line="240" w:lineRule="auto"/>
        <w:ind w:firstLine="284"/>
        <w:jc w:val="both"/>
        <w:rPr>
          <w:rFonts w:ascii="Garamond" w:eastAsia="Times New Roman" w:hAnsi="Garamond" w:cs="Times New Roman"/>
          <w:sz w:val="24"/>
          <w:szCs w:val="24"/>
        </w:rPr>
      </w:pPr>
    </w:p>
    <w:p w14:paraId="3C0BC5C4" w14:textId="77777777" w:rsidR="000B5A09" w:rsidRPr="00B87418" w:rsidRDefault="000B5A09" w:rsidP="000B5A09">
      <w:pPr>
        <w:spacing w:after="0" w:line="240" w:lineRule="auto"/>
        <w:ind w:left="6920"/>
        <w:jc w:val="right"/>
        <w:rPr>
          <w:rFonts w:ascii="Garamond" w:hAnsi="Garamond" w:cs="Times New Roman"/>
          <w:bCs/>
          <w:color w:val="000000" w:themeColor="text1"/>
          <w:sz w:val="24"/>
          <w:szCs w:val="24"/>
        </w:rPr>
      </w:pPr>
      <w:r w:rsidRPr="00B87418">
        <w:rPr>
          <w:rFonts w:ascii="Garamond" w:hAnsi="Garamond" w:cs="Times New Roman"/>
          <w:bCs/>
          <w:color w:val="000000" w:themeColor="text1"/>
          <w:sz w:val="24"/>
          <w:szCs w:val="24"/>
        </w:rPr>
        <w:t xml:space="preserve">KRYETAR </w:t>
      </w:r>
    </w:p>
    <w:p w14:paraId="2AAED343" w14:textId="77777777" w:rsidR="000B5A09" w:rsidRPr="00B87418" w:rsidRDefault="000B5A09" w:rsidP="000B5A09">
      <w:pPr>
        <w:spacing w:after="0" w:line="240" w:lineRule="auto"/>
        <w:jc w:val="right"/>
        <w:rPr>
          <w:rFonts w:ascii="Garamond" w:hAnsi="Garamond" w:cs="Times New Roman"/>
          <w:b/>
          <w:bCs/>
          <w:color w:val="000000" w:themeColor="text1"/>
          <w:sz w:val="24"/>
          <w:szCs w:val="24"/>
        </w:rPr>
      </w:pPr>
      <w:proofErr w:type="spellStart"/>
      <w:r w:rsidRPr="00B87418">
        <w:rPr>
          <w:rFonts w:ascii="Garamond" w:hAnsi="Garamond" w:cs="Times New Roman"/>
          <w:b/>
          <w:bCs/>
          <w:color w:val="000000" w:themeColor="text1"/>
          <w:sz w:val="24"/>
          <w:szCs w:val="24"/>
        </w:rPr>
        <w:t>Niko</w:t>
      </w:r>
      <w:proofErr w:type="spellEnd"/>
      <w:r w:rsidRPr="00B87418">
        <w:rPr>
          <w:rFonts w:ascii="Garamond" w:hAnsi="Garamond" w:cs="Times New Roman"/>
          <w:b/>
          <w:bCs/>
          <w:color w:val="000000" w:themeColor="text1"/>
          <w:sz w:val="24"/>
          <w:szCs w:val="24"/>
        </w:rPr>
        <w:t xml:space="preserve"> </w:t>
      </w:r>
      <w:proofErr w:type="spellStart"/>
      <w:r w:rsidRPr="00B87418">
        <w:rPr>
          <w:rFonts w:ascii="Garamond" w:hAnsi="Garamond" w:cs="Times New Roman"/>
          <w:b/>
          <w:bCs/>
          <w:color w:val="000000" w:themeColor="text1"/>
          <w:sz w:val="24"/>
          <w:szCs w:val="24"/>
        </w:rPr>
        <w:t>Peleshi</w:t>
      </w:r>
      <w:proofErr w:type="spellEnd"/>
    </w:p>
    <w:p w14:paraId="05A8005D" w14:textId="77777777" w:rsidR="00841A15" w:rsidRPr="00B87418" w:rsidRDefault="00841A15" w:rsidP="000B5A09">
      <w:pPr>
        <w:spacing w:after="0" w:line="240" w:lineRule="auto"/>
        <w:ind w:firstLine="284"/>
        <w:rPr>
          <w:rFonts w:ascii="Garamond" w:eastAsia="Times New Roman" w:hAnsi="Garamond" w:cs="Times New Roman"/>
          <w:sz w:val="24"/>
          <w:szCs w:val="24"/>
        </w:rPr>
      </w:pPr>
    </w:p>
    <w:p w14:paraId="1B441005" w14:textId="77777777" w:rsidR="00841A15" w:rsidRPr="00B87418" w:rsidRDefault="00841A15" w:rsidP="000B5A09">
      <w:pPr>
        <w:spacing w:after="0" w:line="240" w:lineRule="auto"/>
        <w:ind w:firstLine="284"/>
        <w:rPr>
          <w:rFonts w:ascii="Garamond" w:eastAsia="Times New Roman" w:hAnsi="Garamond" w:cs="Times New Roman"/>
          <w:sz w:val="24"/>
          <w:szCs w:val="24"/>
        </w:rPr>
      </w:pPr>
    </w:p>
    <w:p w14:paraId="328FB015" w14:textId="77777777" w:rsidR="003C57D3" w:rsidRPr="00B87418" w:rsidRDefault="003C57D3" w:rsidP="000B5A09">
      <w:pPr>
        <w:spacing w:after="0" w:line="240" w:lineRule="auto"/>
        <w:ind w:firstLine="284"/>
        <w:rPr>
          <w:rFonts w:ascii="Garamond" w:eastAsia="Times New Roman" w:hAnsi="Garamond" w:cs="Times New Roman"/>
          <w:sz w:val="24"/>
          <w:szCs w:val="24"/>
        </w:rPr>
      </w:pPr>
    </w:p>
    <w:p w14:paraId="3E9909DF" w14:textId="77777777" w:rsidR="0079748A" w:rsidRPr="00B87418" w:rsidRDefault="0079748A" w:rsidP="000B5A09">
      <w:pPr>
        <w:spacing w:after="0" w:line="240" w:lineRule="auto"/>
        <w:ind w:firstLine="284"/>
        <w:rPr>
          <w:rFonts w:ascii="Garamond" w:eastAsia="Times New Roman" w:hAnsi="Garamond" w:cs="Times New Roman"/>
          <w:sz w:val="24"/>
          <w:szCs w:val="24"/>
        </w:rPr>
      </w:pPr>
    </w:p>
    <w:sectPr w:rsidR="0079748A" w:rsidRPr="00B87418" w:rsidSect="008D54B5">
      <w:footerReference w:type="default" r:id="rId11"/>
      <w:pgSz w:w="11907" w:h="16840" w:code="9"/>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D37FB0" w14:textId="77777777" w:rsidR="00800DF3" w:rsidRDefault="00800DF3" w:rsidP="00C86383">
      <w:pPr>
        <w:spacing w:after="0" w:line="240" w:lineRule="auto"/>
      </w:pPr>
      <w:r>
        <w:separator/>
      </w:r>
    </w:p>
  </w:endnote>
  <w:endnote w:type="continuationSeparator" w:id="0">
    <w:p w14:paraId="2397AEAD" w14:textId="77777777" w:rsidR="00800DF3" w:rsidRDefault="00800DF3" w:rsidP="00C86383">
      <w:pPr>
        <w:spacing w:after="0" w:line="240" w:lineRule="auto"/>
      </w:pPr>
      <w:r>
        <w:continuationSeparator/>
      </w:r>
    </w:p>
  </w:endnote>
  <w:endnote w:type="continuationNotice" w:id="1">
    <w:p w14:paraId="1260429F" w14:textId="77777777" w:rsidR="00E374DB" w:rsidRDefault="00E374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5F9E1671" w:rsidR="00800DF3" w:rsidRPr="00E7684C" w:rsidRDefault="00800DF3">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sidR="00B87418">
          <w:rPr>
            <w:rFonts w:ascii="Times New Roman" w:hAnsi="Times New Roman" w:cs="Times New Roman"/>
            <w:noProof/>
            <w:sz w:val="24"/>
            <w:szCs w:val="24"/>
          </w:rPr>
          <w:t>4</w:t>
        </w:r>
        <w:r w:rsidRPr="00E7684C">
          <w:rPr>
            <w:rFonts w:ascii="Times New Roman" w:hAnsi="Times New Roman" w:cs="Times New Roman"/>
            <w:noProof/>
            <w:sz w:val="24"/>
            <w:szCs w:val="24"/>
          </w:rPr>
          <w:fldChar w:fldCharType="end"/>
        </w:r>
      </w:p>
    </w:sdtContent>
  </w:sdt>
  <w:p w14:paraId="07261E55" w14:textId="77777777" w:rsidR="00800DF3" w:rsidRDefault="00800DF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68B141" w14:textId="77777777" w:rsidR="00800DF3" w:rsidRDefault="00800DF3" w:rsidP="00C86383">
      <w:pPr>
        <w:spacing w:after="0" w:line="240" w:lineRule="auto"/>
      </w:pPr>
      <w:r>
        <w:separator/>
      </w:r>
    </w:p>
  </w:footnote>
  <w:footnote w:type="continuationSeparator" w:id="0">
    <w:p w14:paraId="3613BC10" w14:textId="77777777" w:rsidR="00800DF3" w:rsidRDefault="00800DF3" w:rsidP="00C86383">
      <w:pPr>
        <w:spacing w:after="0" w:line="240" w:lineRule="auto"/>
      </w:pPr>
      <w:r>
        <w:continuationSeparator/>
      </w:r>
    </w:p>
  </w:footnote>
  <w:footnote w:type="continuationNotice" w:id="1">
    <w:p w14:paraId="7499600E" w14:textId="77777777" w:rsidR="00E374DB" w:rsidRDefault="00E374DB">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5DB"/>
    <w:rsid w:val="00005C6F"/>
    <w:rsid w:val="00007948"/>
    <w:rsid w:val="000124BC"/>
    <w:rsid w:val="0001371B"/>
    <w:rsid w:val="00013F99"/>
    <w:rsid w:val="00013FC1"/>
    <w:rsid w:val="0001705C"/>
    <w:rsid w:val="00017F55"/>
    <w:rsid w:val="00020115"/>
    <w:rsid w:val="000224FD"/>
    <w:rsid w:val="000225F5"/>
    <w:rsid w:val="00022B06"/>
    <w:rsid w:val="000278AC"/>
    <w:rsid w:val="00027E1F"/>
    <w:rsid w:val="00032ACF"/>
    <w:rsid w:val="00035566"/>
    <w:rsid w:val="000375E8"/>
    <w:rsid w:val="00037E73"/>
    <w:rsid w:val="00044096"/>
    <w:rsid w:val="00044C1F"/>
    <w:rsid w:val="00051513"/>
    <w:rsid w:val="00055B91"/>
    <w:rsid w:val="0005725B"/>
    <w:rsid w:val="00062B6C"/>
    <w:rsid w:val="00062F7F"/>
    <w:rsid w:val="00064C4E"/>
    <w:rsid w:val="0007298B"/>
    <w:rsid w:val="00073681"/>
    <w:rsid w:val="00082B98"/>
    <w:rsid w:val="00083230"/>
    <w:rsid w:val="00091EE7"/>
    <w:rsid w:val="000A08B2"/>
    <w:rsid w:val="000A0B41"/>
    <w:rsid w:val="000B5A09"/>
    <w:rsid w:val="000C0CFC"/>
    <w:rsid w:val="000C1BC4"/>
    <w:rsid w:val="000C7182"/>
    <w:rsid w:val="000D0397"/>
    <w:rsid w:val="000D1518"/>
    <w:rsid w:val="000D476A"/>
    <w:rsid w:val="000D6847"/>
    <w:rsid w:val="000E127F"/>
    <w:rsid w:val="000E1AB1"/>
    <w:rsid w:val="000E3E8D"/>
    <w:rsid w:val="000E4797"/>
    <w:rsid w:val="000E5355"/>
    <w:rsid w:val="000F121E"/>
    <w:rsid w:val="000F417A"/>
    <w:rsid w:val="000F7E27"/>
    <w:rsid w:val="0010178D"/>
    <w:rsid w:val="001049FD"/>
    <w:rsid w:val="001050B1"/>
    <w:rsid w:val="001113F8"/>
    <w:rsid w:val="00114DD0"/>
    <w:rsid w:val="001156F1"/>
    <w:rsid w:val="00121DB5"/>
    <w:rsid w:val="00125D8E"/>
    <w:rsid w:val="00131063"/>
    <w:rsid w:val="001315C1"/>
    <w:rsid w:val="001325AF"/>
    <w:rsid w:val="00132AD7"/>
    <w:rsid w:val="001336E2"/>
    <w:rsid w:val="001356DB"/>
    <w:rsid w:val="00135D36"/>
    <w:rsid w:val="001424BF"/>
    <w:rsid w:val="001432F5"/>
    <w:rsid w:val="00143A0C"/>
    <w:rsid w:val="001501FF"/>
    <w:rsid w:val="0016140E"/>
    <w:rsid w:val="00162EC4"/>
    <w:rsid w:val="00176BBD"/>
    <w:rsid w:val="0018119B"/>
    <w:rsid w:val="00181B37"/>
    <w:rsid w:val="00181D50"/>
    <w:rsid w:val="00184409"/>
    <w:rsid w:val="001858C3"/>
    <w:rsid w:val="00191634"/>
    <w:rsid w:val="001A79AF"/>
    <w:rsid w:val="001B134B"/>
    <w:rsid w:val="001B6D41"/>
    <w:rsid w:val="001B7CF3"/>
    <w:rsid w:val="001C1147"/>
    <w:rsid w:val="001E2085"/>
    <w:rsid w:val="001E3542"/>
    <w:rsid w:val="001F046A"/>
    <w:rsid w:val="001F4CD5"/>
    <w:rsid w:val="00202011"/>
    <w:rsid w:val="0020553B"/>
    <w:rsid w:val="002063FE"/>
    <w:rsid w:val="00206ED9"/>
    <w:rsid w:val="002129CF"/>
    <w:rsid w:val="00215C02"/>
    <w:rsid w:val="002176D7"/>
    <w:rsid w:val="002202CB"/>
    <w:rsid w:val="00223BB0"/>
    <w:rsid w:val="0022618D"/>
    <w:rsid w:val="002359AF"/>
    <w:rsid w:val="00237CB2"/>
    <w:rsid w:val="00240C54"/>
    <w:rsid w:val="00240E91"/>
    <w:rsid w:val="00243068"/>
    <w:rsid w:val="00244B19"/>
    <w:rsid w:val="00244D0F"/>
    <w:rsid w:val="00262768"/>
    <w:rsid w:val="00262C8A"/>
    <w:rsid w:val="00266214"/>
    <w:rsid w:val="00275863"/>
    <w:rsid w:val="00275F33"/>
    <w:rsid w:val="00276C86"/>
    <w:rsid w:val="00283031"/>
    <w:rsid w:val="00286E87"/>
    <w:rsid w:val="0029415F"/>
    <w:rsid w:val="002A1841"/>
    <w:rsid w:val="002A4484"/>
    <w:rsid w:val="002B2319"/>
    <w:rsid w:val="002B42ED"/>
    <w:rsid w:val="002B6674"/>
    <w:rsid w:val="002C0BF7"/>
    <w:rsid w:val="002D28BD"/>
    <w:rsid w:val="002D47BF"/>
    <w:rsid w:val="002D6F17"/>
    <w:rsid w:val="002E049D"/>
    <w:rsid w:val="002E203D"/>
    <w:rsid w:val="002E30A1"/>
    <w:rsid w:val="002E3E9A"/>
    <w:rsid w:val="002E57A2"/>
    <w:rsid w:val="002F1E84"/>
    <w:rsid w:val="002F495E"/>
    <w:rsid w:val="002F56DF"/>
    <w:rsid w:val="00310428"/>
    <w:rsid w:val="00312A26"/>
    <w:rsid w:val="00321277"/>
    <w:rsid w:val="00323548"/>
    <w:rsid w:val="00327E49"/>
    <w:rsid w:val="003305FA"/>
    <w:rsid w:val="0033383F"/>
    <w:rsid w:val="003345F5"/>
    <w:rsid w:val="00335564"/>
    <w:rsid w:val="00343599"/>
    <w:rsid w:val="00343D14"/>
    <w:rsid w:val="0034558C"/>
    <w:rsid w:val="00351908"/>
    <w:rsid w:val="003556E0"/>
    <w:rsid w:val="003557DA"/>
    <w:rsid w:val="00373D67"/>
    <w:rsid w:val="003802C5"/>
    <w:rsid w:val="00380CE5"/>
    <w:rsid w:val="00382072"/>
    <w:rsid w:val="00384791"/>
    <w:rsid w:val="00384A0F"/>
    <w:rsid w:val="003918EF"/>
    <w:rsid w:val="00391D0F"/>
    <w:rsid w:val="00393AEF"/>
    <w:rsid w:val="00393D81"/>
    <w:rsid w:val="003962DE"/>
    <w:rsid w:val="00397B89"/>
    <w:rsid w:val="003A2FD5"/>
    <w:rsid w:val="003A3D56"/>
    <w:rsid w:val="003B191D"/>
    <w:rsid w:val="003C3B41"/>
    <w:rsid w:val="003C51DC"/>
    <w:rsid w:val="003C57D3"/>
    <w:rsid w:val="003D23B3"/>
    <w:rsid w:val="003D6B2B"/>
    <w:rsid w:val="003E08F3"/>
    <w:rsid w:val="003E193B"/>
    <w:rsid w:val="003E3131"/>
    <w:rsid w:val="003E334D"/>
    <w:rsid w:val="003E39E2"/>
    <w:rsid w:val="003E3F68"/>
    <w:rsid w:val="003E53A6"/>
    <w:rsid w:val="003E59FE"/>
    <w:rsid w:val="003E6C60"/>
    <w:rsid w:val="003F623E"/>
    <w:rsid w:val="003F66F6"/>
    <w:rsid w:val="004029FA"/>
    <w:rsid w:val="00402A6A"/>
    <w:rsid w:val="00413EA5"/>
    <w:rsid w:val="00413F47"/>
    <w:rsid w:val="00417D4F"/>
    <w:rsid w:val="0042060E"/>
    <w:rsid w:val="004215B2"/>
    <w:rsid w:val="00421644"/>
    <w:rsid w:val="00425838"/>
    <w:rsid w:val="00427A8B"/>
    <w:rsid w:val="00430EDA"/>
    <w:rsid w:val="004354FA"/>
    <w:rsid w:val="0043625A"/>
    <w:rsid w:val="00440837"/>
    <w:rsid w:val="00441F4D"/>
    <w:rsid w:val="004530EE"/>
    <w:rsid w:val="0045672F"/>
    <w:rsid w:val="00457EDB"/>
    <w:rsid w:val="004615DB"/>
    <w:rsid w:val="00462270"/>
    <w:rsid w:val="00463738"/>
    <w:rsid w:val="0046513F"/>
    <w:rsid w:val="00477C33"/>
    <w:rsid w:val="00480E67"/>
    <w:rsid w:val="00480EEA"/>
    <w:rsid w:val="004819A5"/>
    <w:rsid w:val="004847B6"/>
    <w:rsid w:val="00485242"/>
    <w:rsid w:val="00493028"/>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268FE"/>
    <w:rsid w:val="00533A29"/>
    <w:rsid w:val="00540968"/>
    <w:rsid w:val="00541D13"/>
    <w:rsid w:val="00544ED5"/>
    <w:rsid w:val="00545007"/>
    <w:rsid w:val="005464CA"/>
    <w:rsid w:val="00546B87"/>
    <w:rsid w:val="00551654"/>
    <w:rsid w:val="00551A0C"/>
    <w:rsid w:val="00555F66"/>
    <w:rsid w:val="00556003"/>
    <w:rsid w:val="00556EBC"/>
    <w:rsid w:val="00564D41"/>
    <w:rsid w:val="0056580C"/>
    <w:rsid w:val="00566A66"/>
    <w:rsid w:val="00567336"/>
    <w:rsid w:val="005675CA"/>
    <w:rsid w:val="00570E20"/>
    <w:rsid w:val="0058617F"/>
    <w:rsid w:val="00595D7E"/>
    <w:rsid w:val="00597F1B"/>
    <w:rsid w:val="005A4BF2"/>
    <w:rsid w:val="005A6625"/>
    <w:rsid w:val="005A6A5B"/>
    <w:rsid w:val="005B4F54"/>
    <w:rsid w:val="005C0232"/>
    <w:rsid w:val="005C275E"/>
    <w:rsid w:val="005C4C51"/>
    <w:rsid w:val="005C7FD6"/>
    <w:rsid w:val="005D008B"/>
    <w:rsid w:val="005D2C27"/>
    <w:rsid w:val="005D7015"/>
    <w:rsid w:val="005D79C0"/>
    <w:rsid w:val="005E0B16"/>
    <w:rsid w:val="005E3C64"/>
    <w:rsid w:val="005E4979"/>
    <w:rsid w:val="005F08C5"/>
    <w:rsid w:val="005F7BAE"/>
    <w:rsid w:val="00600647"/>
    <w:rsid w:val="006042FE"/>
    <w:rsid w:val="00606A64"/>
    <w:rsid w:val="00611AFD"/>
    <w:rsid w:val="00612758"/>
    <w:rsid w:val="00621D27"/>
    <w:rsid w:val="006236C3"/>
    <w:rsid w:val="00630061"/>
    <w:rsid w:val="00630EA6"/>
    <w:rsid w:val="006344E9"/>
    <w:rsid w:val="00635067"/>
    <w:rsid w:val="0066462F"/>
    <w:rsid w:val="00664CC2"/>
    <w:rsid w:val="00666637"/>
    <w:rsid w:val="006672E6"/>
    <w:rsid w:val="0067489C"/>
    <w:rsid w:val="0067607A"/>
    <w:rsid w:val="00680190"/>
    <w:rsid w:val="00684857"/>
    <w:rsid w:val="006856E4"/>
    <w:rsid w:val="00686471"/>
    <w:rsid w:val="006870DA"/>
    <w:rsid w:val="00695534"/>
    <w:rsid w:val="006A1126"/>
    <w:rsid w:val="006B27CE"/>
    <w:rsid w:val="006B2B4C"/>
    <w:rsid w:val="006B790D"/>
    <w:rsid w:val="006C2AEE"/>
    <w:rsid w:val="006D3004"/>
    <w:rsid w:val="006D3861"/>
    <w:rsid w:val="006D6CF7"/>
    <w:rsid w:val="006E22F3"/>
    <w:rsid w:val="006E5794"/>
    <w:rsid w:val="006F2FA3"/>
    <w:rsid w:val="006F6C44"/>
    <w:rsid w:val="00700DFF"/>
    <w:rsid w:val="00702A04"/>
    <w:rsid w:val="0070337B"/>
    <w:rsid w:val="00704D02"/>
    <w:rsid w:val="00705E81"/>
    <w:rsid w:val="007064AB"/>
    <w:rsid w:val="00706557"/>
    <w:rsid w:val="00707C51"/>
    <w:rsid w:val="007134F3"/>
    <w:rsid w:val="0071531C"/>
    <w:rsid w:val="00717DD1"/>
    <w:rsid w:val="00721911"/>
    <w:rsid w:val="00721F94"/>
    <w:rsid w:val="00722A76"/>
    <w:rsid w:val="00724F19"/>
    <w:rsid w:val="007259CC"/>
    <w:rsid w:val="007312D6"/>
    <w:rsid w:val="007427F3"/>
    <w:rsid w:val="00750776"/>
    <w:rsid w:val="00752319"/>
    <w:rsid w:val="00757B31"/>
    <w:rsid w:val="00761637"/>
    <w:rsid w:val="00761C31"/>
    <w:rsid w:val="00761C60"/>
    <w:rsid w:val="00761F57"/>
    <w:rsid w:val="00767FC7"/>
    <w:rsid w:val="00782766"/>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B7A9E"/>
    <w:rsid w:val="007C05DC"/>
    <w:rsid w:val="007C0DC8"/>
    <w:rsid w:val="007C1E4A"/>
    <w:rsid w:val="007C6F84"/>
    <w:rsid w:val="007F04D3"/>
    <w:rsid w:val="007F16F8"/>
    <w:rsid w:val="007F1C28"/>
    <w:rsid w:val="007F2061"/>
    <w:rsid w:val="007F43C4"/>
    <w:rsid w:val="007F750C"/>
    <w:rsid w:val="007F7C9C"/>
    <w:rsid w:val="00800DF3"/>
    <w:rsid w:val="008010B2"/>
    <w:rsid w:val="00802041"/>
    <w:rsid w:val="00802244"/>
    <w:rsid w:val="00803B7B"/>
    <w:rsid w:val="00813AD7"/>
    <w:rsid w:val="00814941"/>
    <w:rsid w:val="00817C03"/>
    <w:rsid w:val="00821505"/>
    <w:rsid w:val="0082316D"/>
    <w:rsid w:val="00824042"/>
    <w:rsid w:val="00824A4B"/>
    <w:rsid w:val="008258AB"/>
    <w:rsid w:val="00827BC7"/>
    <w:rsid w:val="00831CD1"/>
    <w:rsid w:val="00833B9B"/>
    <w:rsid w:val="00841A15"/>
    <w:rsid w:val="00847CF0"/>
    <w:rsid w:val="00851363"/>
    <w:rsid w:val="00851711"/>
    <w:rsid w:val="00852454"/>
    <w:rsid w:val="00854276"/>
    <w:rsid w:val="00856F1E"/>
    <w:rsid w:val="00857954"/>
    <w:rsid w:val="00863D55"/>
    <w:rsid w:val="008650FD"/>
    <w:rsid w:val="00867DF3"/>
    <w:rsid w:val="008713F3"/>
    <w:rsid w:val="00872A03"/>
    <w:rsid w:val="00876AC9"/>
    <w:rsid w:val="00881347"/>
    <w:rsid w:val="00883800"/>
    <w:rsid w:val="0088785E"/>
    <w:rsid w:val="00890D60"/>
    <w:rsid w:val="00892480"/>
    <w:rsid w:val="00897A30"/>
    <w:rsid w:val="008A7044"/>
    <w:rsid w:val="008B6833"/>
    <w:rsid w:val="008B6B1A"/>
    <w:rsid w:val="008B74C4"/>
    <w:rsid w:val="008C2832"/>
    <w:rsid w:val="008C4109"/>
    <w:rsid w:val="008C42CC"/>
    <w:rsid w:val="008C498A"/>
    <w:rsid w:val="008C63A2"/>
    <w:rsid w:val="008C7273"/>
    <w:rsid w:val="008D114F"/>
    <w:rsid w:val="008D2459"/>
    <w:rsid w:val="008D3DD2"/>
    <w:rsid w:val="008D41C9"/>
    <w:rsid w:val="008D54B5"/>
    <w:rsid w:val="008D5CDA"/>
    <w:rsid w:val="008D7A71"/>
    <w:rsid w:val="008E13AA"/>
    <w:rsid w:val="008E2C2A"/>
    <w:rsid w:val="008F0F64"/>
    <w:rsid w:val="008F16D6"/>
    <w:rsid w:val="008F3C04"/>
    <w:rsid w:val="008F3C44"/>
    <w:rsid w:val="008F5EF5"/>
    <w:rsid w:val="008F668F"/>
    <w:rsid w:val="008F6781"/>
    <w:rsid w:val="009051F4"/>
    <w:rsid w:val="0092415F"/>
    <w:rsid w:val="009256DD"/>
    <w:rsid w:val="0092704E"/>
    <w:rsid w:val="009350B0"/>
    <w:rsid w:val="0094122A"/>
    <w:rsid w:val="00946A54"/>
    <w:rsid w:val="00946C72"/>
    <w:rsid w:val="0095624F"/>
    <w:rsid w:val="009571C2"/>
    <w:rsid w:val="00960704"/>
    <w:rsid w:val="00960B17"/>
    <w:rsid w:val="00964622"/>
    <w:rsid w:val="009700C5"/>
    <w:rsid w:val="00971602"/>
    <w:rsid w:val="00982D7D"/>
    <w:rsid w:val="0098506C"/>
    <w:rsid w:val="009854D5"/>
    <w:rsid w:val="00992C48"/>
    <w:rsid w:val="00993F35"/>
    <w:rsid w:val="00995CC4"/>
    <w:rsid w:val="0099713F"/>
    <w:rsid w:val="009A0CB1"/>
    <w:rsid w:val="009A67C9"/>
    <w:rsid w:val="009A734A"/>
    <w:rsid w:val="009B3A7B"/>
    <w:rsid w:val="009B6083"/>
    <w:rsid w:val="009D0BB6"/>
    <w:rsid w:val="009D21C4"/>
    <w:rsid w:val="009D3A41"/>
    <w:rsid w:val="009D5991"/>
    <w:rsid w:val="009D76B9"/>
    <w:rsid w:val="009E1F39"/>
    <w:rsid w:val="009E3C1B"/>
    <w:rsid w:val="009E6CA9"/>
    <w:rsid w:val="009E7F8D"/>
    <w:rsid w:val="009F1F17"/>
    <w:rsid w:val="009F5E40"/>
    <w:rsid w:val="00A03125"/>
    <w:rsid w:val="00A07E25"/>
    <w:rsid w:val="00A14187"/>
    <w:rsid w:val="00A14640"/>
    <w:rsid w:val="00A14720"/>
    <w:rsid w:val="00A16B59"/>
    <w:rsid w:val="00A16E2C"/>
    <w:rsid w:val="00A215AB"/>
    <w:rsid w:val="00A22178"/>
    <w:rsid w:val="00A241B8"/>
    <w:rsid w:val="00A3090A"/>
    <w:rsid w:val="00A503B4"/>
    <w:rsid w:val="00A5392D"/>
    <w:rsid w:val="00A558AE"/>
    <w:rsid w:val="00A564E2"/>
    <w:rsid w:val="00A67678"/>
    <w:rsid w:val="00A6770A"/>
    <w:rsid w:val="00A74915"/>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31E7"/>
    <w:rsid w:val="00B14DA6"/>
    <w:rsid w:val="00B1678C"/>
    <w:rsid w:val="00B22C15"/>
    <w:rsid w:val="00B242A8"/>
    <w:rsid w:val="00B35261"/>
    <w:rsid w:val="00B41476"/>
    <w:rsid w:val="00B53958"/>
    <w:rsid w:val="00B53DAC"/>
    <w:rsid w:val="00B542F0"/>
    <w:rsid w:val="00B65D03"/>
    <w:rsid w:val="00B71AED"/>
    <w:rsid w:val="00B750FF"/>
    <w:rsid w:val="00B7731C"/>
    <w:rsid w:val="00B77321"/>
    <w:rsid w:val="00B7748B"/>
    <w:rsid w:val="00B826D3"/>
    <w:rsid w:val="00B85B4C"/>
    <w:rsid w:val="00B87418"/>
    <w:rsid w:val="00B91916"/>
    <w:rsid w:val="00B96BF9"/>
    <w:rsid w:val="00BA2D77"/>
    <w:rsid w:val="00BA7E66"/>
    <w:rsid w:val="00BB1D27"/>
    <w:rsid w:val="00BB4C3C"/>
    <w:rsid w:val="00BB5EC4"/>
    <w:rsid w:val="00BC2A76"/>
    <w:rsid w:val="00BD592D"/>
    <w:rsid w:val="00BD5A4B"/>
    <w:rsid w:val="00BF0A3E"/>
    <w:rsid w:val="00BF1682"/>
    <w:rsid w:val="00BF2ADB"/>
    <w:rsid w:val="00BF3D89"/>
    <w:rsid w:val="00C011E1"/>
    <w:rsid w:val="00C01267"/>
    <w:rsid w:val="00C01362"/>
    <w:rsid w:val="00C115B6"/>
    <w:rsid w:val="00C15B46"/>
    <w:rsid w:val="00C2107A"/>
    <w:rsid w:val="00C2173B"/>
    <w:rsid w:val="00C22617"/>
    <w:rsid w:val="00C277DC"/>
    <w:rsid w:val="00C310C5"/>
    <w:rsid w:val="00C3396C"/>
    <w:rsid w:val="00C34368"/>
    <w:rsid w:val="00C356CF"/>
    <w:rsid w:val="00C414C2"/>
    <w:rsid w:val="00C42220"/>
    <w:rsid w:val="00C46623"/>
    <w:rsid w:val="00C50843"/>
    <w:rsid w:val="00C569D5"/>
    <w:rsid w:val="00C65542"/>
    <w:rsid w:val="00C829DC"/>
    <w:rsid w:val="00C83044"/>
    <w:rsid w:val="00C86383"/>
    <w:rsid w:val="00C86426"/>
    <w:rsid w:val="00C9434B"/>
    <w:rsid w:val="00C96F2B"/>
    <w:rsid w:val="00CA0814"/>
    <w:rsid w:val="00CA0EBE"/>
    <w:rsid w:val="00CA57B6"/>
    <w:rsid w:val="00CB1F79"/>
    <w:rsid w:val="00CC6F24"/>
    <w:rsid w:val="00CD31B5"/>
    <w:rsid w:val="00CD3633"/>
    <w:rsid w:val="00CD48BD"/>
    <w:rsid w:val="00CE032B"/>
    <w:rsid w:val="00CE0964"/>
    <w:rsid w:val="00CE0B9A"/>
    <w:rsid w:val="00CE5869"/>
    <w:rsid w:val="00CE6F13"/>
    <w:rsid w:val="00D05C90"/>
    <w:rsid w:val="00D0709B"/>
    <w:rsid w:val="00D07B6E"/>
    <w:rsid w:val="00D121EC"/>
    <w:rsid w:val="00D12238"/>
    <w:rsid w:val="00D17929"/>
    <w:rsid w:val="00D2027A"/>
    <w:rsid w:val="00D22C59"/>
    <w:rsid w:val="00D27092"/>
    <w:rsid w:val="00D310A5"/>
    <w:rsid w:val="00D31426"/>
    <w:rsid w:val="00D31E4D"/>
    <w:rsid w:val="00D332B5"/>
    <w:rsid w:val="00D34AAF"/>
    <w:rsid w:val="00D40BD5"/>
    <w:rsid w:val="00D44DC4"/>
    <w:rsid w:val="00D57B3A"/>
    <w:rsid w:val="00D600F3"/>
    <w:rsid w:val="00D621BE"/>
    <w:rsid w:val="00D62BE5"/>
    <w:rsid w:val="00D6629D"/>
    <w:rsid w:val="00D66EB0"/>
    <w:rsid w:val="00D704A8"/>
    <w:rsid w:val="00D719E7"/>
    <w:rsid w:val="00D823E2"/>
    <w:rsid w:val="00D84BF4"/>
    <w:rsid w:val="00D864D2"/>
    <w:rsid w:val="00D874FB"/>
    <w:rsid w:val="00D90262"/>
    <w:rsid w:val="00D9402D"/>
    <w:rsid w:val="00D94954"/>
    <w:rsid w:val="00DA5786"/>
    <w:rsid w:val="00DB28BF"/>
    <w:rsid w:val="00DB3852"/>
    <w:rsid w:val="00DB5ECD"/>
    <w:rsid w:val="00DB7E09"/>
    <w:rsid w:val="00DC57B4"/>
    <w:rsid w:val="00DC7F2F"/>
    <w:rsid w:val="00DD32F3"/>
    <w:rsid w:val="00DD3DDE"/>
    <w:rsid w:val="00DD473E"/>
    <w:rsid w:val="00DE3466"/>
    <w:rsid w:val="00DF0BAA"/>
    <w:rsid w:val="00DF1BC6"/>
    <w:rsid w:val="00DF6555"/>
    <w:rsid w:val="00DF6CD2"/>
    <w:rsid w:val="00E01793"/>
    <w:rsid w:val="00E02D8F"/>
    <w:rsid w:val="00E042C2"/>
    <w:rsid w:val="00E06BA5"/>
    <w:rsid w:val="00E12C4C"/>
    <w:rsid w:val="00E16E23"/>
    <w:rsid w:val="00E24099"/>
    <w:rsid w:val="00E26211"/>
    <w:rsid w:val="00E318C7"/>
    <w:rsid w:val="00E33AAA"/>
    <w:rsid w:val="00E34C07"/>
    <w:rsid w:val="00E36067"/>
    <w:rsid w:val="00E374DB"/>
    <w:rsid w:val="00E442DC"/>
    <w:rsid w:val="00E51DFA"/>
    <w:rsid w:val="00E51E75"/>
    <w:rsid w:val="00E54701"/>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945D4"/>
    <w:rsid w:val="00EA15E5"/>
    <w:rsid w:val="00EA7B60"/>
    <w:rsid w:val="00EB31F6"/>
    <w:rsid w:val="00EB4EE4"/>
    <w:rsid w:val="00EB5365"/>
    <w:rsid w:val="00EB62DE"/>
    <w:rsid w:val="00EC0024"/>
    <w:rsid w:val="00ED4C45"/>
    <w:rsid w:val="00ED5AEE"/>
    <w:rsid w:val="00ED668D"/>
    <w:rsid w:val="00EE1FA6"/>
    <w:rsid w:val="00EE4C8B"/>
    <w:rsid w:val="00EE5CD6"/>
    <w:rsid w:val="00EE6A25"/>
    <w:rsid w:val="00EF6235"/>
    <w:rsid w:val="00F05169"/>
    <w:rsid w:val="00F0526E"/>
    <w:rsid w:val="00F05EA7"/>
    <w:rsid w:val="00F142C1"/>
    <w:rsid w:val="00F1525A"/>
    <w:rsid w:val="00F261B9"/>
    <w:rsid w:val="00F3246E"/>
    <w:rsid w:val="00F32B61"/>
    <w:rsid w:val="00F33669"/>
    <w:rsid w:val="00F365AE"/>
    <w:rsid w:val="00F37FAF"/>
    <w:rsid w:val="00F4148E"/>
    <w:rsid w:val="00F42E3E"/>
    <w:rsid w:val="00F43250"/>
    <w:rsid w:val="00F43580"/>
    <w:rsid w:val="00F454F1"/>
    <w:rsid w:val="00F45BC9"/>
    <w:rsid w:val="00F466D7"/>
    <w:rsid w:val="00F5324C"/>
    <w:rsid w:val="00F55436"/>
    <w:rsid w:val="00F5634D"/>
    <w:rsid w:val="00F616E0"/>
    <w:rsid w:val="00F65C99"/>
    <w:rsid w:val="00F701B3"/>
    <w:rsid w:val="00F771F1"/>
    <w:rsid w:val="00F779F7"/>
    <w:rsid w:val="00F82F68"/>
    <w:rsid w:val="00F83F05"/>
    <w:rsid w:val="00F86A50"/>
    <w:rsid w:val="00F9446E"/>
    <w:rsid w:val="00F94822"/>
    <w:rsid w:val="00F9485F"/>
    <w:rsid w:val="00F960FE"/>
    <w:rsid w:val="00F9796E"/>
    <w:rsid w:val="00F97CB9"/>
    <w:rsid w:val="00FA278D"/>
    <w:rsid w:val="00FB109A"/>
    <w:rsid w:val="00FB2B6A"/>
    <w:rsid w:val="00FB340F"/>
    <w:rsid w:val="00FB4761"/>
    <w:rsid w:val="00FC6348"/>
    <w:rsid w:val="00FC7FD0"/>
    <w:rsid w:val="00FD2B25"/>
    <w:rsid w:val="00FD2BF4"/>
    <w:rsid w:val="00FD2D67"/>
    <w:rsid w:val="00FD67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DCC861795CE4DD89708CAD5862219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2026-07-30T06:52:47Z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2026-07-29T00:00:00Z</Date_x0020_protokolli>
    <Titulli xmlns="0e656187-b300-4fb0-8bf4-3a50f872073c">Për vlerësimin e veprimtarisë së Këshillit të Lartë të Prokurorisë për vitin 2025 dhe rekomandimet për vitin 2026</Titulli>
    <Modifikuesi xmlns="0e656187-b300-4fb0-8bf4-3a50f872073c">ermira.bukaci</Modifikuesi>
    <Nr_x002e__x0020_prot_x0020_QBZ xmlns="0e656187-b300-4fb0-8bf4-3a50f872073c">1736/2</Nr_x002e__x0020_prot_x0020_QBZ>
    <Data_x0020_e_x0020_Modifikimit xmlns="0e656187-b300-4fb0-8bf4-3a50f872073c">2026-07-30T08:10:23Z</Data_x0020_e_x0020_Modifikimit>
    <Dekretuar xmlns="0e656187-b300-4fb0-8bf4-3a50f872073c">false</Dekretuar>
    <Data xmlns="0e656187-b300-4fb0-8bf4-3a50f872073c">2026-07-23T00:00:00Z</Data>
    <Nr_x002e__x0020_protokolli_x0020_i_x0020_aktit xmlns="0e656187-b300-4fb0-8bf4-3a50f872073c">3518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1262F-8E1D-4E92-A56C-38D8788CBC2E}">
  <ds:schemaRefs>
    <ds:schemaRef ds:uri="http://schemas.microsoft.com/sharepoint/v3/contenttype/forms"/>
  </ds:schemaRefs>
</ds:datastoreItem>
</file>

<file path=customXml/itemProps2.xml><?xml version="1.0" encoding="utf-8"?>
<ds:datastoreItem xmlns:ds="http://schemas.openxmlformats.org/officeDocument/2006/customXml" ds:itemID="{EDB0E4CA-92FF-4D4A-A31B-1F1D9DB2CF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8292E73-5AC1-4B6A-896E-C706A5FA70B7}">
  <ds:schemaRefs>
    <ds:schemaRef ds:uri="http://schemas.openxmlformats.org/package/2006/metadata/core-properties"/>
    <ds:schemaRef ds:uri="http://schemas.microsoft.com/office/2006/documentManagement/types"/>
    <ds:schemaRef ds:uri="http://www.w3.org/XML/1998/namespace"/>
    <ds:schemaRef ds:uri="http://purl.org/dc/elements/1.1/"/>
    <ds:schemaRef ds:uri="http://purl.org/dc/dcmitype/"/>
    <ds:schemaRef ds:uri="http://purl.org/dc/terms/"/>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9C141F8F-0791-4342-9987-B28DA06F8F5F}">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contentBits="0" removed="0"/>
</clbl:labelList>
</file>

<file path=docProps/app.xml><?xml version="1.0" encoding="utf-8"?>
<Properties xmlns="http://schemas.openxmlformats.org/officeDocument/2006/extended-properties" xmlns:vt="http://schemas.openxmlformats.org/officeDocument/2006/docPropsVTypes">
  <Template>Normal</Template>
  <TotalTime>530</TotalTime>
  <Pages>4</Pages>
  <Words>2534</Words>
  <Characters>14444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Këshillit të Lartë të Prokurorisë për vitin 2025 dhe rekomandimet për vitin 2026</dc:title>
  <dc:creator>user</dc:creator>
  <cp:lastModifiedBy>fjora.cahani</cp:lastModifiedBy>
  <cp:revision>225</cp:revision>
  <cp:lastPrinted>2026-07-25T07:47:00Z</cp:lastPrinted>
  <dcterms:created xsi:type="dcterms:W3CDTF">2019-04-04T07:08:00Z</dcterms:created>
  <dcterms:modified xsi:type="dcterms:W3CDTF">2026-07-30T09:55:00Z</dcterms:modified>
</cp:coreProperties>
</file>