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E32D91" w14:textId="45B04F62" w:rsidR="00493028" w:rsidRPr="008B032A" w:rsidRDefault="0042060E" w:rsidP="004D7A14">
      <w:pPr>
        <w:spacing w:after="0" w:line="240" w:lineRule="auto"/>
        <w:ind w:firstLine="284"/>
        <w:jc w:val="center"/>
        <w:rPr>
          <w:rFonts w:ascii="Garamond" w:eastAsia="Times New Roman" w:hAnsi="Garamond" w:cs="Times New Roman"/>
          <w:b/>
          <w:sz w:val="24"/>
          <w:szCs w:val="24"/>
        </w:rPr>
      </w:pPr>
      <w:r w:rsidRPr="008B032A">
        <w:rPr>
          <w:rFonts w:ascii="Garamond" w:eastAsia="Times New Roman" w:hAnsi="Garamond" w:cs="Times New Roman"/>
          <w:b/>
          <w:sz w:val="24"/>
          <w:szCs w:val="24"/>
        </w:rPr>
        <w:t>REZOLUT</w:t>
      </w:r>
      <w:r w:rsidR="007F1C28" w:rsidRPr="008B032A">
        <w:rPr>
          <w:rFonts w:ascii="Garamond" w:eastAsia="Times New Roman" w:hAnsi="Garamond" w:cs="Times New Roman"/>
          <w:b/>
          <w:sz w:val="24"/>
          <w:szCs w:val="24"/>
        </w:rPr>
        <w:t>Ë</w:t>
      </w:r>
      <w:r w:rsidR="00493028" w:rsidRPr="008B032A">
        <w:rPr>
          <w:rFonts w:ascii="Garamond" w:eastAsia="Times New Roman" w:hAnsi="Garamond" w:cs="Times New Roman"/>
          <w:b/>
          <w:sz w:val="24"/>
          <w:szCs w:val="24"/>
        </w:rPr>
        <w:t xml:space="preserve"> </w:t>
      </w:r>
    </w:p>
    <w:p w14:paraId="629DA87A" w14:textId="77777777" w:rsidR="00493028" w:rsidRPr="008B032A" w:rsidRDefault="00493028" w:rsidP="004D7A14">
      <w:pPr>
        <w:spacing w:after="0" w:line="240" w:lineRule="auto"/>
        <w:ind w:firstLine="284"/>
        <w:jc w:val="center"/>
        <w:rPr>
          <w:rFonts w:ascii="Garamond" w:eastAsia="Times New Roman" w:hAnsi="Garamond" w:cs="Times New Roman"/>
          <w:b/>
          <w:sz w:val="24"/>
          <w:szCs w:val="24"/>
        </w:rPr>
      </w:pPr>
    </w:p>
    <w:p w14:paraId="1D1927C9" w14:textId="77777777" w:rsidR="00785C66" w:rsidRPr="008B032A" w:rsidRDefault="003759A8" w:rsidP="004D7A14">
      <w:pPr>
        <w:spacing w:after="0" w:line="240" w:lineRule="auto"/>
        <w:ind w:firstLine="284"/>
        <w:jc w:val="center"/>
        <w:rPr>
          <w:rFonts w:ascii="Garamond" w:eastAsia="Times New Roman" w:hAnsi="Garamond" w:cs="Times New Roman"/>
          <w:b/>
          <w:sz w:val="24"/>
          <w:szCs w:val="24"/>
        </w:rPr>
      </w:pPr>
      <w:r w:rsidRPr="008B032A">
        <w:rPr>
          <w:rFonts w:ascii="Garamond" w:eastAsia="Times New Roman" w:hAnsi="Garamond" w:cs="Times New Roman"/>
          <w:b/>
          <w:sz w:val="24"/>
          <w:szCs w:val="24"/>
        </w:rPr>
        <w:t xml:space="preserve">PËR VLERËSIMIN E VEPRIMTARISË SË PROKURORIT TË PËRGJITHSHËM </w:t>
      </w:r>
    </w:p>
    <w:p w14:paraId="27B6B507" w14:textId="7ED71A4E" w:rsidR="003759A8" w:rsidRPr="008B032A" w:rsidRDefault="003759A8" w:rsidP="004D7A14">
      <w:pPr>
        <w:spacing w:after="0" w:line="240" w:lineRule="auto"/>
        <w:ind w:firstLine="284"/>
        <w:jc w:val="center"/>
        <w:rPr>
          <w:rFonts w:ascii="Garamond" w:eastAsia="Times New Roman" w:hAnsi="Garamond" w:cs="Times New Roman"/>
          <w:b/>
          <w:sz w:val="24"/>
          <w:szCs w:val="24"/>
        </w:rPr>
      </w:pPr>
      <w:r w:rsidRPr="008B032A">
        <w:rPr>
          <w:rFonts w:ascii="Garamond" w:eastAsia="Times New Roman" w:hAnsi="Garamond" w:cs="Times New Roman"/>
          <w:b/>
          <w:sz w:val="24"/>
          <w:szCs w:val="24"/>
        </w:rPr>
        <w:t>PËR VITIN 2025 DHE REKOMANDIMET PËR VITIN 2026</w:t>
      </w:r>
    </w:p>
    <w:p w14:paraId="274B8EE2"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p>
    <w:p w14:paraId="18B53691" w14:textId="50548852" w:rsidR="003759A8" w:rsidRPr="008B032A" w:rsidRDefault="003759A8" w:rsidP="004D7A14">
      <w:pPr>
        <w:spacing w:after="0" w:line="240" w:lineRule="auto"/>
        <w:ind w:firstLine="284"/>
        <w:jc w:val="both"/>
        <w:rPr>
          <w:rFonts w:ascii="Garamond" w:eastAsia="Times New Roman" w:hAnsi="Garamond" w:cs="Times New Roman"/>
          <w:b/>
          <w:sz w:val="24"/>
          <w:szCs w:val="24"/>
        </w:rPr>
      </w:pPr>
      <w:r w:rsidRPr="008B032A">
        <w:rPr>
          <w:rFonts w:ascii="Garamond" w:eastAsia="Times New Roman" w:hAnsi="Garamond" w:cs="Times New Roman"/>
          <w:b/>
          <w:sz w:val="24"/>
          <w:szCs w:val="24"/>
        </w:rPr>
        <w:t>Kuvendi i Shqipërisë,</w:t>
      </w:r>
    </w:p>
    <w:p w14:paraId="7AFB1092"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Duke njohur rëndësinë e rolit kushtetues dhe ligjor të Prokurorisë në ushtrimin e ndjekjes penale, përfaqësimin e akuzës në gjyq, ekzekutimin e vendimeve penale dhe kryerjen e detyrave të tjera të ngarkuara me ligj;</w:t>
      </w:r>
    </w:p>
    <w:p w14:paraId="0CB79E37"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Duke marrë në konsideratë raportimin vjetor të Prokurorit të Përgjithshëm në Kuvend për gjendjen e kriminalitetit në vend, efektivitetin e ndjekjes penale, cilësinë e përfaqësimit të akuzës në gjyq dhe zbatimin e rekomandimeve të Kuvendit;</w:t>
      </w:r>
    </w:p>
    <w:p w14:paraId="7B3D4A1E" w14:textId="6503B7E4"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Duke njohur rolin e Prokurorit të Përgjithshëm në nxjerrjen e udhëzimeve të përgjithshme për prokurorët e prokurorive me </w:t>
      </w:r>
      <w:r w:rsidR="004057A5" w:rsidRPr="008B032A">
        <w:rPr>
          <w:rFonts w:ascii="Garamond" w:eastAsia="Times New Roman" w:hAnsi="Garamond" w:cs="Times New Roman"/>
          <w:bCs/>
          <w:sz w:val="24"/>
          <w:szCs w:val="24"/>
        </w:rPr>
        <w:t xml:space="preserve">juridiksion të përgjithshëm </w:t>
      </w:r>
      <w:r w:rsidRPr="008B032A">
        <w:rPr>
          <w:rFonts w:ascii="Garamond" w:eastAsia="Times New Roman" w:hAnsi="Garamond" w:cs="Times New Roman"/>
          <w:bCs/>
          <w:sz w:val="24"/>
          <w:szCs w:val="24"/>
        </w:rPr>
        <w:t>dhe për oficerët e Policisë Gjyqësore, si dhe në mbikëqyrjen e zbatimit të tyre;</w:t>
      </w:r>
    </w:p>
    <w:p w14:paraId="79514C31"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Duke vlerësuar rëndësinë e forcimit të hetimeve </w:t>
      </w:r>
      <w:proofErr w:type="spellStart"/>
      <w:r w:rsidRPr="008B032A">
        <w:rPr>
          <w:rFonts w:ascii="Garamond" w:eastAsia="Times New Roman" w:hAnsi="Garamond" w:cs="Times New Roman"/>
          <w:bCs/>
          <w:sz w:val="24"/>
          <w:szCs w:val="24"/>
        </w:rPr>
        <w:t>proaktive</w:t>
      </w:r>
      <w:proofErr w:type="spellEnd"/>
      <w:r w:rsidRPr="008B032A">
        <w:rPr>
          <w:rFonts w:ascii="Garamond" w:eastAsia="Times New Roman" w:hAnsi="Garamond" w:cs="Times New Roman"/>
          <w:bCs/>
          <w:sz w:val="24"/>
          <w:szCs w:val="24"/>
        </w:rPr>
        <w:t xml:space="preserve">, hetimeve financiare, sekuestrimit dhe konfiskimit të </w:t>
      </w:r>
      <w:proofErr w:type="spellStart"/>
      <w:r w:rsidRPr="008B032A">
        <w:rPr>
          <w:rFonts w:ascii="Garamond" w:eastAsia="Times New Roman" w:hAnsi="Garamond" w:cs="Times New Roman"/>
          <w:bCs/>
          <w:sz w:val="24"/>
          <w:szCs w:val="24"/>
        </w:rPr>
        <w:t>aseteve</w:t>
      </w:r>
      <w:proofErr w:type="spellEnd"/>
      <w:r w:rsidRPr="008B032A">
        <w:rPr>
          <w:rFonts w:ascii="Garamond" w:eastAsia="Times New Roman" w:hAnsi="Garamond" w:cs="Times New Roman"/>
          <w:bCs/>
          <w:sz w:val="24"/>
          <w:szCs w:val="24"/>
        </w:rPr>
        <w:t xml:space="preserve"> kriminale, si instrumente të rëndësishme për rritjen e efektivitetit të luftës kundër kriminalitetit;</w:t>
      </w:r>
    </w:p>
    <w:p w14:paraId="3EE4F833"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Duke marrë në konsideratë nevojën për zbatimin e parimit të </w:t>
      </w:r>
      <w:proofErr w:type="spellStart"/>
      <w:r w:rsidRPr="008B032A">
        <w:rPr>
          <w:rFonts w:ascii="Garamond" w:eastAsia="Times New Roman" w:hAnsi="Garamond" w:cs="Times New Roman"/>
          <w:bCs/>
          <w:sz w:val="24"/>
          <w:szCs w:val="24"/>
        </w:rPr>
        <w:t>proporcionalitetit</w:t>
      </w:r>
      <w:proofErr w:type="spellEnd"/>
      <w:r w:rsidRPr="008B032A">
        <w:rPr>
          <w:rFonts w:ascii="Garamond" w:eastAsia="Times New Roman" w:hAnsi="Garamond" w:cs="Times New Roman"/>
          <w:bCs/>
          <w:sz w:val="24"/>
          <w:szCs w:val="24"/>
        </w:rPr>
        <w:t xml:space="preserve"> në kërkimin e masave të sigurimit personal dhe përdorimin më të gjerë të masave alternative ndaj arrestit;</w:t>
      </w:r>
    </w:p>
    <w:p w14:paraId="711294DD" w14:textId="443E45EE"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Duke marrë në konsideratë rekomandimet e Bashkimit Evropian, </w:t>
      </w:r>
      <w:proofErr w:type="spellStart"/>
      <w:r w:rsidRPr="008B032A">
        <w:rPr>
          <w:rFonts w:ascii="Garamond" w:eastAsia="Times New Roman" w:hAnsi="Garamond" w:cs="Times New Roman"/>
          <w:bCs/>
          <w:sz w:val="24"/>
          <w:szCs w:val="24"/>
        </w:rPr>
        <w:t>GRECO</w:t>
      </w:r>
      <w:proofErr w:type="spellEnd"/>
      <w:r w:rsidRPr="008B032A">
        <w:rPr>
          <w:rFonts w:ascii="Garamond" w:eastAsia="Times New Roman" w:hAnsi="Garamond" w:cs="Times New Roman"/>
          <w:bCs/>
          <w:sz w:val="24"/>
          <w:szCs w:val="24"/>
        </w:rPr>
        <w:t xml:space="preserve">-s, </w:t>
      </w:r>
      <w:proofErr w:type="spellStart"/>
      <w:r w:rsidRPr="008B032A">
        <w:rPr>
          <w:rFonts w:ascii="Garamond" w:eastAsia="Times New Roman" w:hAnsi="Garamond" w:cs="Times New Roman"/>
          <w:bCs/>
          <w:sz w:val="24"/>
          <w:szCs w:val="24"/>
        </w:rPr>
        <w:t>MONEYVAL</w:t>
      </w:r>
      <w:proofErr w:type="spellEnd"/>
      <w:r w:rsidRPr="008B032A">
        <w:rPr>
          <w:rFonts w:ascii="Garamond" w:eastAsia="Times New Roman" w:hAnsi="Garamond" w:cs="Times New Roman"/>
          <w:bCs/>
          <w:sz w:val="24"/>
          <w:szCs w:val="24"/>
        </w:rPr>
        <w:t xml:space="preserve">-it, </w:t>
      </w:r>
      <w:proofErr w:type="spellStart"/>
      <w:r w:rsidRPr="008B032A">
        <w:rPr>
          <w:rFonts w:ascii="Garamond" w:eastAsia="Times New Roman" w:hAnsi="Garamond" w:cs="Times New Roman"/>
          <w:bCs/>
          <w:sz w:val="24"/>
          <w:szCs w:val="24"/>
        </w:rPr>
        <w:t>CEPEJ</w:t>
      </w:r>
      <w:proofErr w:type="spellEnd"/>
      <w:r w:rsidRPr="008B032A">
        <w:rPr>
          <w:rFonts w:ascii="Garamond" w:eastAsia="Times New Roman" w:hAnsi="Garamond" w:cs="Times New Roman"/>
          <w:bCs/>
          <w:sz w:val="24"/>
          <w:szCs w:val="24"/>
        </w:rPr>
        <w:t>-it dhe organizmave të tjerë ndërkombëtarë që lidhen me funksionimin e prokurorisë, cilësinë e drejtësisë, hetimet financiare, bashkëpunimin ndërkombëtar dhe respektimin e standardeve të procesit të rregullt ligj</w:t>
      </w:r>
      <w:r w:rsidR="008B032A">
        <w:rPr>
          <w:rFonts w:ascii="Garamond" w:eastAsia="Times New Roman" w:hAnsi="Garamond" w:cs="Times New Roman"/>
          <w:bCs/>
          <w:sz w:val="24"/>
          <w:szCs w:val="24"/>
        </w:rPr>
        <w:t>or,</w:t>
      </w:r>
    </w:p>
    <w:p w14:paraId="3F11BD04" w14:textId="23614A79" w:rsidR="003759A8" w:rsidRPr="008B032A" w:rsidRDefault="003759A8" w:rsidP="004D7A14">
      <w:pPr>
        <w:spacing w:after="0" w:line="240" w:lineRule="auto"/>
        <w:ind w:firstLine="284"/>
        <w:jc w:val="both"/>
        <w:rPr>
          <w:rFonts w:ascii="Garamond" w:eastAsia="Times New Roman" w:hAnsi="Garamond" w:cs="Times New Roman"/>
          <w:b/>
          <w:sz w:val="24"/>
          <w:szCs w:val="24"/>
        </w:rPr>
      </w:pPr>
      <w:r w:rsidRPr="008B032A">
        <w:rPr>
          <w:rFonts w:ascii="Garamond" w:eastAsia="Times New Roman" w:hAnsi="Garamond" w:cs="Times New Roman"/>
          <w:b/>
          <w:sz w:val="24"/>
          <w:szCs w:val="24"/>
        </w:rPr>
        <w:t>Vlerëson veprimtarinë e Prokurorit të Përgjithshëm gjatë vitit 2025</w:t>
      </w:r>
      <w:r w:rsidR="008B032A">
        <w:rPr>
          <w:rFonts w:ascii="Garamond" w:eastAsia="Times New Roman" w:hAnsi="Garamond" w:cs="Times New Roman"/>
          <w:b/>
          <w:sz w:val="24"/>
          <w:szCs w:val="24"/>
        </w:rPr>
        <w:t>,</w:t>
      </w:r>
      <w:r w:rsidRPr="008B032A">
        <w:rPr>
          <w:rFonts w:ascii="Garamond" w:eastAsia="Times New Roman" w:hAnsi="Garamond" w:cs="Times New Roman"/>
          <w:b/>
          <w:sz w:val="24"/>
          <w:szCs w:val="24"/>
        </w:rPr>
        <w:t xml:space="preserve"> në drejtim të:</w:t>
      </w:r>
    </w:p>
    <w:p w14:paraId="268D1733"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Administrimit të 66 397 materialeve në shqyrtim, ndjekjes së 50 121 procedimeve penale, regjistrimit të 27 077 procedimeve të reja, përfaqësimit të akuzës në 10 423 procedime në shkallë të parë, dërgimit në gjykatë të 12 249 të pandehurve, çështjeve të filluara kryesisht dhe përdorimit të mjeteve të posaçme hetimore në 387 procedime penale, si dhe sekuestrimit të </w:t>
      </w:r>
      <w:proofErr w:type="spellStart"/>
      <w:r w:rsidRPr="008B032A">
        <w:rPr>
          <w:rFonts w:ascii="Garamond" w:eastAsia="Times New Roman" w:hAnsi="Garamond" w:cs="Times New Roman"/>
          <w:bCs/>
          <w:sz w:val="24"/>
          <w:szCs w:val="24"/>
        </w:rPr>
        <w:t>aseteve</w:t>
      </w:r>
      <w:proofErr w:type="spellEnd"/>
      <w:r w:rsidRPr="008B032A">
        <w:rPr>
          <w:rFonts w:ascii="Garamond" w:eastAsia="Times New Roman" w:hAnsi="Garamond" w:cs="Times New Roman"/>
          <w:bCs/>
          <w:sz w:val="24"/>
          <w:szCs w:val="24"/>
        </w:rPr>
        <w:t xml:space="preserve"> me vlerë rreth 4.057 miliardë lekë dhe konfiskimit të </w:t>
      </w:r>
      <w:proofErr w:type="spellStart"/>
      <w:r w:rsidRPr="008B032A">
        <w:rPr>
          <w:rFonts w:ascii="Garamond" w:eastAsia="Times New Roman" w:hAnsi="Garamond" w:cs="Times New Roman"/>
          <w:bCs/>
          <w:sz w:val="24"/>
          <w:szCs w:val="24"/>
        </w:rPr>
        <w:t>aseteve</w:t>
      </w:r>
      <w:proofErr w:type="spellEnd"/>
      <w:r w:rsidRPr="008B032A">
        <w:rPr>
          <w:rFonts w:ascii="Garamond" w:eastAsia="Times New Roman" w:hAnsi="Garamond" w:cs="Times New Roman"/>
          <w:bCs/>
          <w:sz w:val="24"/>
          <w:szCs w:val="24"/>
        </w:rPr>
        <w:t xml:space="preserve"> me vlerë rreth 305 milionë lekë.</w:t>
      </w:r>
    </w:p>
    <w:p w14:paraId="0DBFC3B7"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Miratimit të udhëzimeve të përgjithshme, urdhrave dhe akteve administrative, me qëllim unifikimin e praktikës së prokurorive me juridiksion të përgjithshëm, orientimin e politikës penale dhe përmirësimin e standardeve të ndjekjes penale.</w:t>
      </w:r>
    </w:p>
    <w:p w14:paraId="10C40233"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Masave të ndërmarra për forcimin e hetimeve </w:t>
      </w:r>
      <w:proofErr w:type="spellStart"/>
      <w:r w:rsidRPr="008B032A">
        <w:rPr>
          <w:rFonts w:ascii="Garamond" w:eastAsia="Times New Roman" w:hAnsi="Garamond" w:cs="Times New Roman"/>
          <w:bCs/>
          <w:sz w:val="24"/>
          <w:szCs w:val="24"/>
        </w:rPr>
        <w:t>proaktive</w:t>
      </w:r>
      <w:proofErr w:type="spellEnd"/>
      <w:r w:rsidRPr="008B032A">
        <w:rPr>
          <w:rFonts w:ascii="Garamond" w:eastAsia="Times New Roman" w:hAnsi="Garamond" w:cs="Times New Roman"/>
          <w:bCs/>
          <w:sz w:val="24"/>
          <w:szCs w:val="24"/>
        </w:rPr>
        <w:t>, rritjen e rolit aktiv të prokurorit në nisjen e procedimeve kryesisht, si dhe përdorimin më efektiv të mjeteve dhe teknikave të posaçme hetimore.</w:t>
      </w:r>
    </w:p>
    <w:p w14:paraId="4A951347" w14:textId="65E96A0E"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Angazhimit për mbrojtjen e viktimave të dhunës në familje, grave, të miturve dhe grupeve </w:t>
      </w:r>
      <w:proofErr w:type="spellStart"/>
      <w:r w:rsidRPr="008B032A">
        <w:rPr>
          <w:rFonts w:ascii="Garamond" w:eastAsia="Times New Roman" w:hAnsi="Garamond" w:cs="Times New Roman"/>
          <w:bCs/>
          <w:sz w:val="24"/>
          <w:szCs w:val="24"/>
        </w:rPr>
        <w:t>vulnerabël</w:t>
      </w:r>
      <w:proofErr w:type="spellEnd"/>
      <w:r w:rsidRPr="008B032A">
        <w:rPr>
          <w:rFonts w:ascii="Garamond" w:eastAsia="Times New Roman" w:hAnsi="Garamond" w:cs="Times New Roman"/>
          <w:bCs/>
          <w:sz w:val="24"/>
          <w:szCs w:val="24"/>
        </w:rPr>
        <w:t xml:space="preserve"> përmes zbatimit të udhëzimeve përkatëse, forcimit të politikës penale, trajnimeve dhe bashkëpunimit.</w:t>
      </w:r>
    </w:p>
    <w:p w14:paraId="54115FD6"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Angazhimit për konsolidimin e standardeve të drejtësisë penale për të mitur, përfshirë orientimin drejt masave alternative, drejtësisë restauruese, trajtimit të diferencuar të </w:t>
      </w:r>
      <w:proofErr w:type="spellStart"/>
      <w:r w:rsidRPr="008B032A">
        <w:rPr>
          <w:rFonts w:ascii="Garamond" w:eastAsia="Times New Roman" w:hAnsi="Garamond" w:cs="Times New Roman"/>
          <w:bCs/>
          <w:sz w:val="24"/>
          <w:szCs w:val="24"/>
        </w:rPr>
        <w:t>të</w:t>
      </w:r>
      <w:proofErr w:type="spellEnd"/>
      <w:r w:rsidRPr="008B032A">
        <w:rPr>
          <w:rFonts w:ascii="Garamond" w:eastAsia="Times New Roman" w:hAnsi="Garamond" w:cs="Times New Roman"/>
          <w:bCs/>
          <w:sz w:val="24"/>
          <w:szCs w:val="24"/>
        </w:rPr>
        <w:t xml:space="preserve"> miturve dhe përmirësimit të praktikës së prokurorive në çështjet me të mitur.</w:t>
      </w:r>
    </w:p>
    <w:p w14:paraId="399674CD"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Miratimit dhe publikimit të strategjive institucionale për komunikimin publik, transparencën dhe planifikimin afatmesëm, të cilat parashikojnë publikimin periodik të statistikave, informimin e viktimave dhe qytetarëve, si dhe përcaktimin e objektivave, masave dhe treguesve të </w:t>
      </w:r>
      <w:proofErr w:type="spellStart"/>
      <w:r w:rsidRPr="008B032A">
        <w:rPr>
          <w:rFonts w:ascii="Garamond" w:eastAsia="Times New Roman" w:hAnsi="Garamond" w:cs="Times New Roman"/>
          <w:bCs/>
          <w:sz w:val="24"/>
          <w:szCs w:val="24"/>
        </w:rPr>
        <w:t>performancës</w:t>
      </w:r>
      <w:proofErr w:type="spellEnd"/>
      <w:r w:rsidRPr="008B032A">
        <w:rPr>
          <w:rFonts w:ascii="Garamond" w:eastAsia="Times New Roman" w:hAnsi="Garamond" w:cs="Times New Roman"/>
          <w:bCs/>
          <w:sz w:val="24"/>
          <w:szCs w:val="24"/>
        </w:rPr>
        <w:t xml:space="preserve"> për zhvillimin institucional.</w:t>
      </w:r>
    </w:p>
    <w:p w14:paraId="5C0BB111" w14:textId="3B4FA213"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Konsolidimit të bashkëpunimit ndërkombëtar, veçanërisht me </w:t>
      </w:r>
      <w:proofErr w:type="spellStart"/>
      <w:r w:rsidRPr="008B032A">
        <w:rPr>
          <w:rFonts w:ascii="Garamond" w:eastAsia="Times New Roman" w:hAnsi="Garamond" w:cs="Times New Roman"/>
          <w:bCs/>
          <w:sz w:val="24"/>
          <w:szCs w:val="24"/>
        </w:rPr>
        <w:t>EUROJUST</w:t>
      </w:r>
      <w:proofErr w:type="spellEnd"/>
      <w:r w:rsidRPr="008B032A">
        <w:rPr>
          <w:rFonts w:ascii="Garamond" w:eastAsia="Times New Roman" w:hAnsi="Garamond" w:cs="Times New Roman"/>
          <w:bCs/>
          <w:sz w:val="24"/>
          <w:szCs w:val="24"/>
        </w:rPr>
        <w:t xml:space="preserve">-in, </w:t>
      </w:r>
      <w:proofErr w:type="spellStart"/>
      <w:r w:rsidRPr="008B032A">
        <w:rPr>
          <w:rFonts w:ascii="Garamond" w:eastAsia="Times New Roman" w:hAnsi="Garamond" w:cs="Times New Roman"/>
          <w:bCs/>
          <w:sz w:val="24"/>
          <w:szCs w:val="24"/>
        </w:rPr>
        <w:t>EPPO</w:t>
      </w:r>
      <w:proofErr w:type="spellEnd"/>
      <w:r w:rsidRPr="008B032A">
        <w:rPr>
          <w:rFonts w:ascii="Garamond" w:eastAsia="Times New Roman" w:hAnsi="Garamond" w:cs="Times New Roman"/>
          <w:bCs/>
          <w:sz w:val="24"/>
          <w:szCs w:val="24"/>
        </w:rPr>
        <w:t>-n dhe autoritetet gjyqësore të shteteve anëtare të Bashkimit Evropian, përmes trajtimit të rasteve ndërkufitare, pjesëmarrjes në takime koordinimi dhe përdorimit të skuadrave të përbashkëta hetimore në luftën kundër krimit të organizuar.</w:t>
      </w:r>
    </w:p>
    <w:p w14:paraId="2F0ECD57" w14:textId="55D93BA8" w:rsidR="003759A8" w:rsidRPr="008B032A" w:rsidRDefault="003759A8" w:rsidP="004D7A14">
      <w:pPr>
        <w:spacing w:after="0" w:line="240" w:lineRule="auto"/>
        <w:ind w:firstLine="284"/>
        <w:jc w:val="both"/>
        <w:rPr>
          <w:rFonts w:ascii="Garamond" w:eastAsia="Times New Roman" w:hAnsi="Garamond" w:cs="Times New Roman"/>
          <w:b/>
          <w:sz w:val="24"/>
          <w:szCs w:val="24"/>
        </w:rPr>
      </w:pPr>
      <w:r w:rsidRPr="008B032A">
        <w:rPr>
          <w:rFonts w:ascii="Garamond" w:eastAsia="Times New Roman" w:hAnsi="Garamond" w:cs="Times New Roman"/>
          <w:b/>
          <w:sz w:val="24"/>
          <w:szCs w:val="24"/>
        </w:rPr>
        <w:t>Kuvendi rekomandon që Prokurori i Përgjithshëm për vitin 2026 të angazhohet edhe në këto drejtime:</w:t>
      </w:r>
    </w:p>
    <w:p w14:paraId="65E85CF8" w14:textId="6F8A0A09"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1.</w:t>
      </w:r>
      <w:r w:rsidR="009113EE"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Të zgjerojë përdorimin sistematik të hetimeve financiare paralele që në fazat e hershme të procedimit penal, veçanërisht për pastrimin e parave, korrupsionin, trafikun e narkotikëve dhe veprat me përfitim të lartë pasuror.</w:t>
      </w:r>
    </w:p>
    <w:p w14:paraId="1E43722F" w14:textId="0586F501"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lastRenderedPageBreak/>
        <w:t>2.</w:t>
      </w:r>
      <w:r w:rsidR="009113EE"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 xml:space="preserve">Të vijojë monitorimin e veprave penale që lidhen me sigurinë rrugore dhe në bashkëpunim me institucionet përgjegjëse të evidentojë nëse problematikat vijnë nga mangësi të kuadrit ligjor, nga zbatimi administrativ i normave rrugore </w:t>
      </w:r>
      <w:r w:rsidR="00413BF2" w:rsidRPr="008B032A">
        <w:rPr>
          <w:rFonts w:ascii="Garamond" w:eastAsia="Times New Roman" w:hAnsi="Garamond" w:cs="Times New Roman"/>
          <w:bCs/>
          <w:color w:val="000000" w:themeColor="text1"/>
          <w:sz w:val="24"/>
          <w:szCs w:val="24"/>
        </w:rPr>
        <w:t>apo</w:t>
      </w:r>
      <w:r w:rsidRPr="008B032A">
        <w:rPr>
          <w:rFonts w:ascii="Garamond" w:eastAsia="Times New Roman" w:hAnsi="Garamond" w:cs="Times New Roman"/>
          <w:bCs/>
          <w:sz w:val="24"/>
          <w:szCs w:val="24"/>
        </w:rPr>
        <w:t xml:space="preserve"> nga nevoja për forcim të ndjekjes penale.</w:t>
      </w:r>
    </w:p>
    <w:p w14:paraId="1C80319E" w14:textId="7EAC88BB"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3.</w:t>
      </w:r>
      <w:r w:rsidR="009113EE"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Të rrisë përdorimin e masave alternative të sigurimit, përfshirë garancinë pasurore, detyrimin për paraqitje, ndalimin e daljes jashtë shtetit dhe masa të tjera proporcionale për autorë ose vepra me rrezikshmëri të ulët.</w:t>
      </w:r>
    </w:p>
    <w:p w14:paraId="7CFC4B3E"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4. Të vijojë zbatimin e udhëzimeve të përgjithshme në përputhje edhe me vendimet e Gjykatës së Lartë dhe Gjykatës Evropiane të </w:t>
      </w:r>
      <w:proofErr w:type="spellStart"/>
      <w:r w:rsidRPr="008B032A">
        <w:rPr>
          <w:rFonts w:ascii="Garamond" w:eastAsia="Times New Roman" w:hAnsi="Garamond" w:cs="Times New Roman"/>
          <w:bCs/>
          <w:sz w:val="24"/>
          <w:szCs w:val="24"/>
        </w:rPr>
        <w:t>të</w:t>
      </w:r>
      <w:proofErr w:type="spellEnd"/>
      <w:r w:rsidRPr="008B032A">
        <w:rPr>
          <w:rFonts w:ascii="Garamond" w:eastAsia="Times New Roman" w:hAnsi="Garamond" w:cs="Times New Roman"/>
          <w:bCs/>
          <w:sz w:val="24"/>
          <w:szCs w:val="24"/>
        </w:rPr>
        <w:t xml:space="preserve"> Drejtave të Njeriut (</w:t>
      </w:r>
      <w:proofErr w:type="spellStart"/>
      <w:r w:rsidRPr="008B032A">
        <w:rPr>
          <w:rFonts w:ascii="Garamond" w:eastAsia="Times New Roman" w:hAnsi="Garamond" w:cs="Times New Roman"/>
          <w:bCs/>
          <w:sz w:val="24"/>
          <w:szCs w:val="24"/>
        </w:rPr>
        <w:t>GjEDNj</w:t>
      </w:r>
      <w:proofErr w:type="spellEnd"/>
      <w:r w:rsidRPr="008B032A">
        <w:rPr>
          <w:rFonts w:ascii="Garamond" w:eastAsia="Times New Roman" w:hAnsi="Garamond" w:cs="Times New Roman"/>
          <w:bCs/>
          <w:sz w:val="24"/>
          <w:szCs w:val="24"/>
        </w:rPr>
        <w:t>) për përdorimin e arrestit në burg si masë e fundit, duke siguruar që kërkesat për masa sigurimi të jenë të individualizuara, të arsyetuara dhe të mbështetura në analizë konkrete të kushteve ligjore.</w:t>
      </w:r>
    </w:p>
    <w:p w14:paraId="75DF8959" w14:textId="2806AE94" w:rsidR="003759A8" w:rsidRPr="008B032A" w:rsidRDefault="003759A8" w:rsidP="004D7A14">
      <w:pPr>
        <w:spacing w:after="0" w:line="240" w:lineRule="auto"/>
        <w:ind w:firstLine="284"/>
        <w:jc w:val="both"/>
        <w:rPr>
          <w:rFonts w:ascii="Garamond" w:eastAsia="Times New Roman" w:hAnsi="Garamond" w:cs="Times New Roman"/>
          <w:bCs/>
          <w:color w:val="000000" w:themeColor="text1"/>
          <w:sz w:val="24"/>
          <w:szCs w:val="24"/>
        </w:rPr>
      </w:pPr>
      <w:r w:rsidRPr="008B032A">
        <w:rPr>
          <w:rFonts w:ascii="Garamond" w:eastAsia="Times New Roman" w:hAnsi="Garamond" w:cs="Times New Roman"/>
          <w:bCs/>
          <w:sz w:val="24"/>
          <w:szCs w:val="24"/>
        </w:rPr>
        <w:t xml:space="preserve">5. </w:t>
      </w:r>
      <w:r w:rsidRPr="008B032A">
        <w:rPr>
          <w:rFonts w:ascii="Garamond" w:eastAsia="Times New Roman" w:hAnsi="Garamond" w:cs="Times New Roman"/>
          <w:bCs/>
          <w:color w:val="000000" w:themeColor="text1"/>
          <w:sz w:val="24"/>
          <w:szCs w:val="24"/>
        </w:rPr>
        <w:t xml:space="preserve">Të krijojë një mekanizëm të brendshëm monitorimi për standardet e procesit të rregullt ligjor, veçanërisht për kohëzgjatjen e procedimeve dhe çështjet që lidhen me nenin 6 të Konventës </w:t>
      </w:r>
      <w:r w:rsidR="008B032A" w:rsidRPr="008B032A">
        <w:rPr>
          <w:rFonts w:ascii="Garamond" w:eastAsia="Times New Roman" w:hAnsi="Garamond" w:cs="Times New Roman"/>
          <w:bCs/>
          <w:color w:val="000000" w:themeColor="text1"/>
          <w:sz w:val="24"/>
          <w:szCs w:val="24"/>
        </w:rPr>
        <w:t>Evropiane</w:t>
      </w:r>
      <w:r w:rsidRPr="008B032A">
        <w:rPr>
          <w:rFonts w:ascii="Garamond" w:eastAsia="Times New Roman" w:hAnsi="Garamond" w:cs="Times New Roman"/>
          <w:bCs/>
          <w:color w:val="000000" w:themeColor="text1"/>
          <w:sz w:val="24"/>
          <w:szCs w:val="24"/>
        </w:rPr>
        <w:t xml:space="preserve"> për të Drejtat e Njeriut (</w:t>
      </w:r>
      <w:proofErr w:type="spellStart"/>
      <w:r w:rsidRPr="008B032A">
        <w:rPr>
          <w:rFonts w:ascii="Garamond" w:eastAsia="Times New Roman" w:hAnsi="Garamond" w:cs="Times New Roman"/>
          <w:bCs/>
          <w:color w:val="000000" w:themeColor="text1"/>
          <w:sz w:val="24"/>
          <w:szCs w:val="24"/>
        </w:rPr>
        <w:t>KEDNj</w:t>
      </w:r>
      <w:proofErr w:type="spellEnd"/>
      <w:r w:rsidRPr="008B032A">
        <w:rPr>
          <w:rFonts w:ascii="Garamond" w:eastAsia="Times New Roman" w:hAnsi="Garamond" w:cs="Times New Roman"/>
          <w:bCs/>
          <w:color w:val="000000" w:themeColor="text1"/>
          <w:sz w:val="24"/>
          <w:szCs w:val="24"/>
        </w:rPr>
        <w:t xml:space="preserve">) dhe sipas standardeve të Komisionit </w:t>
      </w:r>
      <w:r w:rsidR="008B032A" w:rsidRPr="008B032A">
        <w:rPr>
          <w:rFonts w:ascii="Garamond" w:eastAsia="Times New Roman" w:hAnsi="Garamond" w:cs="Times New Roman"/>
          <w:bCs/>
          <w:color w:val="000000" w:themeColor="text1"/>
          <w:sz w:val="24"/>
          <w:szCs w:val="24"/>
        </w:rPr>
        <w:t>Evropian</w:t>
      </w:r>
      <w:r w:rsidRPr="008B032A">
        <w:rPr>
          <w:rFonts w:ascii="Garamond" w:eastAsia="Times New Roman" w:hAnsi="Garamond" w:cs="Times New Roman"/>
          <w:bCs/>
          <w:color w:val="000000" w:themeColor="text1"/>
          <w:sz w:val="24"/>
          <w:szCs w:val="24"/>
        </w:rPr>
        <w:t xml:space="preserve"> </w:t>
      </w:r>
      <w:r w:rsidR="0044774E" w:rsidRPr="008B032A">
        <w:rPr>
          <w:rFonts w:ascii="Garamond" w:eastAsia="Times New Roman" w:hAnsi="Garamond" w:cs="Times New Roman"/>
          <w:bCs/>
          <w:color w:val="000000" w:themeColor="text1"/>
          <w:sz w:val="24"/>
          <w:szCs w:val="24"/>
        </w:rPr>
        <w:t>për</w:t>
      </w:r>
      <w:r w:rsidRPr="008B032A">
        <w:rPr>
          <w:rFonts w:ascii="Garamond" w:eastAsia="Times New Roman" w:hAnsi="Garamond" w:cs="Times New Roman"/>
          <w:bCs/>
          <w:color w:val="000000" w:themeColor="text1"/>
          <w:sz w:val="24"/>
          <w:szCs w:val="24"/>
        </w:rPr>
        <w:t xml:space="preserve"> </w:t>
      </w:r>
      <w:proofErr w:type="spellStart"/>
      <w:r w:rsidR="009113EE" w:rsidRPr="008B032A">
        <w:rPr>
          <w:rFonts w:ascii="Garamond" w:eastAsia="Times New Roman" w:hAnsi="Garamond" w:cs="Times New Roman"/>
          <w:bCs/>
          <w:color w:val="000000" w:themeColor="text1"/>
          <w:sz w:val="24"/>
          <w:szCs w:val="24"/>
        </w:rPr>
        <w:t>Eficiencën</w:t>
      </w:r>
      <w:proofErr w:type="spellEnd"/>
      <w:r w:rsidRPr="008B032A">
        <w:rPr>
          <w:rFonts w:ascii="Garamond" w:eastAsia="Times New Roman" w:hAnsi="Garamond" w:cs="Times New Roman"/>
          <w:bCs/>
          <w:color w:val="000000" w:themeColor="text1"/>
          <w:sz w:val="24"/>
          <w:szCs w:val="24"/>
        </w:rPr>
        <w:t xml:space="preserve"> e </w:t>
      </w:r>
      <w:r w:rsidR="009113EE" w:rsidRPr="008B032A">
        <w:rPr>
          <w:rFonts w:ascii="Garamond" w:eastAsia="Times New Roman" w:hAnsi="Garamond" w:cs="Times New Roman"/>
          <w:bCs/>
          <w:color w:val="000000" w:themeColor="text1"/>
          <w:sz w:val="24"/>
          <w:szCs w:val="24"/>
        </w:rPr>
        <w:t>Drejtësisë</w:t>
      </w:r>
      <w:r w:rsidR="008B032A">
        <w:rPr>
          <w:rFonts w:ascii="Times New Roman" w:eastAsia="Times New Roman" w:hAnsi="Times New Roman" w:cs="Times New Roman"/>
          <w:bCs/>
          <w:color w:val="000000" w:themeColor="text1"/>
          <w:sz w:val="24"/>
          <w:szCs w:val="24"/>
        </w:rPr>
        <w:t xml:space="preserve"> </w:t>
      </w:r>
      <w:r w:rsidRPr="008B032A">
        <w:rPr>
          <w:rFonts w:ascii="Garamond" w:eastAsia="Times New Roman" w:hAnsi="Garamond" w:cs="Times New Roman"/>
          <w:bCs/>
          <w:color w:val="000000" w:themeColor="text1"/>
          <w:sz w:val="24"/>
          <w:szCs w:val="24"/>
        </w:rPr>
        <w:t>(</w:t>
      </w:r>
      <w:proofErr w:type="spellStart"/>
      <w:r w:rsidRPr="008B032A">
        <w:rPr>
          <w:rFonts w:ascii="Garamond" w:eastAsia="Times New Roman" w:hAnsi="Garamond" w:cs="Times New Roman"/>
          <w:bCs/>
          <w:color w:val="000000" w:themeColor="text1"/>
          <w:sz w:val="24"/>
          <w:szCs w:val="24"/>
        </w:rPr>
        <w:t>CEPEJ</w:t>
      </w:r>
      <w:proofErr w:type="spellEnd"/>
      <w:r w:rsidRPr="008B032A">
        <w:rPr>
          <w:rFonts w:ascii="Garamond" w:eastAsia="Times New Roman" w:hAnsi="Garamond" w:cs="Times New Roman"/>
          <w:bCs/>
          <w:color w:val="000000" w:themeColor="text1"/>
          <w:sz w:val="24"/>
          <w:szCs w:val="24"/>
        </w:rPr>
        <w:t>).</w:t>
      </w:r>
    </w:p>
    <w:p w14:paraId="1BA5170B" w14:textId="5748043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6. Të </w:t>
      </w:r>
      <w:proofErr w:type="spellStart"/>
      <w:r w:rsidRPr="008B032A">
        <w:rPr>
          <w:rFonts w:ascii="Garamond" w:eastAsia="Times New Roman" w:hAnsi="Garamond" w:cs="Times New Roman"/>
          <w:bCs/>
          <w:sz w:val="24"/>
          <w:szCs w:val="24"/>
        </w:rPr>
        <w:t>formalizojë</w:t>
      </w:r>
      <w:proofErr w:type="spellEnd"/>
      <w:r w:rsidRPr="008B032A">
        <w:rPr>
          <w:rFonts w:ascii="Garamond" w:eastAsia="Times New Roman" w:hAnsi="Garamond" w:cs="Times New Roman"/>
          <w:bCs/>
          <w:sz w:val="24"/>
          <w:szCs w:val="24"/>
        </w:rPr>
        <w:t xml:space="preserve"> mekanizmin e bashkëpunimit </w:t>
      </w:r>
      <w:r w:rsidRPr="008B032A">
        <w:rPr>
          <w:rFonts w:ascii="Garamond" w:eastAsia="Times New Roman" w:hAnsi="Garamond" w:cs="Times New Roman"/>
          <w:bCs/>
          <w:color w:val="000000" w:themeColor="text1"/>
          <w:sz w:val="24"/>
          <w:szCs w:val="24"/>
        </w:rPr>
        <w:t>me Inspektorin e Lartë të Drejtësisë dhe Këshilli</w:t>
      </w:r>
      <w:r w:rsidR="00851EB9" w:rsidRPr="008B032A">
        <w:rPr>
          <w:rFonts w:ascii="Garamond" w:eastAsia="Times New Roman" w:hAnsi="Garamond" w:cs="Times New Roman"/>
          <w:bCs/>
          <w:color w:val="000000" w:themeColor="text1"/>
          <w:sz w:val="24"/>
          <w:szCs w:val="24"/>
        </w:rPr>
        <w:t>n</w:t>
      </w:r>
      <w:r w:rsidRPr="008B032A">
        <w:rPr>
          <w:rFonts w:ascii="Garamond" w:eastAsia="Times New Roman" w:hAnsi="Garamond" w:cs="Times New Roman"/>
          <w:bCs/>
          <w:color w:val="000000" w:themeColor="text1"/>
          <w:sz w:val="24"/>
          <w:szCs w:val="24"/>
        </w:rPr>
        <w:t xml:space="preserve"> </w:t>
      </w:r>
      <w:r w:rsidR="008B032A">
        <w:rPr>
          <w:rFonts w:ascii="Garamond" w:eastAsia="Times New Roman" w:hAnsi="Garamond" w:cs="Times New Roman"/>
          <w:bCs/>
          <w:color w:val="000000" w:themeColor="text1"/>
          <w:sz w:val="24"/>
          <w:szCs w:val="24"/>
        </w:rPr>
        <w:t>e</w:t>
      </w:r>
      <w:r w:rsidRPr="008B032A">
        <w:rPr>
          <w:rFonts w:ascii="Garamond" w:eastAsia="Times New Roman" w:hAnsi="Garamond" w:cs="Times New Roman"/>
          <w:bCs/>
          <w:color w:val="000000" w:themeColor="text1"/>
          <w:sz w:val="24"/>
          <w:szCs w:val="24"/>
        </w:rPr>
        <w:t xml:space="preserve"> Lartë të Prokurorisë </w:t>
      </w:r>
      <w:r w:rsidRPr="008B032A">
        <w:rPr>
          <w:rFonts w:ascii="Garamond" w:eastAsia="Times New Roman" w:hAnsi="Garamond" w:cs="Times New Roman"/>
          <w:bCs/>
          <w:sz w:val="24"/>
          <w:szCs w:val="24"/>
        </w:rPr>
        <w:t>përmes nënshkrimit të një marrëveshjeje, ngritjes së një grupi pune, miratimit të një plani masash dhe përcaktimit të një kalendari periodik për shkëmbimin e të dhënave, adresimin e problematikave dhe forcimin</w:t>
      </w:r>
      <w:r w:rsidR="008B032A">
        <w:rPr>
          <w:rFonts w:ascii="Garamond" w:eastAsia="Times New Roman" w:hAnsi="Garamond" w:cs="Times New Roman"/>
          <w:bCs/>
          <w:sz w:val="24"/>
          <w:szCs w:val="24"/>
        </w:rPr>
        <w:t xml:space="preserve"> e integritetit të prokurorëve.</w:t>
      </w:r>
    </w:p>
    <w:p w14:paraId="2771B047" w14:textId="1AB5C33A"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7.</w:t>
      </w:r>
      <w:r w:rsidR="00D16DE4"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 xml:space="preserve">Të përfundojë analizën e përbashkët të Prokurorit të Përgjithshëm, Strukturës së Posaçme </w:t>
      </w:r>
      <w:r w:rsidR="00EC2FEC" w:rsidRPr="008B032A">
        <w:rPr>
          <w:rFonts w:ascii="Garamond" w:eastAsia="Times New Roman" w:hAnsi="Garamond" w:cs="Times New Roman"/>
          <w:bCs/>
          <w:sz w:val="24"/>
          <w:szCs w:val="24"/>
        </w:rPr>
        <w:t>k</w:t>
      </w:r>
      <w:r w:rsidRPr="008B032A">
        <w:rPr>
          <w:rFonts w:ascii="Garamond" w:eastAsia="Times New Roman" w:hAnsi="Garamond" w:cs="Times New Roman"/>
          <w:bCs/>
          <w:sz w:val="24"/>
          <w:szCs w:val="24"/>
        </w:rPr>
        <w:t xml:space="preserve">undër Korrupsionit dhe Krimit të Organizuar dhe Komisionit Qendror të Zgjedhjeve për krimet zgjedhore të vitit 2025, duke përfshirë problematikat e konstatuara dhe rekomandime për përmirësim, duke raportuar brenda muajit shtator </w:t>
      </w:r>
      <w:r w:rsidR="00135081" w:rsidRPr="008B032A">
        <w:rPr>
          <w:rFonts w:ascii="Garamond" w:eastAsia="Times New Roman" w:hAnsi="Garamond" w:cs="Times New Roman"/>
          <w:bCs/>
          <w:sz w:val="24"/>
          <w:szCs w:val="24"/>
        </w:rPr>
        <w:t xml:space="preserve">të vitit </w:t>
      </w:r>
      <w:r w:rsidR="008B032A">
        <w:rPr>
          <w:rFonts w:ascii="Garamond" w:eastAsia="Times New Roman" w:hAnsi="Garamond" w:cs="Times New Roman"/>
          <w:bCs/>
          <w:sz w:val="24"/>
          <w:szCs w:val="24"/>
        </w:rPr>
        <w:t>2026.</w:t>
      </w:r>
    </w:p>
    <w:p w14:paraId="4F845EDF" w14:textId="0CC624B1" w:rsidR="003759A8" w:rsidRPr="008B032A" w:rsidRDefault="003759A8" w:rsidP="004D7A14">
      <w:pPr>
        <w:spacing w:after="0" w:line="240" w:lineRule="auto"/>
        <w:ind w:firstLine="284"/>
        <w:jc w:val="both"/>
        <w:rPr>
          <w:rFonts w:ascii="Garamond" w:eastAsia="Times New Roman" w:hAnsi="Garamond" w:cs="Times New Roman"/>
          <w:bCs/>
          <w:color w:val="EE0000"/>
          <w:sz w:val="24"/>
          <w:szCs w:val="24"/>
        </w:rPr>
      </w:pPr>
      <w:r w:rsidRPr="008B032A">
        <w:rPr>
          <w:rFonts w:ascii="Garamond" w:eastAsia="Times New Roman" w:hAnsi="Garamond" w:cs="Times New Roman"/>
          <w:bCs/>
          <w:sz w:val="24"/>
          <w:szCs w:val="24"/>
        </w:rPr>
        <w:t>8. Në bashkëpunim me Ministrinë e Drejtësisë</w:t>
      </w:r>
      <w:r w:rsidR="008B032A">
        <w:rPr>
          <w:rFonts w:ascii="Garamond" w:eastAsia="Times New Roman" w:hAnsi="Garamond" w:cs="Times New Roman"/>
          <w:bCs/>
          <w:sz w:val="24"/>
          <w:szCs w:val="24"/>
        </w:rPr>
        <w:t>,</w:t>
      </w:r>
      <w:r w:rsidRPr="008B032A">
        <w:rPr>
          <w:rFonts w:ascii="Garamond" w:eastAsia="Times New Roman" w:hAnsi="Garamond" w:cs="Times New Roman"/>
          <w:bCs/>
          <w:sz w:val="24"/>
          <w:szCs w:val="24"/>
        </w:rPr>
        <w:t xml:space="preserve"> </w:t>
      </w:r>
      <w:r w:rsidR="00FA7080" w:rsidRPr="008B032A">
        <w:rPr>
          <w:rFonts w:ascii="Garamond" w:eastAsia="Times New Roman" w:hAnsi="Garamond" w:cs="Times New Roman"/>
          <w:bCs/>
          <w:color w:val="000000" w:themeColor="text1"/>
          <w:sz w:val="24"/>
          <w:szCs w:val="24"/>
        </w:rPr>
        <w:t>brenda muajit tetor të vitit 2026</w:t>
      </w:r>
      <w:r w:rsidR="008B032A">
        <w:rPr>
          <w:rFonts w:ascii="Garamond" w:eastAsia="Times New Roman" w:hAnsi="Garamond" w:cs="Times New Roman"/>
          <w:bCs/>
          <w:color w:val="000000" w:themeColor="text1"/>
          <w:sz w:val="24"/>
          <w:szCs w:val="24"/>
        </w:rPr>
        <w:t>,</w:t>
      </w:r>
      <w:r w:rsidR="00FA7080" w:rsidRPr="008B032A">
        <w:rPr>
          <w:rFonts w:ascii="Garamond" w:eastAsia="Times New Roman" w:hAnsi="Garamond" w:cs="Times New Roman"/>
          <w:bCs/>
          <w:color w:val="000000" w:themeColor="text1"/>
          <w:sz w:val="24"/>
          <w:szCs w:val="24"/>
        </w:rPr>
        <w:t xml:space="preserve"> </w:t>
      </w:r>
      <w:r w:rsidR="00E6722F">
        <w:rPr>
          <w:rFonts w:ascii="Garamond" w:eastAsia="Times New Roman" w:hAnsi="Garamond" w:cs="Times New Roman"/>
          <w:bCs/>
          <w:sz w:val="24"/>
          <w:szCs w:val="24"/>
        </w:rPr>
        <w:t>të informojë</w:t>
      </w:r>
      <w:bookmarkStart w:id="0" w:name="_GoBack"/>
      <w:bookmarkEnd w:id="0"/>
      <w:r w:rsidR="00FA7080"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 xml:space="preserve">Kuvendin </w:t>
      </w:r>
      <w:r w:rsidR="00135081" w:rsidRPr="008B032A">
        <w:rPr>
          <w:rFonts w:ascii="Garamond" w:eastAsia="Times New Roman" w:hAnsi="Garamond" w:cs="Times New Roman"/>
          <w:bCs/>
          <w:sz w:val="24"/>
          <w:szCs w:val="24"/>
        </w:rPr>
        <w:t>për</w:t>
      </w:r>
      <w:r w:rsidRPr="008B032A">
        <w:rPr>
          <w:rFonts w:ascii="Garamond" w:eastAsia="Times New Roman" w:hAnsi="Garamond" w:cs="Times New Roman"/>
          <w:bCs/>
          <w:sz w:val="24"/>
          <w:szCs w:val="24"/>
        </w:rPr>
        <w:t xml:space="preserve"> zbatimin e amnistisë penale, duke evidentuar problematikat praktike, paqartësitë ligjore dhe praktikat gjyqësore që mund të krijohen nga zbatimi i saj, me qëllim zgjidhjen e këtyre problematikave në amnistitë e ardhshme që </w:t>
      </w:r>
      <w:r w:rsidR="00F8292F" w:rsidRPr="008B032A">
        <w:rPr>
          <w:rFonts w:ascii="Garamond" w:eastAsia="Times New Roman" w:hAnsi="Garamond" w:cs="Times New Roman"/>
          <w:bCs/>
          <w:color w:val="000000" w:themeColor="text1"/>
          <w:sz w:val="24"/>
          <w:szCs w:val="24"/>
        </w:rPr>
        <w:t xml:space="preserve">do të </w:t>
      </w:r>
      <w:r w:rsidRPr="008B032A">
        <w:rPr>
          <w:rFonts w:ascii="Garamond" w:eastAsia="Times New Roman" w:hAnsi="Garamond" w:cs="Times New Roman"/>
          <w:bCs/>
          <w:color w:val="000000" w:themeColor="text1"/>
          <w:sz w:val="24"/>
          <w:szCs w:val="24"/>
        </w:rPr>
        <w:t>mirato</w:t>
      </w:r>
      <w:r w:rsidR="00F8292F" w:rsidRPr="008B032A">
        <w:rPr>
          <w:rFonts w:ascii="Garamond" w:eastAsia="Times New Roman" w:hAnsi="Garamond" w:cs="Times New Roman"/>
          <w:bCs/>
          <w:color w:val="000000" w:themeColor="text1"/>
          <w:sz w:val="24"/>
          <w:szCs w:val="24"/>
        </w:rPr>
        <w:t>jë</w:t>
      </w:r>
      <w:r w:rsidRPr="008B032A">
        <w:rPr>
          <w:rFonts w:ascii="Garamond" w:eastAsia="Times New Roman" w:hAnsi="Garamond" w:cs="Times New Roman"/>
          <w:bCs/>
          <w:color w:val="000000" w:themeColor="text1"/>
          <w:sz w:val="24"/>
          <w:szCs w:val="24"/>
        </w:rPr>
        <w:t xml:space="preserve"> </w:t>
      </w:r>
      <w:r w:rsidRPr="008B032A">
        <w:rPr>
          <w:rFonts w:ascii="Garamond" w:eastAsia="Times New Roman" w:hAnsi="Garamond" w:cs="Times New Roman"/>
          <w:bCs/>
          <w:sz w:val="24"/>
          <w:szCs w:val="24"/>
        </w:rPr>
        <w:t>Kuvendi i Shqipërisë</w:t>
      </w:r>
      <w:r w:rsidR="00B11511" w:rsidRPr="008B032A">
        <w:rPr>
          <w:rFonts w:ascii="Garamond" w:eastAsia="Times New Roman" w:hAnsi="Garamond" w:cs="Times New Roman"/>
          <w:bCs/>
          <w:color w:val="EE0000"/>
          <w:sz w:val="24"/>
          <w:szCs w:val="24"/>
        </w:rPr>
        <w:t>.</w:t>
      </w:r>
    </w:p>
    <w:p w14:paraId="24386B01" w14:textId="105DA10E"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9. Të paraqesë një vlerësim </w:t>
      </w:r>
      <w:r w:rsidR="00147593" w:rsidRPr="008B032A">
        <w:rPr>
          <w:rFonts w:ascii="Garamond" w:eastAsia="Times New Roman" w:hAnsi="Garamond" w:cs="Times New Roman"/>
          <w:bCs/>
          <w:sz w:val="24"/>
          <w:szCs w:val="24"/>
        </w:rPr>
        <w:t>për</w:t>
      </w:r>
      <w:r w:rsidRPr="008B032A">
        <w:rPr>
          <w:rFonts w:ascii="Garamond" w:eastAsia="Times New Roman" w:hAnsi="Garamond" w:cs="Times New Roman"/>
          <w:bCs/>
          <w:sz w:val="24"/>
          <w:szCs w:val="24"/>
        </w:rPr>
        <w:t xml:space="preserve"> funksionimin e Policisë Gjyqësore dhe strukturave hetimore në dispozicion të prokurorisë, duke evidentuar problematikat në ndarjen e detyrave, cilësinë e veprimeve hetimore, llogaridhënien, koordinimin me Policinë e Shtetit dhe nevojën për ndryshime ligjore, duke raportuar brenda muajit nëntor </w:t>
      </w:r>
      <w:r w:rsidR="00147593" w:rsidRPr="008B032A">
        <w:rPr>
          <w:rFonts w:ascii="Garamond" w:eastAsia="Times New Roman" w:hAnsi="Garamond" w:cs="Times New Roman"/>
          <w:bCs/>
          <w:sz w:val="24"/>
          <w:szCs w:val="24"/>
        </w:rPr>
        <w:t xml:space="preserve">të vitit </w:t>
      </w:r>
      <w:r w:rsidR="008B032A">
        <w:rPr>
          <w:rFonts w:ascii="Garamond" w:eastAsia="Times New Roman" w:hAnsi="Garamond" w:cs="Times New Roman"/>
          <w:bCs/>
          <w:sz w:val="24"/>
          <w:szCs w:val="24"/>
        </w:rPr>
        <w:t>2026.</w:t>
      </w:r>
    </w:p>
    <w:p w14:paraId="236DBE9C" w14:textId="4CC8A07B"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10. Të raportojë </w:t>
      </w:r>
      <w:r w:rsidR="00147593" w:rsidRPr="008B032A">
        <w:rPr>
          <w:rFonts w:ascii="Garamond" w:eastAsia="Times New Roman" w:hAnsi="Garamond" w:cs="Times New Roman"/>
          <w:bCs/>
          <w:sz w:val="24"/>
          <w:szCs w:val="24"/>
        </w:rPr>
        <w:t>për</w:t>
      </w:r>
      <w:r w:rsidRPr="008B032A">
        <w:rPr>
          <w:rFonts w:ascii="Garamond" w:eastAsia="Times New Roman" w:hAnsi="Garamond" w:cs="Times New Roman"/>
          <w:bCs/>
          <w:sz w:val="24"/>
          <w:szCs w:val="24"/>
        </w:rPr>
        <w:t xml:space="preserve"> masat e marra për mbrojtjen e viktimave, duke përfshirë numrin e viktimave të </w:t>
      </w:r>
      <w:proofErr w:type="spellStart"/>
      <w:r w:rsidRPr="008B032A">
        <w:rPr>
          <w:rFonts w:ascii="Garamond" w:eastAsia="Times New Roman" w:hAnsi="Garamond" w:cs="Times New Roman"/>
          <w:bCs/>
          <w:sz w:val="24"/>
          <w:szCs w:val="24"/>
        </w:rPr>
        <w:t>asistuara</w:t>
      </w:r>
      <w:proofErr w:type="spellEnd"/>
      <w:r w:rsidRPr="008B032A">
        <w:rPr>
          <w:rFonts w:ascii="Garamond" w:eastAsia="Times New Roman" w:hAnsi="Garamond" w:cs="Times New Roman"/>
          <w:bCs/>
          <w:sz w:val="24"/>
          <w:szCs w:val="24"/>
        </w:rPr>
        <w:t>, masat mbrojtëse të kërkuara dhe të zbatuara, rastet e referuara te shërbimet sociale, mbështetjen psikologjike dhe funksionimin e koordinatorëve të viktimave.</w:t>
      </w:r>
    </w:p>
    <w:p w14:paraId="443637D2" w14:textId="7614D0D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11.</w:t>
      </w:r>
      <w:r w:rsidR="00BD2854"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 xml:space="preserve">Të raportojë për ndjekjen e rekomandimeve ndërkombëtare, veçanërisht të raporteve të Bashkimit Evropian, </w:t>
      </w:r>
      <w:proofErr w:type="spellStart"/>
      <w:r w:rsidRPr="008B032A">
        <w:rPr>
          <w:rFonts w:ascii="Garamond" w:eastAsia="Times New Roman" w:hAnsi="Garamond" w:cs="Times New Roman"/>
          <w:bCs/>
          <w:sz w:val="24"/>
          <w:szCs w:val="24"/>
        </w:rPr>
        <w:t>GRECO</w:t>
      </w:r>
      <w:proofErr w:type="spellEnd"/>
      <w:r w:rsidRPr="008B032A">
        <w:rPr>
          <w:rFonts w:ascii="Garamond" w:eastAsia="Times New Roman" w:hAnsi="Garamond" w:cs="Times New Roman"/>
          <w:bCs/>
          <w:sz w:val="24"/>
          <w:szCs w:val="24"/>
        </w:rPr>
        <w:t xml:space="preserve">-s dhe </w:t>
      </w:r>
      <w:proofErr w:type="spellStart"/>
      <w:r w:rsidRPr="008B032A">
        <w:rPr>
          <w:rFonts w:ascii="Garamond" w:eastAsia="Times New Roman" w:hAnsi="Garamond" w:cs="Times New Roman"/>
          <w:bCs/>
          <w:sz w:val="24"/>
          <w:szCs w:val="24"/>
        </w:rPr>
        <w:t>MONEYVAL</w:t>
      </w:r>
      <w:proofErr w:type="spellEnd"/>
      <w:r w:rsidRPr="008B032A">
        <w:rPr>
          <w:rFonts w:ascii="Garamond" w:eastAsia="Times New Roman" w:hAnsi="Garamond" w:cs="Times New Roman"/>
          <w:bCs/>
          <w:sz w:val="24"/>
          <w:szCs w:val="24"/>
        </w:rPr>
        <w:t>-it.</w:t>
      </w:r>
    </w:p>
    <w:p w14:paraId="6F084243" w14:textId="63310D1D"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12. Të vijojë zhvillimin e </w:t>
      </w:r>
      <w:r w:rsidRPr="008B032A">
        <w:rPr>
          <w:rFonts w:ascii="Garamond" w:eastAsia="Times New Roman" w:hAnsi="Garamond" w:cs="Times New Roman"/>
          <w:bCs/>
          <w:i/>
          <w:sz w:val="24"/>
          <w:szCs w:val="24"/>
        </w:rPr>
        <w:t>e-</w:t>
      </w:r>
      <w:proofErr w:type="spellStart"/>
      <w:r w:rsidRPr="008B032A">
        <w:rPr>
          <w:rFonts w:ascii="Garamond" w:eastAsia="Times New Roman" w:hAnsi="Garamond" w:cs="Times New Roman"/>
          <w:bCs/>
          <w:i/>
          <w:sz w:val="24"/>
          <w:szCs w:val="24"/>
        </w:rPr>
        <w:t>PRESTO</w:t>
      </w:r>
      <w:proofErr w:type="spellEnd"/>
      <w:r w:rsidRPr="008B032A">
        <w:rPr>
          <w:rFonts w:ascii="Garamond" w:eastAsia="Times New Roman" w:hAnsi="Garamond" w:cs="Times New Roman"/>
          <w:bCs/>
          <w:sz w:val="24"/>
          <w:szCs w:val="24"/>
        </w:rPr>
        <w:t>-s, si sistem gjithëpërfshirës jo vetëm për pastrimin e parave dhe hetimet pasurore, por për të gjithë regjistrat proceduralë dhe kategoritë kryesore të veprave penale.</w:t>
      </w:r>
    </w:p>
    <w:p w14:paraId="2AE2EF6A" w14:textId="49586E3F"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13.</w:t>
      </w:r>
      <w:r w:rsidR="005A2801"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Të paraqesë propozime konkrete për zgjidhjen ligjore dhe institucionale të problematikës së arkivave të prokurorisë, përfshirë kriteret për ruajtjen, përpunimin, digjitalizimin ose asgjësimin e dosjeve, me qëllim mbrojtjen e dokumentacionit, sigurinë juridike dhe shmangien e degradimit të materialit arkivor.</w:t>
      </w:r>
    </w:p>
    <w:p w14:paraId="5F077EB6"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14. Të kërkojë dhe të ndjekë mbështetjen buxhetore për digjitalizimin e arkivave, modernizimin e sistemit të menaxhimit të çështjeve dhe përdorimin e teknologjive të reja, përfshirë inteligjencën artificiale, në funksion të rritjes së </w:t>
      </w:r>
      <w:proofErr w:type="spellStart"/>
      <w:r w:rsidRPr="008B032A">
        <w:rPr>
          <w:rFonts w:ascii="Garamond" w:eastAsia="Times New Roman" w:hAnsi="Garamond" w:cs="Times New Roman"/>
          <w:bCs/>
          <w:sz w:val="24"/>
          <w:szCs w:val="24"/>
        </w:rPr>
        <w:t>eficiencës</w:t>
      </w:r>
      <w:proofErr w:type="spellEnd"/>
      <w:r w:rsidRPr="008B032A">
        <w:rPr>
          <w:rFonts w:ascii="Garamond" w:eastAsia="Times New Roman" w:hAnsi="Garamond" w:cs="Times New Roman"/>
          <w:bCs/>
          <w:sz w:val="24"/>
          <w:szCs w:val="24"/>
        </w:rPr>
        <w:t>, transparencës dhe cilësisë së administrimit të procedimeve penale.</w:t>
      </w:r>
    </w:p>
    <w:p w14:paraId="3D94F7B7"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15. Të përditësojë materialet informuese për publikun dhe palët në procedurë penale, në formate të qarta, të </w:t>
      </w:r>
      <w:proofErr w:type="spellStart"/>
      <w:r w:rsidRPr="008B032A">
        <w:rPr>
          <w:rFonts w:ascii="Garamond" w:eastAsia="Times New Roman" w:hAnsi="Garamond" w:cs="Times New Roman"/>
          <w:bCs/>
          <w:sz w:val="24"/>
          <w:szCs w:val="24"/>
        </w:rPr>
        <w:t>aksesueshme</w:t>
      </w:r>
      <w:proofErr w:type="spellEnd"/>
      <w:r w:rsidRPr="008B032A">
        <w:rPr>
          <w:rFonts w:ascii="Garamond" w:eastAsia="Times New Roman" w:hAnsi="Garamond" w:cs="Times New Roman"/>
          <w:bCs/>
          <w:sz w:val="24"/>
          <w:szCs w:val="24"/>
        </w:rPr>
        <w:t xml:space="preserve"> dhe të përshtatura për kategori të ndryshme qytetarësh.</w:t>
      </w:r>
    </w:p>
    <w:p w14:paraId="16EFFB07" w14:textId="70FF93F0"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16. Të integrojë trajnimet e </w:t>
      </w:r>
      <w:proofErr w:type="spellStart"/>
      <w:r w:rsidRPr="008B032A">
        <w:rPr>
          <w:rFonts w:ascii="Garamond" w:eastAsia="Times New Roman" w:hAnsi="Garamond" w:cs="Times New Roman"/>
          <w:bCs/>
          <w:sz w:val="24"/>
          <w:szCs w:val="24"/>
        </w:rPr>
        <w:t>CEPOL</w:t>
      </w:r>
      <w:proofErr w:type="spellEnd"/>
      <w:r w:rsidRPr="008B032A">
        <w:rPr>
          <w:rFonts w:ascii="Garamond" w:eastAsia="Times New Roman" w:hAnsi="Garamond" w:cs="Times New Roman"/>
          <w:bCs/>
          <w:sz w:val="24"/>
          <w:szCs w:val="24"/>
        </w:rPr>
        <w:t xml:space="preserve">-it, </w:t>
      </w:r>
      <w:proofErr w:type="spellStart"/>
      <w:r w:rsidRPr="008B032A">
        <w:rPr>
          <w:rFonts w:ascii="Garamond" w:eastAsia="Times New Roman" w:hAnsi="Garamond" w:cs="Times New Roman"/>
          <w:bCs/>
          <w:sz w:val="24"/>
          <w:szCs w:val="24"/>
        </w:rPr>
        <w:t>EUROJUST</w:t>
      </w:r>
      <w:proofErr w:type="spellEnd"/>
      <w:r w:rsidRPr="008B032A">
        <w:rPr>
          <w:rFonts w:ascii="Garamond" w:eastAsia="Times New Roman" w:hAnsi="Garamond" w:cs="Times New Roman"/>
          <w:bCs/>
          <w:sz w:val="24"/>
          <w:szCs w:val="24"/>
        </w:rPr>
        <w:t xml:space="preserve">-it dhe partnerëve ndërkombëtarë </w:t>
      </w:r>
      <w:r w:rsidRPr="008B032A">
        <w:rPr>
          <w:rFonts w:ascii="Garamond" w:eastAsia="Times New Roman" w:hAnsi="Garamond" w:cs="Times New Roman"/>
          <w:bCs/>
          <w:color w:val="000000" w:themeColor="text1"/>
          <w:sz w:val="24"/>
          <w:szCs w:val="24"/>
        </w:rPr>
        <w:t xml:space="preserve">në planin kombëtar të trajnimit të prokurorëve dhe </w:t>
      </w:r>
      <w:r w:rsidR="00D07778" w:rsidRPr="008B032A">
        <w:rPr>
          <w:rFonts w:ascii="Garamond" w:eastAsia="Times New Roman" w:hAnsi="Garamond" w:cs="Times New Roman"/>
          <w:bCs/>
          <w:color w:val="000000" w:themeColor="text1"/>
          <w:sz w:val="24"/>
          <w:szCs w:val="24"/>
        </w:rPr>
        <w:t>o</w:t>
      </w:r>
      <w:r w:rsidRPr="008B032A">
        <w:rPr>
          <w:rFonts w:ascii="Garamond" w:eastAsia="Times New Roman" w:hAnsi="Garamond" w:cs="Times New Roman"/>
          <w:bCs/>
          <w:color w:val="000000" w:themeColor="text1"/>
          <w:sz w:val="24"/>
          <w:szCs w:val="24"/>
        </w:rPr>
        <w:t>ficerëve të Policisë Gjyqësore, me vlerësim të ndi</w:t>
      </w:r>
      <w:r w:rsidRPr="008B032A">
        <w:rPr>
          <w:rFonts w:ascii="Garamond" w:eastAsia="Times New Roman" w:hAnsi="Garamond" w:cs="Times New Roman"/>
          <w:bCs/>
          <w:sz w:val="24"/>
          <w:szCs w:val="24"/>
        </w:rPr>
        <w:t>kimit të tyre në praktikën hetimore.</w:t>
      </w:r>
    </w:p>
    <w:p w14:paraId="0F7E0354"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17. Të forcojë mekanizmat e mbështetjes profesionale dhe specializimit për prokurorët e rinj, veçanërisht në prokuroritë me ngarkesë të lartë, me qëllim rritjen e cilësisë dhe </w:t>
      </w:r>
      <w:proofErr w:type="spellStart"/>
      <w:r w:rsidRPr="008B032A">
        <w:rPr>
          <w:rFonts w:ascii="Garamond" w:eastAsia="Times New Roman" w:hAnsi="Garamond" w:cs="Times New Roman"/>
          <w:bCs/>
          <w:sz w:val="24"/>
          <w:szCs w:val="24"/>
        </w:rPr>
        <w:t>uniformitetit</w:t>
      </w:r>
      <w:proofErr w:type="spellEnd"/>
      <w:r w:rsidRPr="008B032A">
        <w:rPr>
          <w:rFonts w:ascii="Garamond" w:eastAsia="Times New Roman" w:hAnsi="Garamond" w:cs="Times New Roman"/>
          <w:bCs/>
          <w:sz w:val="24"/>
          <w:szCs w:val="24"/>
        </w:rPr>
        <w:t xml:space="preserve"> të hetimit.</w:t>
      </w:r>
    </w:p>
    <w:p w14:paraId="70526170"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lastRenderedPageBreak/>
        <w:t xml:space="preserve">18. Të vijojë forcimin e kapaciteteve institucionale për hetimin e veprave të reja penale që lidhen me zhvillimet teknologjike, krimin </w:t>
      </w:r>
      <w:proofErr w:type="spellStart"/>
      <w:r w:rsidRPr="008B032A">
        <w:rPr>
          <w:rFonts w:ascii="Garamond" w:eastAsia="Times New Roman" w:hAnsi="Garamond" w:cs="Times New Roman"/>
          <w:bCs/>
          <w:sz w:val="24"/>
          <w:szCs w:val="24"/>
        </w:rPr>
        <w:t>kibernetik</w:t>
      </w:r>
      <w:proofErr w:type="spellEnd"/>
      <w:r w:rsidRPr="008B032A">
        <w:rPr>
          <w:rFonts w:ascii="Garamond" w:eastAsia="Times New Roman" w:hAnsi="Garamond" w:cs="Times New Roman"/>
          <w:bCs/>
          <w:sz w:val="24"/>
          <w:szCs w:val="24"/>
        </w:rPr>
        <w:t xml:space="preserve"> dhe përdorimin e inteligjencës artificiale, duke raportuar mbi tendencat, nevojat për specializim dhe nevojën për ndërhyrje të mundshme ligjore.</w:t>
      </w:r>
    </w:p>
    <w:p w14:paraId="2371012C" w14:textId="0D8443CF"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19. Të forcojë zbatimin e masave kundër korrupsionit, veçanërisht në sektorë të përcaktuar si </w:t>
      </w:r>
      <w:proofErr w:type="spellStart"/>
      <w:r w:rsidRPr="008B032A">
        <w:rPr>
          <w:rFonts w:ascii="Garamond" w:eastAsia="Times New Roman" w:hAnsi="Garamond" w:cs="Times New Roman"/>
          <w:bCs/>
          <w:sz w:val="24"/>
          <w:szCs w:val="24"/>
        </w:rPr>
        <w:t>prioritarë</w:t>
      </w:r>
      <w:proofErr w:type="spellEnd"/>
      <w:r w:rsidRPr="008B032A">
        <w:rPr>
          <w:rFonts w:ascii="Garamond" w:eastAsia="Times New Roman" w:hAnsi="Garamond" w:cs="Times New Roman"/>
          <w:bCs/>
          <w:sz w:val="24"/>
          <w:szCs w:val="24"/>
        </w:rPr>
        <w:t xml:space="preserve"> në </w:t>
      </w:r>
      <w:r w:rsidRPr="008B032A">
        <w:rPr>
          <w:rFonts w:ascii="Garamond" w:eastAsia="Times New Roman" w:hAnsi="Garamond" w:cs="Times New Roman"/>
          <w:bCs/>
          <w:color w:val="000000" w:themeColor="text1"/>
          <w:sz w:val="24"/>
          <w:szCs w:val="24"/>
        </w:rPr>
        <w:t xml:space="preserve">Strategjitë Kombëtare </w:t>
      </w:r>
      <w:proofErr w:type="spellStart"/>
      <w:r w:rsidRPr="008B032A">
        <w:rPr>
          <w:rFonts w:ascii="Garamond" w:eastAsia="Times New Roman" w:hAnsi="Garamond" w:cs="Times New Roman"/>
          <w:bCs/>
          <w:color w:val="000000" w:themeColor="text1"/>
          <w:sz w:val="24"/>
          <w:szCs w:val="24"/>
        </w:rPr>
        <w:t>Antikorrupsion</w:t>
      </w:r>
      <w:proofErr w:type="spellEnd"/>
      <w:r w:rsidRPr="008B032A">
        <w:rPr>
          <w:rFonts w:ascii="Garamond" w:eastAsia="Times New Roman" w:hAnsi="Garamond" w:cs="Times New Roman"/>
          <w:bCs/>
          <w:color w:val="000000" w:themeColor="text1"/>
          <w:sz w:val="24"/>
          <w:szCs w:val="24"/>
        </w:rPr>
        <w:t xml:space="preserve">, </w:t>
      </w:r>
      <w:r w:rsidR="006B1A87" w:rsidRPr="008B032A">
        <w:rPr>
          <w:rFonts w:ascii="Garamond" w:eastAsia="Times New Roman" w:hAnsi="Garamond" w:cs="Times New Roman"/>
          <w:bCs/>
          <w:color w:val="000000" w:themeColor="text1"/>
          <w:sz w:val="24"/>
          <w:szCs w:val="24"/>
        </w:rPr>
        <w:t>r</w:t>
      </w:r>
      <w:r w:rsidRPr="008B032A">
        <w:rPr>
          <w:rFonts w:ascii="Garamond" w:eastAsia="Times New Roman" w:hAnsi="Garamond" w:cs="Times New Roman"/>
          <w:bCs/>
          <w:color w:val="000000" w:themeColor="text1"/>
          <w:sz w:val="24"/>
          <w:szCs w:val="24"/>
        </w:rPr>
        <w:t xml:space="preserve">ekomandimet vjetore të Këshillit të Ministrave dhe </w:t>
      </w:r>
      <w:r w:rsidR="009623BF" w:rsidRPr="008B032A">
        <w:rPr>
          <w:rFonts w:ascii="Garamond" w:eastAsia="Times New Roman" w:hAnsi="Garamond" w:cs="Times New Roman"/>
          <w:bCs/>
          <w:color w:val="000000" w:themeColor="text1"/>
          <w:sz w:val="24"/>
          <w:szCs w:val="24"/>
        </w:rPr>
        <w:t>r</w:t>
      </w:r>
      <w:r w:rsidRPr="008B032A">
        <w:rPr>
          <w:rFonts w:ascii="Garamond" w:eastAsia="Times New Roman" w:hAnsi="Garamond" w:cs="Times New Roman"/>
          <w:bCs/>
          <w:color w:val="000000" w:themeColor="text1"/>
          <w:sz w:val="24"/>
          <w:szCs w:val="24"/>
        </w:rPr>
        <w:t xml:space="preserve">ekomandimet e </w:t>
      </w:r>
      <w:proofErr w:type="spellStart"/>
      <w:r w:rsidR="00985CF0" w:rsidRPr="008B032A">
        <w:rPr>
          <w:rFonts w:ascii="Garamond" w:eastAsia="Times New Roman" w:hAnsi="Garamond" w:cs="Times New Roman"/>
          <w:bCs/>
          <w:color w:val="000000" w:themeColor="text1"/>
          <w:sz w:val="24"/>
          <w:szCs w:val="24"/>
        </w:rPr>
        <w:t>p</w:t>
      </w:r>
      <w:r w:rsidRPr="008B032A">
        <w:rPr>
          <w:rFonts w:ascii="Garamond" w:eastAsia="Times New Roman" w:hAnsi="Garamond" w:cs="Times New Roman"/>
          <w:bCs/>
          <w:color w:val="000000" w:themeColor="text1"/>
          <w:sz w:val="24"/>
          <w:szCs w:val="24"/>
        </w:rPr>
        <w:t>rogres</w:t>
      </w:r>
      <w:r w:rsidR="00985CF0" w:rsidRPr="008B032A">
        <w:rPr>
          <w:rFonts w:ascii="Garamond" w:eastAsia="Times New Roman" w:hAnsi="Garamond" w:cs="Times New Roman"/>
          <w:bCs/>
          <w:color w:val="000000" w:themeColor="text1"/>
          <w:sz w:val="24"/>
          <w:szCs w:val="24"/>
        </w:rPr>
        <w:t>raportit</w:t>
      </w:r>
      <w:proofErr w:type="spellEnd"/>
      <w:r w:rsidRPr="008B032A">
        <w:rPr>
          <w:rFonts w:ascii="Garamond" w:eastAsia="Times New Roman" w:hAnsi="Garamond" w:cs="Times New Roman"/>
          <w:bCs/>
          <w:color w:val="000000" w:themeColor="text1"/>
          <w:sz w:val="24"/>
          <w:szCs w:val="24"/>
        </w:rPr>
        <w:t xml:space="preserve"> të Bashkimit E</w:t>
      </w:r>
      <w:r w:rsidR="002E580F" w:rsidRPr="008B032A">
        <w:rPr>
          <w:rFonts w:ascii="Garamond" w:eastAsia="Times New Roman" w:hAnsi="Garamond" w:cs="Times New Roman"/>
          <w:bCs/>
          <w:color w:val="000000" w:themeColor="text1"/>
          <w:sz w:val="24"/>
          <w:szCs w:val="24"/>
        </w:rPr>
        <w:t>v</w:t>
      </w:r>
      <w:r w:rsidRPr="008B032A">
        <w:rPr>
          <w:rFonts w:ascii="Garamond" w:eastAsia="Times New Roman" w:hAnsi="Garamond" w:cs="Times New Roman"/>
          <w:bCs/>
          <w:color w:val="000000" w:themeColor="text1"/>
          <w:sz w:val="24"/>
          <w:szCs w:val="24"/>
        </w:rPr>
        <w:t xml:space="preserve">ropian, duke raportuar në raportin vjetor me të dhëna të ndara për kallëzimet, procedimet e regjistruara, dërgimet në gjykatë, vendimet e pushimit ose </w:t>
      </w:r>
      <w:proofErr w:type="spellStart"/>
      <w:r w:rsidRPr="008B032A">
        <w:rPr>
          <w:rFonts w:ascii="Garamond" w:eastAsia="Times New Roman" w:hAnsi="Garamond" w:cs="Times New Roman"/>
          <w:bCs/>
          <w:color w:val="000000" w:themeColor="text1"/>
          <w:sz w:val="24"/>
          <w:szCs w:val="24"/>
        </w:rPr>
        <w:t>mosfillimit</w:t>
      </w:r>
      <w:proofErr w:type="spellEnd"/>
      <w:r w:rsidRPr="008B032A">
        <w:rPr>
          <w:rFonts w:ascii="Garamond" w:eastAsia="Times New Roman" w:hAnsi="Garamond" w:cs="Times New Roman"/>
          <w:bCs/>
          <w:color w:val="000000" w:themeColor="text1"/>
          <w:sz w:val="24"/>
          <w:szCs w:val="24"/>
        </w:rPr>
        <w:t xml:space="preserve"> dhe problematikat </w:t>
      </w:r>
      <w:r w:rsidR="008B032A">
        <w:rPr>
          <w:rFonts w:ascii="Garamond" w:eastAsia="Times New Roman" w:hAnsi="Garamond" w:cs="Times New Roman"/>
          <w:bCs/>
          <w:sz w:val="24"/>
          <w:szCs w:val="24"/>
        </w:rPr>
        <w:t>kryesore të konstatuara.</w:t>
      </w:r>
    </w:p>
    <w:p w14:paraId="4146B5A6" w14:textId="595F867F"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20.</w:t>
      </w:r>
      <w:r w:rsidR="00D87CA2"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 xml:space="preserve">Në bashkëpunim me institucionet përgjegjëse, të marrë masa për të forcuar ecurinë e proceseve të sekuestrimit dhe konfiskimit përfundimtar të </w:t>
      </w:r>
      <w:proofErr w:type="spellStart"/>
      <w:r w:rsidRPr="008B032A">
        <w:rPr>
          <w:rFonts w:ascii="Garamond" w:eastAsia="Times New Roman" w:hAnsi="Garamond" w:cs="Times New Roman"/>
          <w:bCs/>
          <w:sz w:val="24"/>
          <w:szCs w:val="24"/>
        </w:rPr>
        <w:t>aseteve</w:t>
      </w:r>
      <w:proofErr w:type="spellEnd"/>
      <w:r w:rsidRPr="008B032A">
        <w:rPr>
          <w:rFonts w:ascii="Garamond" w:eastAsia="Times New Roman" w:hAnsi="Garamond" w:cs="Times New Roman"/>
          <w:bCs/>
          <w:sz w:val="24"/>
          <w:szCs w:val="24"/>
        </w:rPr>
        <w:t xml:space="preserve">, duke reflektuar në raportin vjetor, statistika të detajuara për kërkesat për sekuestro, vendimet gjyqësore, konfiskimet përfundimtare, vlerën e </w:t>
      </w:r>
      <w:proofErr w:type="spellStart"/>
      <w:r w:rsidRPr="008B032A">
        <w:rPr>
          <w:rFonts w:ascii="Garamond" w:eastAsia="Times New Roman" w:hAnsi="Garamond" w:cs="Times New Roman"/>
          <w:bCs/>
          <w:sz w:val="24"/>
          <w:szCs w:val="24"/>
        </w:rPr>
        <w:t>aseteve</w:t>
      </w:r>
      <w:proofErr w:type="spellEnd"/>
      <w:r w:rsidRPr="008B032A">
        <w:rPr>
          <w:rFonts w:ascii="Garamond" w:eastAsia="Times New Roman" w:hAnsi="Garamond" w:cs="Times New Roman"/>
          <w:bCs/>
          <w:sz w:val="24"/>
          <w:szCs w:val="24"/>
        </w:rPr>
        <w:t>, fazën procedurale dhe pengesat praktike ose ligjore të hasura, në përputhje me st</w:t>
      </w:r>
      <w:r w:rsidR="008B032A">
        <w:rPr>
          <w:rFonts w:ascii="Garamond" w:eastAsia="Times New Roman" w:hAnsi="Garamond" w:cs="Times New Roman"/>
          <w:bCs/>
          <w:sz w:val="24"/>
          <w:szCs w:val="24"/>
        </w:rPr>
        <w:t>andardet e Bashkimit Evropian.</w:t>
      </w:r>
    </w:p>
    <w:p w14:paraId="50B371C7" w14:textId="02C656D3"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21. Të forcojë vijueshmërinë e hetimit </w:t>
      </w:r>
      <w:proofErr w:type="spellStart"/>
      <w:r w:rsidRPr="008B032A">
        <w:rPr>
          <w:rFonts w:ascii="Garamond" w:eastAsia="Times New Roman" w:hAnsi="Garamond" w:cs="Times New Roman"/>
          <w:bCs/>
          <w:sz w:val="24"/>
          <w:szCs w:val="24"/>
        </w:rPr>
        <w:t>proaktiv</w:t>
      </w:r>
      <w:proofErr w:type="spellEnd"/>
      <w:r w:rsidRPr="008B032A">
        <w:rPr>
          <w:rFonts w:ascii="Garamond" w:eastAsia="Times New Roman" w:hAnsi="Garamond" w:cs="Times New Roman"/>
          <w:bCs/>
          <w:sz w:val="24"/>
          <w:szCs w:val="24"/>
        </w:rPr>
        <w:t xml:space="preserve"> kundër rrjeteve të trafikut të qenieve njerëzore, me fokus të posaçëm </w:t>
      </w:r>
      <w:r w:rsidR="002E580F" w:rsidRPr="008B032A">
        <w:rPr>
          <w:rFonts w:ascii="Garamond" w:eastAsia="Times New Roman" w:hAnsi="Garamond" w:cs="Times New Roman"/>
          <w:bCs/>
          <w:sz w:val="24"/>
          <w:szCs w:val="24"/>
        </w:rPr>
        <w:t>te</w:t>
      </w:r>
      <w:r w:rsidRPr="008B032A">
        <w:rPr>
          <w:rFonts w:ascii="Garamond" w:eastAsia="Times New Roman" w:hAnsi="Garamond" w:cs="Times New Roman"/>
          <w:bCs/>
          <w:sz w:val="24"/>
          <w:szCs w:val="24"/>
        </w:rPr>
        <w:t xml:space="preserve"> gra</w:t>
      </w:r>
      <w:r w:rsidR="002E580F" w:rsidRPr="008B032A">
        <w:rPr>
          <w:rFonts w:ascii="Garamond" w:eastAsia="Times New Roman" w:hAnsi="Garamond" w:cs="Times New Roman"/>
          <w:bCs/>
          <w:sz w:val="24"/>
          <w:szCs w:val="24"/>
        </w:rPr>
        <w:t>të</w:t>
      </w:r>
      <w:r w:rsidRPr="008B032A">
        <w:rPr>
          <w:rFonts w:ascii="Garamond" w:eastAsia="Times New Roman" w:hAnsi="Garamond" w:cs="Times New Roman"/>
          <w:bCs/>
          <w:sz w:val="24"/>
          <w:szCs w:val="24"/>
        </w:rPr>
        <w:t xml:space="preserve"> dhe vajza</w:t>
      </w:r>
      <w:r w:rsidR="002E580F" w:rsidRPr="008B032A">
        <w:rPr>
          <w:rFonts w:ascii="Garamond" w:eastAsia="Times New Roman" w:hAnsi="Garamond" w:cs="Times New Roman"/>
          <w:bCs/>
          <w:sz w:val="24"/>
          <w:szCs w:val="24"/>
        </w:rPr>
        <w:t>t</w:t>
      </w:r>
      <w:r w:rsidR="00957D0F" w:rsidRPr="008B032A">
        <w:rPr>
          <w:rFonts w:ascii="Garamond" w:eastAsia="Times New Roman" w:hAnsi="Garamond" w:cs="Times New Roman"/>
          <w:bCs/>
          <w:sz w:val="24"/>
          <w:szCs w:val="24"/>
        </w:rPr>
        <w:t>,</w:t>
      </w:r>
      <w:r w:rsidRPr="008B032A">
        <w:rPr>
          <w:rFonts w:ascii="Garamond" w:eastAsia="Times New Roman" w:hAnsi="Garamond" w:cs="Times New Roman"/>
          <w:bCs/>
          <w:sz w:val="24"/>
          <w:szCs w:val="24"/>
        </w:rPr>
        <w:t xml:space="preserve"> në për</w:t>
      </w:r>
      <w:r w:rsidR="008B032A">
        <w:rPr>
          <w:rFonts w:ascii="Garamond" w:eastAsia="Times New Roman" w:hAnsi="Garamond" w:cs="Times New Roman"/>
          <w:bCs/>
          <w:sz w:val="24"/>
          <w:szCs w:val="24"/>
        </w:rPr>
        <w:t>puthje me rekomandimet e BE-së.</w:t>
      </w:r>
    </w:p>
    <w:p w14:paraId="0F20BC48" w14:textId="4AFCF784"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22. Të forcojë cilësinë e hetimeve dhe përfaqësimit të akuzës, duke synuar rritjen e rasteve që përfundojnë me vendime të formës së prerë, kryesisht në çështjet lidhur me pastrimin e parave, korrupsionin, trafikun e narkotikëve dhe veprat me përfitim të lartë pasuror, si dhe të marrë masa për zhvillimin e kapaciteteve dhe burimeve njerëzore për të realizuar h</w:t>
      </w:r>
      <w:r w:rsidR="008B032A">
        <w:rPr>
          <w:rFonts w:ascii="Garamond" w:eastAsia="Times New Roman" w:hAnsi="Garamond" w:cs="Times New Roman"/>
          <w:bCs/>
          <w:sz w:val="24"/>
          <w:szCs w:val="24"/>
        </w:rPr>
        <w:t>etime financiare dhe komplekse.</w:t>
      </w:r>
    </w:p>
    <w:p w14:paraId="75E3D997" w14:textId="4B2F6A21"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23. </w:t>
      </w:r>
      <w:r w:rsidR="00BD2E2A" w:rsidRPr="008B032A">
        <w:rPr>
          <w:rFonts w:ascii="Garamond" w:eastAsia="Times New Roman" w:hAnsi="Garamond" w:cs="Times New Roman"/>
          <w:bCs/>
          <w:sz w:val="24"/>
          <w:szCs w:val="24"/>
        </w:rPr>
        <w:t>N</w:t>
      </w:r>
      <w:r w:rsidRPr="008B032A">
        <w:rPr>
          <w:rFonts w:ascii="Garamond" w:eastAsia="Times New Roman" w:hAnsi="Garamond" w:cs="Times New Roman"/>
          <w:bCs/>
          <w:sz w:val="24"/>
          <w:szCs w:val="24"/>
        </w:rPr>
        <w:t xml:space="preserve">ë bashkëpunim me Këshillin e Lartë të Prokurorisë dhe drejtuesit e prokurorive </w:t>
      </w:r>
      <w:r w:rsidR="000062FF" w:rsidRPr="008B032A">
        <w:rPr>
          <w:rFonts w:ascii="Garamond" w:eastAsia="Times New Roman" w:hAnsi="Garamond" w:cs="Times New Roman"/>
          <w:bCs/>
          <w:color w:val="000000" w:themeColor="text1"/>
          <w:sz w:val="24"/>
          <w:szCs w:val="24"/>
        </w:rPr>
        <w:t xml:space="preserve">të përfundojë </w:t>
      </w:r>
      <w:r w:rsidRPr="008B032A">
        <w:rPr>
          <w:rFonts w:ascii="Garamond" w:eastAsia="Times New Roman" w:hAnsi="Garamond" w:cs="Times New Roman"/>
          <w:bCs/>
          <w:sz w:val="24"/>
          <w:szCs w:val="24"/>
        </w:rPr>
        <w:t>hartimin e metodologjisë dhe planit konkret të veprimit për reduktimin e çështjeve të prapambetura në të gjitha nivelet e sistemit të prokurorisë</w:t>
      </w:r>
      <w:r w:rsidR="008B032A">
        <w:rPr>
          <w:rFonts w:ascii="Garamond" w:eastAsia="Times New Roman" w:hAnsi="Garamond" w:cs="Times New Roman"/>
          <w:bCs/>
          <w:sz w:val="24"/>
          <w:szCs w:val="24"/>
        </w:rPr>
        <w:t>,</w:t>
      </w:r>
      <w:r w:rsidRPr="008B032A">
        <w:rPr>
          <w:rFonts w:ascii="Garamond" w:eastAsia="Times New Roman" w:hAnsi="Garamond" w:cs="Times New Roman"/>
          <w:bCs/>
          <w:sz w:val="24"/>
          <w:szCs w:val="24"/>
        </w:rPr>
        <w:t xml:space="preserve"> brenda </w:t>
      </w:r>
      <w:r w:rsidR="007760A5" w:rsidRPr="008B032A">
        <w:rPr>
          <w:rFonts w:ascii="Garamond" w:eastAsia="Times New Roman" w:hAnsi="Garamond" w:cs="Times New Roman"/>
          <w:bCs/>
          <w:sz w:val="24"/>
          <w:szCs w:val="24"/>
        </w:rPr>
        <w:t xml:space="preserve">muajit </w:t>
      </w:r>
      <w:r w:rsidRPr="008B032A">
        <w:rPr>
          <w:rFonts w:ascii="Garamond" w:eastAsia="Times New Roman" w:hAnsi="Garamond" w:cs="Times New Roman"/>
          <w:bCs/>
          <w:sz w:val="24"/>
          <w:szCs w:val="24"/>
        </w:rPr>
        <w:t>dhjetor</w:t>
      </w:r>
      <w:r w:rsidR="007760A5" w:rsidRPr="008B032A">
        <w:rPr>
          <w:rFonts w:ascii="Garamond" w:eastAsia="Times New Roman" w:hAnsi="Garamond" w:cs="Times New Roman"/>
          <w:bCs/>
          <w:sz w:val="24"/>
          <w:szCs w:val="24"/>
        </w:rPr>
        <w:t xml:space="preserve"> të vitit</w:t>
      </w:r>
      <w:r w:rsidR="008B032A">
        <w:rPr>
          <w:rFonts w:ascii="Garamond" w:eastAsia="Times New Roman" w:hAnsi="Garamond" w:cs="Times New Roman"/>
          <w:bCs/>
          <w:sz w:val="24"/>
          <w:szCs w:val="24"/>
        </w:rPr>
        <w:t xml:space="preserve"> 2026.</w:t>
      </w:r>
    </w:p>
    <w:p w14:paraId="411F61FA" w14:textId="02939D72"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24. Të forcojë monitorimin e zbatimit të standardeve të procesit të rregullt ligjor, veçanërisht lidhur me kohëzgjatjen e procedimeve, cilësinë e akteve procedurale, arsyetimin e vendimmarrjes dhe respektimin e të drejtave të palëve, në përputhje me Konventën Evropiane të </w:t>
      </w:r>
      <w:proofErr w:type="spellStart"/>
      <w:r w:rsidRPr="008B032A">
        <w:rPr>
          <w:rFonts w:ascii="Garamond" w:eastAsia="Times New Roman" w:hAnsi="Garamond" w:cs="Times New Roman"/>
          <w:bCs/>
          <w:sz w:val="24"/>
          <w:szCs w:val="24"/>
        </w:rPr>
        <w:t>të</w:t>
      </w:r>
      <w:proofErr w:type="spellEnd"/>
      <w:r w:rsidRPr="008B032A">
        <w:rPr>
          <w:rFonts w:ascii="Garamond" w:eastAsia="Times New Roman" w:hAnsi="Garamond" w:cs="Times New Roman"/>
          <w:bCs/>
          <w:sz w:val="24"/>
          <w:szCs w:val="24"/>
        </w:rPr>
        <w:t xml:space="preserve"> Drejtave të Njeriut, jurisprudencën e </w:t>
      </w:r>
      <w:proofErr w:type="spellStart"/>
      <w:r w:rsidRPr="008B032A">
        <w:rPr>
          <w:rFonts w:ascii="Garamond" w:eastAsia="Times New Roman" w:hAnsi="Garamond" w:cs="Times New Roman"/>
          <w:bCs/>
          <w:sz w:val="24"/>
          <w:szCs w:val="24"/>
        </w:rPr>
        <w:t>GjEDNj</w:t>
      </w:r>
      <w:proofErr w:type="spellEnd"/>
      <w:r w:rsidRPr="008B032A">
        <w:rPr>
          <w:rFonts w:ascii="Garamond" w:eastAsia="Times New Roman" w:hAnsi="Garamond" w:cs="Times New Roman"/>
          <w:bCs/>
          <w:sz w:val="24"/>
          <w:szCs w:val="24"/>
        </w:rPr>
        <w:t xml:space="preserve">-së dhe me standardet e </w:t>
      </w:r>
      <w:proofErr w:type="spellStart"/>
      <w:r w:rsidRPr="008B032A">
        <w:rPr>
          <w:rFonts w:ascii="Garamond" w:eastAsia="Times New Roman" w:hAnsi="Garamond" w:cs="Times New Roman"/>
          <w:bCs/>
          <w:sz w:val="24"/>
          <w:szCs w:val="24"/>
        </w:rPr>
        <w:t>CEPEJ</w:t>
      </w:r>
      <w:proofErr w:type="spellEnd"/>
      <w:r w:rsidR="00FD032C" w:rsidRPr="008B032A">
        <w:rPr>
          <w:rFonts w:ascii="Garamond" w:eastAsia="Times New Roman" w:hAnsi="Garamond" w:cs="Times New Roman"/>
          <w:bCs/>
          <w:sz w:val="24"/>
          <w:szCs w:val="24"/>
        </w:rPr>
        <w:t>-it</w:t>
      </w:r>
      <w:r w:rsidR="008B032A">
        <w:rPr>
          <w:rFonts w:ascii="Garamond" w:eastAsia="Times New Roman" w:hAnsi="Garamond" w:cs="Times New Roman"/>
          <w:bCs/>
          <w:sz w:val="24"/>
          <w:szCs w:val="24"/>
        </w:rPr>
        <w:t>.</w:t>
      </w:r>
    </w:p>
    <w:p w14:paraId="6BFE91DA" w14:textId="7A921EFF"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25. Të forcojë dhe institucionalizojë bashkëpunimin me Autoritetin e Mediave </w:t>
      </w:r>
      <w:proofErr w:type="spellStart"/>
      <w:r w:rsidRPr="008B032A">
        <w:rPr>
          <w:rFonts w:ascii="Garamond" w:eastAsia="Times New Roman" w:hAnsi="Garamond" w:cs="Times New Roman"/>
          <w:bCs/>
          <w:sz w:val="24"/>
          <w:szCs w:val="24"/>
        </w:rPr>
        <w:t>Audiovizive</w:t>
      </w:r>
      <w:proofErr w:type="spellEnd"/>
      <w:r w:rsidRPr="008B032A">
        <w:rPr>
          <w:rFonts w:ascii="Garamond" w:eastAsia="Times New Roman" w:hAnsi="Garamond" w:cs="Times New Roman"/>
          <w:bCs/>
          <w:sz w:val="24"/>
          <w:szCs w:val="24"/>
        </w:rPr>
        <w:t>, Autoritetin e Komunikimeve Elektronike dhe Postare, Policinë e Shtetit, Drejtorinë e Përgjithshme të Tatimeve, Drejtorinë e Përgjithshme të Doganave, Drejtorinë e të Drejtës së Autorit dhe Inspektoratin Shtetëror të Mbikëqyrjes së Tregut</w:t>
      </w:r>
      <w:r w:rsidR="004F7DD0"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përmes nënshkrimit të një memorandumi bashkëpunimi, me qëllim rritjen e koordinimit për parandalimin, hetimin dhe ndjekjen penale të veprimtarive të lidhura me piraterinë digjitale, mbrojtjen e të drejtave të pronësisë intelektuale dhe forcimin e sigurisë në hapësirën digjitale</w:t>
      </w:r>
      <w:r w:rsidR="001A37BE" w:rsidRPr="008B032A">
        <w:rPr>
          <w:rFonts w:ascii="Garamond" w:eastAsia="Times New Roman" w:hAnsi="Garamond" w:cs="Times New Roman"/>
          <w:bCs/>
          <w:sz w:val="24"/>
          <w:szCs w:val="24"/>
        </w:rPr>
        <w:t>,</w:t>
      </w:r>
      <w:r w:rsidRPr="008B032A">
        <w:rPr>
          <w:rFonts w:ascii="Garamond" w:eastAsia="Times New Roman" w:hAnsi="Garamond" w:cs="Times New Roman"/>
          <w:bCs/>
          <w:sz w:val="24"/>
          <w:szCs w:val="24"/>
        </w:rPr>
        <w:t xml:space="preserve"> si dhe të informojë Kuvendin </w:t>
      </w:r>
      <w:r w:rsidR="001A37BE" w:rsidRPr="008B032A">
        <w:rPr>
          <w:rFonts w:ascii="Garamond" w:eastAsia="Times New Roman" w:hAnsi="Garamond" w:cs="Times New Roman"/>
          <w:bCs/>
          <w:sz w:val="24"/>
          <w:szCs w:val="24"/>
        </w:rPr>
        <w:t>për</w:t>
      </w:r>
      <w:r w:rsidRPr="008B032A">
        <w:rPr>
          <w:rFonts w:ascii="Garamond" w:eastAsia="Times New Roman" w:hAnsi="Garamond" w:cs="Times New Roman"/>
          <w:bCs/>
          <w:sz w:val="24"/>
          <w:szCs w:val="24"/>
        </w:rPr>
        <w:t xml:space="preserve"> masat e ndërmarra për zbatimin e këtij rekomandimi.</w:t>
      </w:r>
    </w:p>
    <w:p w14:paraId="202E56D4" w14:textId="597B0184"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26. Të forcojë masat për të vijuar ndjekjen e referimeve penale ndaj magjistratëve të dyshuar për vepra penale të konstatuara gjatë procesit të rivlerësimit kalimtar. Të përgatisë një raport të detajuar </w:t>
      </w:r>
      <w:r w:rsidR="00B664A2" w:rsidRPr="008B032A">
        <w:rPr>
          <w:rFonts w:ascii="Garamond" w:eastAsia="Times New Roman" w:hAnsi="Garamond" w:cs="Times New Roman"/>
          <w:bCs/>
          <w:sz w:val="24"/>
          <w:szCs w:val="24"/>
        </w:rPr>
        <w:t>për</w:t>
      </w:r>
      <w:r w:rsidRPr="008B032A">
        <w:rPr>
          <w:rFonts w:ascii="Garamond" w:eastAsia="Times New Roman" w:hAnsi="Garamond" w:cs="Times New Roman"/>
          <w:bCs/>
          <w:sz w:val="24"/>
          <w:szCs w:val="24"/>
        </w:rPr>
        <w:t xml:space="preserve"> zbatimin e këtij rekomandimi me të dhëna konkrete </w:t>
      </w:r>
      <w:r w:rsidR="00B664A2" w:rsidRPr="008B032A">
        <w:rPr>
          <w:rFonts w:ascii="Garamond" w:eastAsia="Times New Roman" w:hAnsi="Garamond" w:cs="Times New Roman"/>
          <w:bCs/>
          <w:sz w:val="24"/>
          <w:szCs w:val="24"/>
        </w:rPr>
        <w:t xml:space="preserve">për </w:t>
      </w:r>
      <w:r w:rsidRPr="008B032A">
        <w:rPr>
          <w:rFonts w:ascii="Garamond" w:eastAsia="Times New Roman" w:hAnsi="Garamond" w:cs="Times New Roman"/>
          <w:bCs/>
          <w:sz w:val="24"/>
          <w:szCs w:val="24"/>
        </w:rPr>
        <w:t>çështjet e kallëzuara, çështjet e nisura kryesisht, çështjet e dërguara në gjykatë dhe vendimet gjyqësore</w:t>
      </w:r>
      <w:r w:rsidR="00E6722F">
        <w:rPr>
          <w:rFonts w:ascii="Garamond" w:eastAsia="Times New Roman" w:hAnsi="Garamond" w:cs="Times New Roman"/>
          <w:bCs/>
          <w:sz w:val="24"/>
          <w:szCs w:val="24"/>
        </w:rPr>
        <w:t>,</w:t>
      </w:r>
      <w:r w:rsidRPr="008B032A">
        <w:rPr>
          <w:rFonts w:ascii="Garamond" w:eastAsia="Times New Roman" w:hAnsi="Garamond" w:cs="Times New Roman"/>
          <w:bCs/>
          <w:sz w:val="24"/>
          <w:szCs w:val="24"/>
        </w:rPr>
        <w:t xml:space="preserve"> brenda muajit dhjetor</w:t>
      </w:r>
      <w:r w:rsidR="00D63010" w:rsidRPr="008B032A">
        <w:rPr>
          <w:rFonts w:ascii="Garamond" w:eastAsia="Times New Roman" w:hAnsi="Garamond" w:cs="Times New Roman"/>
          <w:bCs/>
          <w:sz w:val="24"/>
          <w:szCs w:val="24"/>
        </w:rPr>
        <w:t xml:space="preserve"> të vitit</w:t>
      </w:r>
      <w:r w:rsidRPr="008B032A">
        <w:rPr>
          <w:rFonts w:ascii="Garamond" w:eastAsia="Times New Roman" w:hAnsi="Garamond" w:cs="Times New Roman"/>
          <w:bCs/>
          <w:sz w:val="24"/>
          <w:szCs w:val="24"/>
        </w:rPr>
        <w:t xml:space="preserve"> 2026.</w:t>
      </w:r>
    </w:p>
    <w:p w14:paraId="2CC5B598" w14:textId="066D48FA"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27.</w:t>
      </w:r>
      <w:r w:rsidR="002C3B76" w:rsidRPr="008B032A">
        <w:rPr>
          <w:rFonts w:ascii="Garamond" w:eastAsia="Times New Roman" w:hAnsi="Garamond" w:cs="Times New Roman"/>
          <w:bCs/>
          <w:sz w:val="24"/>
          <w:szCs w:val="24"/>
        </w:rPr>
        <w:t xml:space="preserve"> </w:t>
      </w:r>
      <w:r w:rsidRPr="008B032A">
        <w:rPr>
          <w:rFonts w:ascii="Garamond" w:eastAsia="Times New Roman" w:hAnsi="Garamond" w:cs="Times New Roman"/>
          <w:bCs/>
          <w:sz w:val="24"/>
          <w:szCs w:val="24"/>
        </w:rPr>
        <w:t>Të monitorojë zbatimin efektiv të masave dhe garancive në mbrojtje të gazetarëve dhe punonjësve të medias nëpërmjet pikave të caktuara të kontaktit pranë zyrave të prokurorive dhe të Polici</w:t>
      </w:r>
      <w:r w:rsidR="00E6722F">
        <w:rPr>
          <w:rFonts w:ascii="Garamond" w:eastAsia="Times New Roman" w:hAnsi="Garamond" w:cs="Times New Roman"/>
          <w:bCs/>
          <w:sz w:val="24"/>
          <w:szCs w:val="24"/>
        </w:rPr>
        <w:t>së së Shtetit.</w:t>
      </w:r>
    </w:p>
    <w:p w14:paraId="37D452FF" w14:textId="13E44B8E"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28. Të miratojë dhe publikojë protokolle ose udhëzime të standardizuara për metodologjinë e hetimit, veçanërisht </w:t>
      </w:r>
      <w:r w:rsidR="005A18E7" w:rsidRPr="008B032A">
        <w:rPr>
          <w:rFonts w:ascii="Garamond" w:eastAsia="Times New Roman" w:hAnsi="Garamond" w:cs="Times New Roman"/>
          <w:bCs/>
          <w:sz w:val="24"/>
          <w:szCs w:val="24"/>
        </w:rPr>
        <w:t>për</w:t>
      </w:r>
      <w:r w:rsidRPr="008B032A">
        <w:rPr>
          <w:rFonts w:ascii="Garamond" w:eastAsia="Times New Roman" w:hAnsi="Garamond" w:cs="Times New Roman"/>
          <w:bCs/>
          <w:sz w:val="24"/>
          <w:szCs w:val="24"/>
        </w:rPr>
        <w:t xml:space="preserve"> marrjen e provave dhe masat e sigurimit, në përputhje me vendimet njësuese të Gjykatës së Lartë, vendimet e Gjykatës Kushte</w:t>
      </w:r>
      <w:r w:rsidR="00E6722F">
        <w:rPr>
          <w:rFonts w:ascii="Garamond" w:eastAsia="Times New Roman" w:hAnsi="Garamond" w:cs="Times New Roman"/>
          <w:bCs/>
          <w:sz w:val="24"/>
          <w:szCs w:val="24"/>
        </w:rPr>
        <w:t xml:space="preserve">tuese dhe vendimet e </w:t>
      </w:r>
      <w:proofErr w:type="spellStart"/>
      <w:r w:rsidR="00E6722F">
        <w:rPr>
          <w:rFonts w:ascii="Garamond" w:eastAsia="Times New Roman" w:hAnsi="Garamond" w:cs="Times New Roman"/>
          <w:bCs/>
          <w:sz w:val="24"/>
          <w:szCs w:val="24"/>
        </w:rPr>
        <w:t>GjEDNj</w:t>
      </w:r>
      <w:proofErr w:type="spellEnd"/>
      <w:r w:rsidR="00E6722F">
        <w:rPr>
          <w:rFonts w:ascii="Garamond" w:eastAsia="Times New Roman" w:hAnsi="Garamond" w:cs="Times New Roman"/>
          <w:bCs/>
          <w:sz w:val="24"/>
          <w:szCs w:val="24"/>
        </w:rPr>
        <w:t>-së.</w:t>
      </w:r>
    </w:p>
    <w:p w14:paraId="6780E51D" w14:textId="42F9A091"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 xml:space="preserve">29. Të bashkëpunojë me strukturat përgjegjëse të Kuvendit të Shqipërisë për shkëmbimin e informacionit për zhvillimin dhe konsolidimin e metodologjisë së standardizuar të treguesve kyç të </w:t>
      </w:r>
      <w:proofErr w:type="spellStart"/>
      <w:r w:rsidRPr="008B032A">
        <w:rPr>
          <w:rFonts w:ascii="Garamond" w:eastAsia="Times New Roman" w:hAnsi="Garamond" w:cs="Times New Roman"/>
          <w:bCs/>
          <w:sz w:val="24"/>
          <w:szCs w:val="24"/>
        </w:rPr>
        <w:t>performancës</w:t>
      </w:r>
      <w:proofErr w:type="spellEnd"/>
      <w:r w:rsidRPr="008B032A">
        <w:rPr>
          <w:rFonts w:ascii="Garamond" w:eastAsia="Times New Roman" w:hAnsi="Garamond" w:cs="Times New Roman"/>
          <w:bCs/>
          <w:sz w:val="24"/>
          <w:szCs w:val="24"/>
        </w:rPr>
        <w:t xml:space="preserve">, si bazë për monitorimin dhe vlerësimin e zbatimit të rekomandimeve të rezolutës, në funksion të forcimit të llogaridhënies dhe mbikëqyrjes parlamentare, brenda </w:t>
      </w:r>
      <w:r w:rsidR="005A18E7" w:rsidRPr="008B032A">
        <w:rPr>
          <w:rFonts w:ascii="Garamond" w:eastAsia="Times New Roman" w:hAnsi="Garamond" w:cs="Times New Roman"/>
          <w:bCs/>
          <w:sz w:val="24"/>
          <w:szCs w:val="24"/>
        </w:rPr>
        <w:t>3-</w:t>
      </w:r>
      <w:r w:rsidR="00E6722F">
        <w:rPr>
          <w:rFonts w:ascii="Garamond" w:eastAsia="Times New Roman" w:hAnsi="Garamond" w:cs="Times New Roman"/>
          <w:bCs/>
          <w:sz w:val="24"/>
          <w:szCs w:val="24"/>
        </w:rPr>
        <w:t>mujorit të tretë të vitit 2026.</w:t>
      </w:r>
    </w:p>
    <w:p w14:paraId="56E279A0" w14:textId="39B5D405" w:rsidR="003759A8" w:rsidRPr="008B032A" w:rsidRDefault="003759A8" w:rsidP="004D7A14">
      <w:pPr>
        <w:spacing w:after="0" w:line="240" w:lineRule="auto"/>
        <w:ind w:firstLine="284"/>
        <w:jc w:val="both"/>
        <w:rPr>
          <w:rFonts w:ascii="Garamond" w:eastAsia="Times New Roman" w:hAnsi="Garamond" w:cs="Times New Roman"/>
          <w:bCs/>
          <w:sz w:val="24"/>
          <w:szCs w:val="24"/>
        </w:rPr>
      </w:pPr>
      <w:r w:rsidRPr="008B032A">
        <w:rPr>
          <w:rFonts w:ascii="Garamond" w:eastAsia="Times New Roman" w:hAnsi="Garamond" w:cs="Times New Roman"/>
          <w:bCs/>
          <w:sz w:val="24"/>
          <w:szCs w:val="24"/>
        </w:rPr>
        <w:t>30. Brenda 30 ditë</w:t>
      </w:r>
      <w:r w:rsidR="006317B5" w:rsidRPr="008B032A">
        <w:rPr>
          <w:rFonts w:ascii="Garamond" w:eastAsia="Times New Roman" w:hAnsi="Garamond" w:cs="Times New Roman"/>
          <w:bCs/>
          <w:sz w:val="24"/>
          <w:szCs w:val="24"/>
        </w:rPr>
        <w:t>ve</w:t>
      </w:r>
      <w:r w:rsidRPr="008B032A">
        <w:rPr>
          <w:rFonts w:ascii="Garamond" w:eastAsia="Times New Roman" w:hAnsi="Garamond" w:cs="Times New Roman"/>
          <w:bCs/>
          <w:sz w:val="24"/>
          <w:szCs w:val="24"/>
        </w:rPr>
        <w:t xml:space="preserve"> nga miratimi i rezolutës, të hartojë dhe </w:t>
      </w:r>
      <w:r w:rsidR="006317B5" w:rsidRPr="008B032A">
        <w:rPr>
          <w:rFonts w:ascii="Garamond" w:eastAsia="Times New Roman" w:hAnsi="Garamond" w:cs="Times New Roman"/>
          <w:bCs/>
          <w:sz w:val="24"/>
          <w:szCs w:val="24"/>
        </w:rPr>
        <w:t xml:space="preserve">të </w:t>
      </w:r>
      <w:r w:rsidRPr="008B032A">
        <w:rPr>
          <w:rFonts w:ascii="Garamond" w:eastAsia="Times New Roman" w:hAnsi="Garamond" w:cs="Times New Roman"/>
          <w:bCs/>
          <w:sz w:val="24"/>
          <w:szCs w:val="24"/>
        </w:rPr>
        <w:t xml:space="preserve">publikojë një plan veprimi për zbatimin e rekomandimeve, i cili të përcaktojë masat konkrete, afatet e realizimit, strukturat përgjegjëse, treguesit bazë dhe objektivat e synuar, si dhe të raportojë periodikisht </w:t>
      </w:r>
      <w:r w:rsidR="006317B5" w:rsidRPr="008B032A">
        <w:rPr>
          <w:rFonts w:ascii="Garamond" w:eastAsia="Times New Roman" w:hAnsi="Garamond" w:cs="Times New Roman"/>
          <w:bCs/>
          <w:sz w:val="24"/>
          <w:szCs w:val="24"/>
        </w:rPr>
        <w:t>për</w:t>
      </w:r>
      <w:r w:rsidR="00E6722F">
        <w:rPr>
          <w:rFonts w:ascii="Garamond" w:eastAsia="Times New Roman" w:hAnsi="Garamond" w:cs="Times New Roman"/>
          <w:bCs/>
          <w:sz w:val="24"/>
          <w:szCs w:val="24"/>
        </w:rPr>
        <w:t xml:space="preserve"> nivelin e përmbushjes së tyre.</w:t>
      </w:r>
    </w:p>
    <w:p w14:paraId="4960E523" w14:textId="77777777" w:rsidR="003759A8" w:rsidRPr="008B032A" w:rsidRDefault="003759A8" w:rsidP="004D7A14">
      <w:pPr>
        <w:spacing w:after="0" w:line="240" w:lineRule="auto"/>
        <w:ind w:firstLine="284"/>
        <w:jc w:val="both"/>
        <w:rPr>
          <w:rFonts w:ascii="Garamond" w:eastAsia="Times New Roman" w:hAnsi="Garamond" w:cs="Times New Roman"/>
          <w:bCs/>
          <w:sz w:val="24"/>
          <w:szCs w:val="24"/>
        </w:rPr>
      </w:pPr>
    </w:p>
    <w:p w14:paraId="18089A2B" w14:textId="77777777" w:rsidR="0042060E" w:rsidRPr="008B032A" w:rsidRDefault="0042060E" w:rsidP="004D7A14">
      <w:pPr>
        <w:spacing w:after="0" w:line="240" w:lineRule="auto"/>
        <w:ind w:firstLine="284"/>
        <w:jc w:val="both"/>
        <w:rPr>
          <w:rFonts w:ascii="Garamond" w:eastAsia="Times New Roman" w:hAnsi="Garamond" w:cs="Times New Roman"/>
          <w:bCs/>
          <w:sz w:val="24"/>
          <w:szCs w:val="24"/>
        </w:rPr>
      </w:pPr>
    </w:p>
    <w:p w14:paraId="6B5CB90E" w14:textId="2C202670" w:rsidR="0042060E" w:rsidRPr="008B032A" w:rsidRDefault="0042060E" w:rsidP="004D7A14">
      <w:pPr>
        <w:spacing w:after="0" w:line="240" w:lineRule="auto"/>
        <w:ind w:firstLine="284"/>
        <w:jc w:val="both"/>
        <w:rPr>
          <w:rFonts w:ascii="Garamond" w:eastAsia="Times New Roman" w:hAnsi="Garamond" w:cs="Times New Roman"/>
          <w:b/>
          <w:sz w:val="24"/>
          <w:szCs w:val="24"/>
        </w:rPr>
      </w:pPr>
    </w:p>
    <w:p w14:paraId="686F6AAE" w14:textId="77777777" w:rsidR="0042060E" w:rsidRPr="008B032A" w:rsidRDefault="0042060E" w:rsidP="004D7A14">
      <w:pPr>
        <w:spacing w:after="0" w:line="240" w:lineRule="auto"/>
        <w:ind w:firstLine="284"/>
        <w:jc w:val="both"/>
        <w:rPr>
          <w:rFonts w:ascii="Garamond" w:eastAsia="Times New Roman" w:hAnsi="Garamond" w:cs="Times New Roman"/>
          <w:b/>
          <w:sz w:val="24"/>
          <w:szCs w:val="24"/>
        </w:rPr>
      </w:pPr>
    </w:p>
    <w:p w14:paraId="221649EC" w14:textId="4F6D819D" w:rsidR="00EB62DE" w:rsidRPr="008B032A" w:rsidRDefault="00A755F6" w:rsidP="004D7A14">
      <w:pPr>
        <w:spacing w:after="0" w:line="240" w:lineRule="auto"/>
        <w:ind w:firstLine="284"/>
        <w:jc w:val="both"/>
        <w:rPr>
          <w:rFonts w:ascii="Garamond" w:hAnsi="Garamond" w:cs="Times New Roman"/>
          <w:sz w:val="24"/>
          <w:szCs w:val="24"/>
        </w:rPr>
      </w:pPr>
      <w:r w:rsidRPr="008B032A">
        <w:rPr>
          <w:rFonts w:ascii="Garamond" w:hAnsi="Garamond" w:cs="Times New Roman"/>
          <w:sz w:val="24"/>
          <w:szCs w:val="24"/>
        </w:rPr>
        <w:t>Miratuar në datën</w:t>
      </w:r>
      <w:r w:rsidR="00840C47" w:rsidRPr="008B032A">
        <w:rPr>
          <w:rFonts w:ascii="Garamond" w:hAnsi="Garamond" w:cs="Times New Roman"/>
          <w:sz w:val="24"/>
          <w:szCs w:val="24"/>
        </w:rPr>
        <w:t xml:space="preserve"> </w:t>
      </w:r>
      <w:r w:rsidR="00F4128D" w:rsidRPr="008B032A">
        <w:rPr>
          <w:rFonts w:ascii="Garamond" w:hAnsi="Garamond" w:cs="Times New Roman"/>
          <w:sz w:val="24"/>
          <w:szCs w:val="24"/>
        </w:rPr>
        <w:t>23.7</w:t>
      </w:r>
      <w:r w:rsidR="00181D50" w:rsidRPr="008B032A">
        <w:rPr>
          <w:rFonts w:ascii="Garamond" w:hAnsi="Garamond" w:cs="Times New Roman"/>
          <w:sz w:val="24"/>
          <w:szCs w:val="24"/>
        </w:rPr>
        <w:t>.</w:t>
      </w:r>
      <w:r w:rsidR="003C57D3" w:rsidRPr="008B032A">
        <w:rPr>
          <w:rFonts w:ascii="Garamond" w:hAnsi="Garamond" w:cs="Times New Roman"/>
          <w:sz w:val="24"/>
          <w:szCs w:val="24"/>
        </w:rPr>
        <w:t>202</w:t>
      </w:r>
      <w:r w:rsidR="00275863" w:rsidRPr="008B032A">
        <w:rPr>
          <w:rFonts w:ascii="Garamond" w:hAnsi="Garamond" w:cs="Times New Roman"/>
          <w:sz w:val="24"/>
          <w:szCs w:val="24"/>
        </w:rPr>
        <w:t>6</w:t>
      </w:r>
      <w:r w:rsidR="00E6722F">
        <w:rPr>
          <w:rFonts w:ascii="Garamond" w:hAnsi="Garamond" w:cs="Times New Roman"/>
          <w:sz w:val="24"/>
          <w:szCs w:val="24"/>
        </w:rPr>
        <w:t>.</w:t>
      </w:r>
    </w:p>
    <w:p w14:paraId="05A8005D" w14:textId="77777777" w:rsidR="00841A15" w:rsidRPr="008B032A" w:rsidRDefault="00841A15" w:rsidP="004D7A14">
      <w:pPr>
        <w:spacing w:after="0" w:line="240" w:lineRule="auto"/>
        <w:ind w:firstLine="284"/>
        <w:rPr>
          <w:rFonts w:ascii="Garamond" w:eastAsia="Times New Roman" w:hAnsi="Garamond" w:cs="Times New Roman"/>
          <w:sz w:val="24"/>
          <w:szCs w:val="24"/>
        </w:rPr>
      </w:pPr>
    </w:p>
    <w:p w14:paraId="299619C3" w14:textId="77777777" w:rsidR="00235FD1" w:rsidRPr="008B032A" w:rsidRDefault="00235FD1" w:rsidP="00235FD1">
      <w:pPr>
        <w:spacing w:after="0" w:line="240" w:lineRule="auto"/>
        <w:ind w:left="6920"/>
        <w:jc w:val="right"/>
        <w:rPr>
          <w:rFonts w:ascii="Garamond" w:hAnsi="Garamond" w:cs="Times New Roman"/>
          <w:bCs/>
          <w:color w:val="000000" w:themeColor="text1"/>
          <w:sz w:val="24"/>
          <w:szCs w:val="24"/>
        </w:rPr>
      </w:pPr>
      <w:r w:rsidRPr="008B032A">
        <w:rPr>
          <w:rFonts w:ascii="Garamond" w:hAnsi="Garamond" w:cs="Times New Roman"/>
          <w:bCs/>
          <w:color w:val="000000" w:themeColor="text1"/>
          <w:sz w:val="24"/>
          <w:szCs w:val="24"/>
        </w:rPr>
        <w:t xml:space="preserve">KRYETAR </w:t>
      </w:r>
    </w:p>
    <w:p w14:paraId="7E6715D8" w14:textId="77777777" w:rsidR="00235FD1" w:rsidRPr="008B032A" w:rsidRDefault="00235FD1" w:rsidP="00235FD1">
      <w:pPr>
        <w:spacing w:after="0" w:line="240" w:lineRule="auto"/>
        <w:jc w:val="right"/>
        <w:rPr>
          <w:rFonts w:ascii="Garamond" w:hAnsi="Garamond" w:cs="Times New Roman"/>
          <w:b/>
          <w:bCs/>
          <w:color w:val="000000" w:themeColor="text1"/>
          <w:sz w:val="24"/>
          <w:szCs w:val="24"/>
        </w:rPr>
      </w:pPr>
      <w:proofErr w:type="spellStart"/>
      <w:r w:rsidRPr="008B032A">
        <w:rPr>
          <w:rFonts w:ascii="Garamond" w:hAnsi="Garamond" w:cs="Times New Roman"/>
          <w:b/>
          <w:bCs/>
          <w:color w:val="000000" w:themeColor="text1"/>
          <w:sz w:val="24"/>
          <w:szCs w:val="24"/>
        </w:rPr>
        <w:t>Niko</w:t>
      </w:r>
      <w:proofErr w:type="spellEnd"/>
      <w:r w:rsidRPr="008B032A">
        <w:rPr>
          <w:rFonts w:ascii="Garamond" w:hAnsi="Garamond" w:cs="Times New Roman"/>
          <w:b/>
          <w:bCs/>
          <w:color w:val="000000" w:themeColor="text1"/>
          <w:sz w:val="24"/>
          <w:szCs w:val="24"/>
        </w:rPr>
        <w:t xml:space="preserve"> </w:t>
      </w:r>
      <w:proofErr w:type="spellStart"/>
      <w:r w:rsidRPr="008B032A">
        <w:rPr>
          <w:rFonts w:ascii="Garamond" w:hAnsi="Garamond" w:cs="Times New Roman"/>
          <w:b/>
          <w:bCs/>
          <w:color w:val="000000" w:themeColor="text1"/>
          <w:sz w:val="24"/>
          <w:szCs w:val="24"/>
        </w:rPr>
        <w:t>Peleshi</w:t>
      </w:r>
      <w:proofErr w:type="spellEnd"/>
    </w:p>
    <w:p w14:paraId="1B441005" w14:textId="77777777" w:rsidR="00841A15" w:rsidRPr="008B032A" w:rsidRDefault="00841A15" w:rsidP="004D7A14">
      <w:pPr>
        <w:spacing w:after="0" w:line="240" w:lineRule="auto"/>
        <w:ind w:firstLine="284"/>
        <w:rPr>
          <w:rFonts w:ascii="Garamond" w:eastAsia="Times New Roman" w:hAnsi="Garamond" w:cs="Times New Roman"/>
          <w:sz w:val="24"/>
          <w:szCs w:val="24"/>
        </w:rPr>
      </w:pPr>
    </w:p>
    <w:p w14:paraId="328FB015" w14:textId="77777777" w:rsidR="003C57D3" w:rsidRPr="008B032A" w:rsidRDefault="003C57D3" w:rsidP="004D7A14">
      <w:pPr>
        <w:spacing w:after="0" w:line="240" w:lineRule="auto"/>
        <w:ind w:firstLine="284"/>
        <w:rPr>
          <w:rFonts w:ascii="Garamond" w:eastAsia="Times New Roman" w:hAnsi="Garamond" w:cs="Times New Roman"/>
          <w:sz w:val="24"/>
          <w:szCs w:val="24"/>
        </w:rPr>
      </w:pPr>
    </w:p>
    <w:p w14:paraId="3E9909DF" w14:textId="77777777" w:rsidR="0079748A" w:rsidRPr="008B032A" w:rsidRDefault="0079748A" w:rsidP="004D7A14">
      <w:pPr>
        <w:spacing w:after="0" w:line="240" w:lineRule="auto"/>
        <w:ind w:firstLine="284"/>
        <w:rPr>
          <w:rFonts w:ascii="Garamond" w:eastAsia="Times New Roman" w:hAnsi="Garamond" w:cs="Times New Roman"/>
          <w:sz w:val="24"/>
          <w:szCs w:val="24"/>
        </w:rPr>
      </w:pPr>
    </w:p>
    <w:sectPr w:rsidR="0079748A" w:rsidRPr="008B032A" w:rsidSect="008D54B5">
      <w:footerReference w:type="default" r:id="rId11"/>
      <w:pgSz w:w="11907" w:h="16840" w:code="9"/>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55C060" w14:textId="77777777" w:rsidR="008F3067" w:rsidRDefault="008F3067" w:rsidP="00C86383">
      <w:pPr>
        <w:spacing w:after="0" w:line="240" w:lineRule="auto"/>
      </w:pPr>
      <w:r>
        <w:separator/>
      </w:r>
    </w:p>
  </w:endnote>
  <w:endnote w:type="continuationSeparator" w:id="0">
    <w:p w14:paraId="249C689E" w14:textId="77777777" w:rsidR="008F3067" w:rsidRDefault="008F3067" w:rsidP="00C86383">
      <w:pPr>
        <w:spacing w:after="0" w:line="240" w:lineRule="auto"/>
      </w:pPr>
      <w:r>
        <w:continuationSeparator/>
      </w:r>
    </w:p>
  </w:endnote>
  <w:endnote w:type="continuationNotice" w:id="1">
    <w:p w14:paraId="58F11257" w14:textId="77777777" w:rsidR="00FA7C04" w:rsidRDefault="00FA7C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62866653" w:rsidR="008F3067" w:rsidRPr="00E7684C" w:rsidRDefault="008F3067">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sidR="00E6722F">
          <w:rPr>
            <w:rFonts w:ascii="Times New Roman" w:hAnsi="Times New Roman" w:cs="Times New Roman"/>
            <w:noProof/>
            <w:sz w:val="24"/>
            <w:szCs w:val="24"/>
          </w:rPr>
          <w:t>3</w:t>
        </w:r>
        <w:r w:rsidRPr="00E7684C">
          <w:rPr>
            <w:rFonts w:ascii="Times New Roman" w:hAnsi="Times New Roman" w:cs="Times New Roman"/>
            <w:noProof/>
            <w:sz w:val="24"/>
            <w:szCs w:val="24"/>
          </w:rPr>
          <w:fldChar w:fldCharType="end"/>
        </w:r>
      </w:p>
    </w:sdtContent>
  </w:sdt>
  <w:p w14:paraId="07261E55" w14:textId="77777777" w:rsidR="008F3067" w:rsidRDefault="008F306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E90DB" w14:textId="77777777" w:rsidR="008F3067" w:rsidRDefault="008F3067" w:rsidP="00C86383">
      <w:pPr>
        <w:spacing w:after="0" w:line="240" w:lineRule="auto"/>
      </w:pPr>
      <w:r>
        <w:separator/>
      </w:r>
    </w:p>
  </w:footnote>
  <w:footnote w:type="continuationSeparator" w:id="0">
    <w:p w14:paraId="36FE1802" w14:textId="77777777" w:rsidR="008F3067" w:rsidRDefault="008F3067" w:rsidP="00C86383">
      <w:pPr>
        <w:spacing w:after="0" w:line="240" w:lineRule="auto"/>
      </w:pPr>
      <w:r>
        <w:continuationSeparator/>
      </w:r>
    </w:p>
  </w:footnote>
  <w:footnote w:type="continuationNotice" w:id="1">
    <w:p w14:paraId="5444D43C" w14:textId="77777777" w:rsidR="00FA7C04" w:rsidRDefault="00FA7C04">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DB"/>
    <w:rsid w:val="00005C6F"/>
    <w:rsid w:val="000062FF"/>
    <w:rsid w:val="00007948"/>
    <w:rsid w:val="0001371B"/>
    <w:rsid w:val="00013F99"/>
    <w:rsid w:val="00013FC1"/>
    <w:rsid w:val="0001705C"/>
    <w:rsid w:val="00017F55"/>
    <w:rsid w:val="00020115"/>
    <w:rsid w:val="000224FD"/>
    <w:rsid w:val="000225F5"/>
    <w:rsid w:val="00022B06"/>
    <w:rsid w:val="000278AC"/>
    <w:rsid w:val="00027E1F"/>
    <w:rsid w:val="00032ACF"/>
    <w:rsid w:val="00037E73"/>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A3542"/>
    <w:rsid w:val="000A6E6F"/>
    <w:rsid w:val="000B5D11"/>
    <w:rsid w:val="000C0CFC"/>
    <w:rsid w:val="000C1BC4"/>
    <w:rsid w:val="000C7182"/>
    <w:rsid w:val="000D0397"/>
    <w:rsid w:val="000D1518"/>
    <w:rsid w:val="000D25F8"/>
    <w:rsid w:val="000D476A"/>
    <w:rsid w:val="000D6847"/>
    <w:rsid w:val="000E127F"/>
    <w:rsid w:val="000E3E8D"/>
    <w:rsid w:val="000E4797"/>
    <w:rsid w:val="000E5355"/>
    <w:rsid w:val="000F121E"/>
    <w:rsid w:val="000F417A"/>
    <w:rsid w:val="0010178D"/>
    <w:rsid w:val="001049FD"/>
    <w:rsid w:val="001113F8"/>
    <w:rsid w:val="00114DD0"/>
    <w:rsid w:val="001156F1"/>
    <w:rsid w:val="00121DB5"/>
    <w:rsid w:val="00125D8E"/>
    <w:rsid w:val="001315C1"/>
    <w:rsid w:val="001325AF"/>
    <w:rsid w:val="00132AD7"/>
    <w:rsid w:val="001336E2"/>
    <w:rsid w:val="00135081"/>
    <w:rsid w:val="001356DB"/>
    <w:rsid w:val="001424BF"/>
    <w:rsid w:val="001432F5"/>
    <w:rsid w:val="00143A0C"/>
    <w:rsid w:val="0014463B"/>
    <w:rsid w:val="00147593"/>
    <w:rsid w:val="001501FF"/>
    <w:rsid w:val="0016140E"/>
    <w:rsid w:val="00162EC4"/>
    <w:rsid w:val="00176BBD"/>
    <w:rsid w:val="0018119B"/>
    <w:rsid w:val="00181B37"/>
    <w:rsid w:val="00181D50"/>
    <w:rsid w:val="00184409"/>
    <w:rsid w:val="001858C3"/>
    <w:rsid w:val="00191634"/>
    <w:rsid w:val="001A37BE"/>
    <w:rsid w:val="001A79AF"/>
    <w:rsid w:val="001B134B"/>
    <w:rsid w:val="001B6D41"/>
    <w:rsid w:val="001B7CF3"/>
    <w:rsid w:val="001C1147"/>
    <w:rsid w:val="001E2085"/>
    <w:rsid w:val="001E3542"/>
    <w:rsid w:val="001F472A"/>
    <w:rsid w:val="001F4CD5"/>
    <w:rsid w:val="00202011"/>
    <w:rsid w:val="0020553B"/>
    <w:rsid w:val="002063FE"/>
    <w:rsid w:val="002129CF"/>
    <w:rsid w:val="00215C02"/>
    <w:rsid w:val="002170DC"/>
    <w:rsid w:val="002176D7"/>
    <w:rsid w:val="002202CB"/>
    <w:rsid w:val="00223BB0"/>
    <w:rsid w:val="0022618D"/>
    <w:rsid w:val="002359AF"/>
    <w:rsid w:val="00235FD1"/>
    <w:rsid w:val="00237CB2"/>
    <w:rsid w:val="00240C54"/>
    <w:rsid w:val="00240E91"/>
    <w:rsid w:val="00243068"/>
    <w:rsid w:val="00244B19"/>
    <w:rsid w:val="00244D0F"/>
    <w:rsid w:val="00262768"/>
    <w:rsid w:val="00262C8A"/>
    <w:rsid w:val="00266214"/>
    <w:rsid w:val="00275863"/>
    <w:rsid w:val="00275F33"/>
    <w:rsid w:val="00283031"/>
    <w:rsid w:val="00286E87"/>
    <w:rsid w:val="0029415F"/>
    <w:rsid w:val="002A1841"/>
    <w:rsid w:val="002A4484"/>
    <w:rsid w:val="002A5713"/>
    <w:rsid w:val="002B2319"/>
    <w:rsid w:val="002B3D78"/>
    <w:rsid w:val="002B42ED"/>
    <w:rsid w:val="002B6674"/>
    <w:rsid w:val="002C0BF7"/>
    <w:rsid w:val="002C3B76"/>
    <w:rsid w:val="002D28BD"/>
    <w:rsid w:val="002D47BF"/>
    <w:rsid w:val="002D6F17"/>
    <w:rsid w:val="002E049D"/>
    <w:rsid w:val="002E203D"/>
    <w:rsid w:val="002E30A1"/>
    <w:rsid w:val="002E3E9A"/>
    <w:rsid w:val="002E57A2"/>
    <w:rsid w:val="002E580F"/>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205E"/>
    <w:rsid w:val="003556E0"/>
    <w:rsid w:val="003557DA"/>
    <w:rsid w:val="00373D67"/>
    <w:rsid w:val="003759A8"/>
    <w:rsid w:val="003802C5"/>
    <w:rsid w:val="00380CE5"/>
    <w:rsid w:val="00382072"/>
    <w:rsid w:val="00384791"/>
    <w:rsid w:val="00384A0F"/>
    <w:rsid w:val="003918EF"/>
    <w:rsid w:val="00391D0F"/>
    <w:rsid w:val="00393AEF"/>
    <w:rsid w:val="00393D81"/>
    <w:rsid w:val="003962DE"/>
    <w:rsid w:val="00397B89"/>
    <w:rsid w:val="003A2FD5"/>
    <w:rsid w:val="003A31B7"/>
    <w:rsid w:val="003A3D56"/>
    <w:rsid w:val="003C1F1B"/>
    <w:rsid w:val="003C3B41"/>
    <w:rsid w:val="003C51DC"/>
    <w:rsid w:val="003C57D3"/>
    <w:rsid w:val="003D144B"/>
    <w:rsid w:val="003D23B3"/>
    <w:rsid w:val="003D6B2B"/>
    <w:rsid w:val="003E08F3"/>
    <w:rsid w:val="003E193B"/>
    <w:rsid w:val="003E3131"/>
    <w:rsid w:val="003E334D"/>
    <w:rsid w:val="003E39E2"/>
    <w:rsid w:val="003E3F68"/>
    <w:rsid w:val="003E53A6"/>
    <w:rsid w:val="003E6C60"/>
    <w:rsid w:val="003F623E"/>
    <w:rsid w:val="003F66F6"/>
    <w:rsid w:val="004011D1"/>
    <w:rsid w:val="004029FA"/>
    <w:rsid w:val="00402A6A"/>
    <w:rsid w:val="004057A5"/>
    <w:rsid w:val="00413BF2"/>
    <w:rsid w:val="00413F47"/>
    <w:rsid w:val="0042060E"/>
    <w:rsid w:val="0042078F"/>
    <w:rsid w:val="00420FE6"/>
    <w:rsid w:val="004215B2"/>
    <w:rsid w:val="00430EDA"/>
    <w:rsid w:val="004354FA"/>
    <w:rsid w:val="0043625A"/>
    <w:rsid w:val="00440837"/>
    <w:rsid w:val="00441F4D"/>
    <w:rsid w:val="0044774E"/>
    <w:rsid w:val="004530EE"/>
    <w:rsid w:val="0045672F"/>
    <w:rsid w:val="00457EDB"/>
    <w:rsid w:val="004615DB"/>
    <w:rsid w:val="00462270"/>
    <w:rsid w:val="00463738"/>
    <w:rsid w:val="0046513F"/>
    <w:rsid w:val="00477C33"/>
    <w:rsid w:val="00480E67"/>
    <w:rsid w:val="00480EEA"/>
    <w:rsid w:val="004819A5"/>
    <w:rsid w:val="004847B6"/>
    <w:rsid w:val="00485242"/>
    <w:rsid w:val="00493028"/>
    <w:rsid w:val="004946C8"/>
    <w:rsid w:val="0049616C"/>
    <w:rsid w:val="004A3A52"/>
    <w:rsid w:val="004A5109"/>
    <w:rsid w:val="004B0605"/>
    <w:rsid w:val="004B13B2"/>
    <w:rsid w:val="004B79D3"/>
    <w:rsid w:val="004C36BB"/>
    <w:rsid w:val="004C430E"/>
    <w:rsid w:val="004C4CF2"/>
    <w:rsid w:val="004D1840"/>
    <w:rsid w:val="004D508B"/>
    <w:rsid w:val="004D62AE"/>
    <w:rsid w:val="004D7A14"/>
    <w:rsid w:val="004E0456"/>
    <w:rsid w:val="004E639B"/>
    <w:rsid w:val="004E7623"/>
    <w:rsid w:val="004F08BE"/>
    <w:rsid w:val="004F7DD0"/>
    <w:rsid w:val="00501097"/>
    <w:rsid w:val="00502636"/>
    <w:rsid w:val="00505558"/>
    <w:rsid w:val="00505674"/>
    <w:rsid w:val="0050768B"/>
    <w:rsid w:val="00513A51"/>
    <w:rsid w:val="00514B00"/>
    <w:rsid w:val="00520F52"/>
    <w:rsid w:val="005228B2"/>
    <w:rsid w:val="005228E2"/>
    <w:rsid w:val="00524B85"/>
    <w:rsid w:val="00526332"/>
    <w:rsid w:val="00531F17"/>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675CA"/>
    <w:rsid w:val="005848AF"/>
    <w:rsid w:val="00595D7E"/>
    <w:rsid w:val="00597F1B"/>
    <w:rsid w:val="005A18E7"/>
    <w:rsid w:val="005A2801"/>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17B5"/>
    <w:rsid w:val="006344E9"/>
    <w:rsid w:val="00635067"/>
    <w:rsid w:val="00647824"/>
    <w:rsid w:val="0066462F"/>
    <w:rsid w:val="00664CC2"/>
    <w:rsid w:val="00666637"/>
    <w:rsid w:val="006672E6"/>
    <w:rsid w:val="0067489C"/>
    <w:rsid w:val="0067607A"/>
    <w:rsid w:val="00680190"/>
    <w:rsid w:val="006820EF"/>
    <w:rsid w:val="00684857"/>
    <w:rsid w:val="00686471"/>
    <w:rsid w:val="006870DA"/>
    <w:rsid w:val="00695534"/>
    <w:rsid w:val="006A1126"/>
    <w:rsid w:val="006B1A87"/>
    <w:rsid w:val="006B27CE"/>
    <w:rsid w:val="006B2B4C"/>
    <w:rsid w:val="006B790D"/>
    <w:rsid w:val="006C2AEE"/>
    <w:rsid w:val="006D3004"/>
    <w:rsid w:val="006D6CF7"/>
    <w:rsid w:val="006E5794"/>
    <w:rsid w:val="006F2FA3"/>
    <w:rsid w:val="006F6C44"/>
    <w:rsid w:val="00700DFF"/>
    <w:rsid w:val="00702A04"/>
    <w:rsid w:val="0070337B"/>
    <w:rsid w:val="00704D02"/>
    <w:rsid w:val="007064AB"/>
    <w:rsid w:val="00706557"/>
    <w:rsid w:val="00707C51"/>
    <w:rsid w:val="007134F3"/>
    <w:rsid w:val="0071531C"/>
    <w:rsid w:val="00717DD1"/>
    <w:rsid w:val="00721911"/>
    <w:rsid w:val="00721F94"/>
    <w:rsid w:val="00722A76"/>
    <w:rsid w:val="007259CC"/>
    <w:rsid w:val="007312D6"/>
    <w:rsid w:val="007427F3"/>
    <w:rsid w:val="00750776"/>
    <w:rsid w:val="00752319"/>
    <w:rsid w:val="00757B31"/>
    <w:rsid w:val="00761637"/>
    <w:rsid w:val="00761C31"/>
    <w:rsid w:val="00761C60"/>
    <w:rsid w:val="00761F57"/>
    <w:rsid w:val="007760A5"/>
    <w:rsid w:val="007832F6"/>
    <w:rsid w:val="00783CAA"/>
    <w:rsid w:val="007841E1"/>
    <w:rsid w:val="00784660"/>
    <w:rsid w:val="007850C4"/>
    <w:rsid w:val="00785C66"/>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F04D3"/>
    <w:rsid w:val="007F16F8"/>
    <w:rsid w:val="007F1C2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0C47"/>
    <w:rsid w:val="00841A15"/>
    <w:rsid w:val="00847CF0"/>
    <w:rsid w:val="00851363"/>
    <w:rsid w:val="00851711"/>
    <w:rsid w:val="00851EB9"/>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032A"/>
    <w:rsid w:val="008B6833"/>
    <w:rsid w:val="008B6B1A"/>
    <w:rsid w:val="008B74C4"/>
    <w:rsid w:val="008C2832"/>
    <w:rsid w:val="008C4109"/>
    <w:rsid w:val="008C42CC"/>
    <w:rsid w:val="008C498A"/>
    <w:rsid w:val="008C63A2"/>
    <w:rsid w:val="008C7273"/>
    <w:rsid w:val="008D114F"/>
    <w:rsid w:val="008D3DD2"/>
    <w:rsid w:val="008D41C9"/>
    <w:rsid w:val="008D54B5"/>
    <w:rsid w:val="008D5CDA"/>
    <w:rsid w:val="008D7A71"/>
    <w:rsid w:val="008E13AA"/>
    <w:rsid w:val="008E2C2A"/>
    <w:rsid w:val="008F0F64"/>
    <w:rsid w:val="008F16D6"/>
    <w:rsid w:val="008F3067"/>
    <w:rsid w:val="008F3C04"/>
    <w:rsid w:val="008F3C44"/>
    <w:rsid w:val="008F5EF5"/>
    <w:rsid w:val="008F668F"/>
    <w:rsid w:val="008F6781"/>
    <w:rsid w:val="009051F4"/>
    <w:rsid w:val="009113EE"/>
    <w:rsid w:val="0092415F"/>
    <w:rsid w:val="009256DD"/>
    <w:rsid w:val="0094122A"/>
    <w:rsid w:val="00946A54"/>
    <w:rsid w:val="00946C72"/>
    <w:rsid w:val="0095624F"/>
    <w:rsid w:val="009571C2"/>
    <w:rsid w:val="00957D0F"/>
    <w:rsid w:val="00960704"/>
    <w:rsid w:val="00960B17"/>
    <w:rsid w:val="009623BF"/>
    <w:rsid w:val="00964622"/>
    <w:rsid w:val="009700C5"/>
    <w:rsid w:val="00971602"/>
    <w:rsid w:val="0098506C"/>
    <w:rsid w:val="009854D5"/>
    <w:rsid w:val="00985CF0"/>
    <w:rsid w:val="00992C48"/>
    <w:rsid w:val="00993F35"/>
    <w:rsid w:val="00995CC4"/>
    <w:rsid w:val="0099713F"/>
    <w:rsid w:val="009A0CB1"/>
    <w:rsid w:val="009A67C9"/>
    <w:rsid w:val="009A734A"/>
    <w:rsid w:val="009B3A7B"/>
    <w:rsid w:val="009B6083"/>
    <w:rsid w:val="009D0BB6"/>
    <w:rsid w:val="009D3A41"/>
    <w:rsid w:val="009D5991"/>
    <w:rsid w:val="009D76B9"/>
    <w:rsid w:val="009E1F3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4915"/>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20B"/>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1511"/>
    <w:rsid w:val="00B1268D"/>
    <w:rsid w:val="00B131E7"/>
    <w:rsid w:val="00B14DA6"/>
    <w:rsid w:val="00B1678C"/>
    <w:rsid w:val="00B22C15"/>
    <w:rsid w:val="00B242A8"/>
    <w:rsid w:val="00B35261"/>
    <w:rsid w:val="00B41476"/>
    <w:rsid w:val="00B53958"/>
    <w:rsid w:val="00B53DAC"/>
    <w:rsid w:val="00B542F0"/>
    <w:rsid w:val="00B65D03"/>
    <w:rsid w:val="00B664A2"/>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2854"/>
    <w:rsid w:val="00BD2E2A"/>
    <w:rsid w:val="00BD592D"/>
    <w:rsid w:val="00BD5A4B"/>
    <w:rsid w:val="00BF0A3E"/>
    <w:rsid w:val="00BF1682"/>
    <w:rsid w:val="00BF3D89"/>
    <w:rsid w:val="00C011E1"/>
    <w:rsid w:val="00C01267"/>
    <w:rsid w:val="00C01362"/>
    <w:rsid w:val="00C15B46"/>
    <w:rsid w:val="00C2107A"/>
    <w:rsid w:val="00C22193"/>
    <w:rsid w:val="00C22617"/>
    <w:rsid w:val="00C277DC"/>
    <w:rsid w:val="00C310C5"/>
    <w:rsid w:val="00C3396C"/>
    <w:rsid w:val="00C34368"/>
    <w:rsid w:val="00C356CF"/>
    <w:rsid w:val="00C42220"/>
    <w:rsid w:val="00C46623"/>
    <w:rsid w:val="00C50843"/>
    <w:rsid w:val="00C569D5"/>
    <w:rsid w:val="00C65542"/>
    <w:rsid w:val="00C829DC"/>
    <w:rsid w:val="00C86383"/>
    <w:rsid w:val="00C9434B"/>
    <w:rsid w:val="00C96F2B"/>
    <w:rsid w:val="00CA0814"/>
    <w:rsid w:val="00CA0EBE"/>
    <w:rsid w:val="00CA19CA"/>
    <w:rsid w:val="00CA57B6"/>
    <w:rsid w:val="00CB1F79"/>
    <w:rsid w:val="00CC6F24"/>
    <w:rsid w:val="00CD31B5"/>
    <w:rsid w:val="00CD3633"/>
    <w:rsid w:val="00CD48BD"/>
    <w:rsid w:val="00CE032B"/>
    <w:rsid w:val="00CE0964"/>
    <w:rsid w:val="00CE0B9A"/>
    <w:rsid w:val="00CE5869"/>
    <w:rsid w:val="00CE6F13"/>
    <w:rsid w:val="00D05C90"/>
    <w:rsid w:val="00D0709B"/>
    <w:rsid w:val="00D07778"/>
    <w:rsid w:val="00D121EC"/>
    <w:rsid w:val="00D16DE4"/>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3010"/>
    <w:rsid w:val="00D668F7"/>
    <w:rsid w:val="00D66EB0"/>
    <w:rsid w:val="00D704A8"/>
    <w:rsid w:val="00D719E7"/>
    <w:rsid w:val="00D823E2"/>
    <w:rsid w:val="00D84BF4"/>
    <w:rsid w:val="00D864D2"/>
    <w:rsid w:val="00D874FB"/>
    <w:rsid w:val="00D87CA2"/>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092"/>
    <w:rsid w:val="00DF6555"/>
    <w:rsid w:val="00DF6CD2"/>
    <w:rsid w:val="00E01793"/>
    <w:rsid w:val="00E02D8F"/>
    <w:rsid w:val="00E042C2"/>
    <w:rsid w:val="00E06BA5"/>
    <w:rsid w:val="00E12C4C"/>
    <w:rsid w:val="00E16E23"/>
    <w:rsid w:val="00E24099"/>
    <w:rsid w:val="00E26211"/>
    <w:rsid w:val="00E318C7"/>
    <w:rsid w:val="00E33AAA"/>
    <w:rsid w:val="00E34C07"/>
    <w:rsid w:val="00E36067"/>
    <w:rsid w:val="00E442DC"/>
    <w:rsid w:val="00E51DFA"/>
    <w:rsid w:val="00E51E75"/>
    <w:rsid w:val="00E62137"/>
    <w:rsid w:val="00E63014"/>
    <w:rsid w:val="00E6722F"/>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3D"/>
    <w:rsid w:val="00EA15E5"/>
    <w:rsid w:val="00EA7B60"/>
    <w:rsid w:val="00EB31F6"/>
    <w:rsid w:val="00EB4EE4"/>
    <w:rsid w:val="00EB5365"/>
    <w:rsid w:val="00EB62DE"/>
    <w:rsid w:val="00EC0024"/>
    <w:rsid w:val="00EC2FEC"/>
    <w:rsid w:val="00ED4C45"/>
    <w:rsid w:val="00ED5AEE"/>
    <w:rsid w:val="00ED668D"/>
    <w:rsid w:val="00EE1FA6"/>
    <w:rsid w:val="00EE4C8B"/>
    <w:rsid w:val="00EE6A25"/>
    <w:rsid w:val="00EF6235"/>
    <w:rsid w:val="00F05169"/>
    <w:rsid w:val="00F0526E"/>
    <w:rsid w:val="00F05EA7"/>
    <w:rsid w:val="00F142C1"/>
    <w:rsid w:val="00F1525A"/>
    <w:rsid w:val="00F2548C"/>
    <w:rsid w:val="00F261B9"/>
    <w:rsid w:val="00F3246E"/>
    <w:rsid w:val="00F32B61"/>
    <w:rsid w:val="00F37FAF"/>
    <w:rsid w:val="00F4128D"/>
    <w:rsid w:val="00F4148E"/>
    <w:rsid w:val="00F42E3E"/>
    <w:rsid w:val="00F43580"/>
    <w:rsid w:val="00F454F1"/>
    <w:rsid w:val="00F45BC9"/>
    <w:rsid w:val="00F466D7"/>
    <w:rsid w:val="00F470FA"/>
    <w:rsid w:val="00F5324C"/>
    <w:rsid w:val="00F55436"/>
    <w:rsid w:val="00F555CD"/>
    <w:rsid w:val="00F5634D"/>
    <w:rsid w:val="00F65C99"/>
    <w:rsid w:val="00F701B3"/>
    <w:rsid w:val="00F779F7"/>
    <w:rsid w:val="00F815EC"/>
    <w:rsid w:val="00F8292F"/>
    <w:rsid w:val="00F82F68"/>
    <w:rsid w:val="00F83F05"/>
    <w:rsid w:val="00F86A50"/>
    <w:rsid w:val="00F9446E"/>
    <w:rsid w:val="00F94822"/>
    <w:rsid w:val="00F9485F"/>
    <w:rsid w:val="00F960FE"/>
    <w:rsid w:val="00F9796E"/>
    <w:rsid w:val="00F97CB9"/>
    <w:rsid w:val="00FA278D"/>
    <w:rsid w:val="00FA7080"/>
    <w:rsid w:val="00FA7C04"/>
    <w:rsid w:val="00FB2B6A"/>
    <w:rsid w:val="00FB340F"/>
    <w:rsid w:val="00FB4761"/>
    <w:rsid w:val="00FC6348"/>
    <w:rsid w:val="00FC7FD0"/>
    <w:rsid w:val="00FD032C"/>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2026-07-30T06:52:44Z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2026-07-29T00:00:00Z</Date_x0020_protokolli>
    <Titulli xmlns="0e656187-b300-4fb0-8bf4-3a50f872073c">Për vlerësimin e veprimtarisë së Prokurorit të Përgjithshëm për vitin 2025 dhe rekomandimet për vitin 2026</Titulli>
    <Modifikuesi xmlns="0e656187-b300-4fb0-8bf4-3a50f872073c">ermira.bukaci</Modifikuesi>
    <Nr_x002e__x0020_prot_x0020_QBZ xmlns="0e656187-b300-4fb0-8bf4-3a50f872073c">1736/4</Nr_x002e__x0020_prot_x0020_QBZ>
    <Data_x0020_e_x0020_Modifikimit xmlns="0e656187-b300-4fb0-8bf4-3a50f872073c">2026-07-30T08:17:10Z</Data_x0020_e_x0020_Modifikimit>
    <Dekretuar xmlns="0e656187-b300-4fb0-8bf4-3a50f872073c">false</Dekretuar>
    <Data xmlns="0e656187-b300-4fb0-8bf4-3a50f872073c">2026-07-23T00:00:00Z</Data>
    <Nr_x002e__x0020_protokolli_x0020_i_x0020_aktit xmlns="0e656187-b300-4fb0-8bf4-3a50f872073c">3518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DC373C8A3AC4FDDABDD96C8724145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5E05-C172-492A-905B-F39C81EFE22A}">
  <ds:schemaRefs>
    <ds:schemaRef ds:uri="http://schemas.microsoft.com/office/2006/metadata/properties"/>
    <ds:schemaRef ds:uri="0e656187-b300-4fb0-8bf4-3a50f872073c"/>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37102224-4086-408D-86B2-2E31B3A10A4F}">
  <ds:schemaRefs>
    <ds:schemaRef ds:uri="http://schemas.microsoft.com/sharepoint/v3/contenttype/forms"/>
  </ds:schemaRefs>
</ds:datastoreItem>
</file>

<file path=customXml/itemProps3.xml><?xml version="1.0" encoding="utf-8"?>
<ds:datastoreItem xmlns:ds="http://schemas.openxmlformats.org/officeDocument/2006/customXml" ds:itemID="{8C5D3DDE-2FB9-4BF7-A4DE-812C72B15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7F1AEAF-788D-4E78-A849-961776FD0C9B}">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contentBits="0" removed="0"/>
</clbl:labelList>
</file>

<file path=docProps/app.xml><?xml version="1.0" encoding="utf-8"?>
<Properties xmlns="http://schemas.openxmlformats.org/officeDocument/2006/extended-properties" xmlns:vt="http://schemas.openxmlformats.org/officeDocument/2006/docPropsVTypes">
  <Template>Normal</Template>
  <TotalTime>552</TotalTime>
  <Pages>4</Pages>
  <Words>1951</Words>
  <Characters>11125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Për vlerësimin e veprimtarisë së Prokurorit të Përgjithshëm për vitin 2025 dhe rekomandimet për vitin 2026</vt:lpstr>
    </vt:vector>
  </TitlesOfParts>
  <Company/>
  <LinksUpToDate>false</LinksUpToDate>
  <CharactersWithSpaces>13050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Prokurorit të Përgjithshëm për vitin 2025 dhe rekomandimet për vitin 2026</dc:title>
  <dc:creator>user</dc:creator>
  <cp:lastModifiedBy>fjora.cahani</cp:lastModifiedBy>
  <cp:revision>229</cp:revision>
  <cp:lastPrinted>2026-02-13T09:08:00Z</cp:lastPrinted>
  <dcterms:created xsi:type="dcterms:W3CDTF">2019-04-04T07:08:00Z</dcterms:created>
  <dcterms:modified xsi:type="dcterms:W3CDTF">2026-07-30T10:18:00Z</dcterms:modified>
</cp:coreProperties>
</file>