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45B04F62" w:rsidR="00493028" w:rsidRPr="00E95557" w:rsidRDefault="0042060E" w:rsidP="008A2D34">
      <w:pPr>
        <w:spacing w:after="0" w:line="240" w:lineRule="auto"/>
        <w:ind w:firstLine="284"/>
        <w:jc w:val="center"/>
        <w:rPr>
          <w:rFonts w:ascii="Garamond" w:eastAsia="Times New Roman" w:hAnsi="Garamond" w:cs="Times New Roman"/>
          <w:b/>
          <w:sz w:val="24"/>
          <w:szCs w:val="24"/>
        </w:rPr>
      </w:pPr>
      <w:r w:rsidRPr="00E95557">
        <w:rPr>
          <w:rFonts w:ascii="Garamond" w:eastAsia="Times New Roman" w:hAnsi="Garamond" w:cs="Times New Roman"/>
          <w:b/>
          <w:sz w:val="24"/>
          <w:szCs w:val="24"/>
        </w:rPr>
        <w:t>REZOLUT</w:t>
      </w:r>
      <w:r w:rsidR="007F1C28" w:rsidRPr="00E95557">
        <w:rPr>
          <w:rFonts w:ascii="Garamond" w:eastAsia="Times New Roman" w:hAnsi="Garamond" w:cs="Times New Roman"/>
          <w:b/>
          <w:sz w:val="24"/>
          <w:szCs w:val="24"/>
        </w:rPr>
        <w:t>Ë</w:t>
      </w:r>
      <w:r w:rsidR="00493028" w:rsidRPr="00E95557">
        <w:rPr>
          <w:rFonts w:ascii="Garamond" w:eastAsia="Times New Roman" w:hAnsi="Garamond" w:cs="Times New Roman"/>
          <w:b/>
          <w:sz w:val="24"/>
          <w:szCs w:val="24"/>
        </w:rPr>
        <w:t xml:space="preserve"> </w:t>
      </w:r>
    </w:p>
    <w:p w14:paraId="18089A2B" w14:textId="77777777" w:rsidR="0042060E" w:rsidRPr="00E95557" w:rsidRDefault="0042060E" w:rsidP="008A2D34">
      <w:pPr>
        <w:spacing w:after="0" w:line="240" w:lineRule="auto"/>
        <w:ind w:firstLine="284"/>
        <w:jc w:val="both"/>
        <w:rPr>
          <w:rFonts w:ascii="Garamond" w:eastAsia="Times New Roman" w:hAnsi="Garamond" w:cs="Times New Roman"/>
          <w:b/>
          <w:sz w:val="24"/>
          <w:szCs w:val="24"/>
        </w:rPr>
      </w:pPr>
    </w:p>
    <w:p w14:paraId="10DB05A3" w14:textId="77777777" w:rsidR="00F57902" w:rsidRPr="00E95557" w:rsidRDefault="00F57902" w:rsidP="008A2D34">
      <w:pPr>
        <w:spacing w:after="0" w:line="240" w:lineRule="auto"/>
        <w:ind w:firstLine="284"/>
        <w:jc w:val="center"/>
        <w:rPr>
          <w:rFonts w:ascii="Garamond" w:eastAsia="Times New Roman" w:hAnsi="Garamond" w:cs="Times New Roman"/>
          <w:b/>
          <w:sz w:val="24"/>
          <w:szCs w:val="24"/>
        </w:rPr>
      </w:pPr>
      <w:r w:rsidRPr="00E95557">
        <w:rPr>
          <w:rFonts w:ascii="Garamond" w:eastAsia="Times New Roman" w:hAnsi="Garamond" w:cs="Times New Roman"/>
          <w:b/>
          <w:sz w:val="24"/>
          <w:szCs w:val="24"/>
        </w:rPr>
        <w:t>PËR VLERËSIMIN E VEPRIMTARISË SË STRUKTURËS SË POSAÇME KUNDËR KORRUPSIONIT DHE KRIMIT TË ORGANIZUAR PËR VITIN 2025 DHE REKOMANDIMET PËR VITIN 2026</w:t>
      </w:r>
    </w:p>
    <w:p w14:paraId="3D73F4EA" w14:textId="77777777" w:rsidR="00F57902" w:rsidRPr="00E95557" w:rsidRDefault="00F57902" w:rsidP="008A2D34">
      <w:pPr>
        <w:spacing w:after="0" w:line="240" w:lineRule="auto"/>
        <w:ind w:firstLine="284"/>
        <w:jc w:val="center"/>
        <w:rPr>
          <w:rFonts w:ascii="Garamond" w:eastAsia="Times New Roman" w:hAnsi="Garamond" w:cs="Times New Roman"/>
          <w:b/>
          <w:sz w:val="24"/>
          <w:szCs w:val="24"/>
        </w:rPr>
      </w:pPr>
    </w:p>
    <w:p w14:paraId="24877F6A" w14:textId="21527770" w:rsidR="00F57902" w:rsidRPr="00E95557" w:rsidRDefault="00F57902" w:rsidP="008A2D34">
      <w:pPr>
        <w:spacing w:after="0" w:line="240" w:lineRule="auto"/>
        <w:ind w:firstLine="284"/>
        <w:jc w:val="both"/>
        <w:rPr>
          <w:rFonts w:ascii="Garamond" w:eastAsia="Times New Roman" w:hAnsi="Garamond" w:cs="Times New Roman"/>
          <w:b/>
          <w:sz w:val="24"/>
          <w:szCs w:val="24"/>
        </w:rPr>
      </w:pPr>
      <w:r w:rsidRPr="00E95557">
        <w:rPr>
          <w:rFonts w:ascii="Garamond" w:eastAsia="Times New Roman" w:hAnsi="Garamond" w:cs="Times New Roman"/>
          <w:b/>
          <w:sz w:val="24"/>
          <w:szCs w:val="24"/>
        </w:rPr>
        <w:t>Kuvendi i Shqipërisë,</w:t>
      </w:r>
    </w:p>
    <w:p w14:paraId="2CF7B4C7" w14:textId="59681094"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Duke konsideruar tejet të rëndësishëm misionin kushtetues të Prokurorisë së Posaçme në drejtim të luftës kundër korrupsionit dhe krimit të organizuar;</w:t>
      </w:r>
    </w:p>
    <w:p w14:paraId="35DF0425"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Duke njohur, respektuar dhe mbështetur pavarësinë ligjore dhe institucionale të institucionit të </w:t>
      </w:r>
      <w:proofErr w:type="spellStart"/>
      <w:r w:rsidRPr="00E95557">
        <w:rPr>
          <w:rFonts w:ascii="Garamond" w:eastAsia="Times New Roman" w:hAnsi="Garamond" w:cs="Times New Roman"/>
          <w:bCs/>
          <w:sz w:val="24"/>
          <w:szCs w:val="24"/>
        </w:rPr>
        <w:t>SPAK</w:t>
      </w:r>
      <w:proofErr w:type="spellEnd"/>
      <w:r w:rsidRPr="00E95557">
        <w:rPr>
          <w:rFonts w:ascii="Garamond" w:eastAsia="Times New Roman" w:hAnsi="Garamond" w:cs="Times New Roman"/>
          <w:bCs/>
          <w:sz w:val="24"/>
          <w:szCs w:val="24"/>
        </w:rPr>
        <w:t>-ut (Prokuroria e Posaçme dhe Byroja Kombëtare e Hetimit);</w:t>
      </w:r>
    </w:p>
    <w:p w14:paraId="47AECEB7" w14:textId="7FB7E445"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Duke</w:t>
      </w:r>
      <w:r w:rsidR="00365995"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vlerësuar rolin e saj të rëndësishëm në ushtrimin e ndjekjes penale, hetimin dhe</w:t>
      </w:r>
      <w:r w:rsid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përfaqësimin e akuzës në emër të shtetit para Gjykatës së Shkallës së Parë kundër Korrupsionit dhe Krimit të Organizuar, Gjykatës së Apelit kundër Korrupsionit dhe Krimit të Organizuar dhe Gjykatës së Lartë;</w:t>
      </w:r>
    </w:p>
    <w:p w14:paraId="183D2311" w14:textId="44FCE7E1"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Duke vlerësuar angazhimin dhe rezultatet e arritura nga Prokuroria e Posaçme dhe Byroja Kombëtare e Hetimit gjatë vitit 2025</w:t>
      </w:r>
      <w:r w:rsid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në përmbushje të përgjegjësive të tyre kushtetuese dhe ligjore dhe në zbatim të rekomandimeve të Kuvendit të Shqipërisë;</w:t>
      </w:r>
    </w:p>
    <w:p w14:paraId="7BA78D6A" w14:textId="24372C3D"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Duke marrë në konsideratë rritjen e besimit të publikut dhe të partnerëve ndërkombëtarë, si dhe vlerësimet pozitive të shprehura për veprimtarinë e këtij institucioni nga BE-ja edhe në kuadrin</w:t>
      </w:r>
      <w:r w:rsidR="00E95557">
        <w:rPr>
          <w:rFonts w:ascii="Garamond" w:eastAsia="Times New Roman" w:hAnsi="Garamond" w:cs="Times New Roman"/>
          <w:bCs/>
          <w:sz w:val="24"/>
          <w:szCs w:val="24"/>
        </w:rPr>
        <w:t xml:space="preserve"> e anëtarësimit të vendit në BE,</w:t>
      </w:r>
    </w:p>
    <w:p w14:paraId="386C02CD" w14:textId="26ACEDAE" w:rsidR="00F57902" w:rsidRPr="00E95557" w:rsidRDefault="00F57902" w:rsidP="008A2D34">
      <w:pPr>
        <w:spacing w:after="0" w:line="240" w:lineRule="auto"/>
        <w:ind w:firstLine="284"/>
        <w:jc w:val="both"/>
        <w:rPr>
          <w:rFonts w:ascii="Garamond" w:eastAsia="Times New Roman" w:hAnsi="Garamond" w:cs="Times New Roman"/>
          <w:b/>
          <w:sz w:val="24"/>
          <w:szCs w:val="24"/>
        </w:rPr>
      </w:pPr>
      <w:r w:rsidRPr="00E95557">
        <w:rPr>
          <w:rFonts w:ascii="Garamond" w:eastAsia="Times New Roman" w:hAnsi="Garamond" w:cs="Times New Roman"/>
          <w:b/>
          <w:sz w:val="24"/>
          <w:szCs w:val="24"/>
        </w:rPr>
        <w:t>Në vlerësim të raportit të paraqitur për veprimtarinë e Strukturës së Posaçme kundër Korrupsionit dhe Krimit të Organizuar për vitin 2025, në përmbushje të rekomandimeve të dhëna dhe debatit të zhvilluar rreth tij konstaton:</w:t>
      </w:r>
    </w:p>
    <w:p w14:paraId="22B43443" w14:textId="71D4BD94"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Bashkëpunimi ndërkombëtar: Gjatë vitit 2025 është konsoliduar më tej bashkëpunimi ndërkombëtar me partnerë si </w:t>
      </w:r>
      <w:proofErr w:type="spellStart"/>
      <w:r w:rsidRPr="00E95557">
        <w:rPr>
          <w:rFonts w:ascii="Garamond" w:eastAsia="Times New Roman" w:hAnsi="Garamond" w:cs="Times New Roman"/>
          <w:bCs/>
          <w:sz w:val="24"/>
          <w:szCs w:val="24"/>
        </w:rPr>
        <w:t>Eurojust</w:t>
      </w:r>
      <w:proofErr w:type="spellEnd"/>
      <w:r w:rsidRPr="00E95557">
        <w:rPr>
          <w:rFonts w:ascii="Garamond" w:eastAsia="Times New Roman" w:hAnsi="Garamond" w:cs="Times New Roman"/>
          <w:bCs/>
          <w:sz w:val="24"/>
          <w:szCs w:val="24"/>
        </w:rPr>
        <w:t xml:space="preserve">, </w:t>
      </w:r>
      <w:proofErr w:type="spellStart"/>
      <w:r w:rsidRPr="00E95557">
        <w:rPr>
          <w:rFonts w:ascii="Garamond" w:eastAsia="Times New Roman" w:hAnsi="Garamond" w:cs="Times New Roman"/>
          <w:bCs/>
          <w:sz w:val="24"/>
          <w:szCs w:val="24"/>
        </w:rPr>
        <w:t>Europol</w:t>
      </w:r>
      <w:proofErr w:type="spellEnd"/>
      <w:r w:rsidRPr="00E95557">
        <w:rPr>
          <w:rFonts w:ascii="Garamond" w:eastAsia="Times New Roman" w:hAnsi="Garamond" w:cs="Times New Roman"/>
          <w:bCs/>
          <w:sz w:val="24"/>
          <w:szCs w:val="24"/>
        </w:rPr>
        <w:t>, Interpol, autoritetet e SHBA-së dhe strukturat homologe rajonale dhe ndërkontinentale. Ky bashkëpunim është reflektuar në rritjen me 35.7% të kërkesave për ndihmë juridike ndërkombëtare, nga 70</w:t>
      </w:r>
      <w:r w:rsidR="00800ABE"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në vitin 2024 në 95</w:t>
      </w:r>
      <w:r w:rsidR="00800ABE"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në vitin 2025, ndërkohë</w:t>
      </w:r>
      <w:r w:rsidR="000C6CE8" w:rsidRPr="00E95557">
        <w:rPr>
          <w:rFonts w:ascii="Garamond" w:eastAsia="Times New Roman" w:hAnsi="Garamond" w:cs="Times New Roman"/>
          <w:bCs/>
          <w:sz w:val="24"/>
          <w:szCs w:val="24"/>
        </w:rPr>
        <w:t xml:space="preserve"> që </w:t>
      </w:r>
      <w:r w:rsidRPr="00E95557">
        <w:rPr>
          <w:rFonts w:ascii="Garamond" w:eastAsia="Times New Roman" w:hAnsi="Garamond" w:cs="Times New Roman"/>
          <w:bCs/>
          <w:sz w:val="24"/>
          <w:szCs w:val="24"/>
        </w:rPr>
        <w:t>63 prej tyre ose 66.3% janë ekzekutuar brenda vitit raportues, duke treguar përmirësim të efektivitetit në ndërveprimin ndërkufitar.</w:t>
      </w:r>
    </w:p>
    <w:p w14:paraId="7645B43F" w14:textId="76FCC2B3"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Kuadri strategjik dhe zhvillimi institucional: Në planin strategjik </w:t>
      </w:r>
      <w:r w:rsidR="00800ABE" w:rsidRPr="00E95557">
        <w:rPr>
          <w:rFonts w:ascii="Garamond" w:eastAsia="Times New Roman" w:hAnsi="Garamond" w:cs="Times New Roman"/>
          <w:bCs/>
          <w:sz w:val="24"/>
          <w:szCs w:val="24"/>
        </w:rPr>
        <w:t xml:space="preserve">ka </w:t>
      </w:r>
      <w:r w:rsidRPr="00E95557">
        <w:rPr>
          <w:rFonts w:ascii="Garamond" w:eastAsia="Times New Roman" w:hAnsi="Garamond" w:cs="Times New Roman"/>
          <w:bCs/>
          <w:sz w:val="24"/>
          <w:szCs w:val="24"/>
        </w:rPr>
        <w:t>vijuar zbatimi i prioriteteve përmes miratimit të dokumenteve</w:t>
      </w:r>
      <w:r w:rsidR="00800ABE"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si Strategjia për Uljen e Numrit të Çështjeve të Prapambetura dhe Strategjia e Komunikimit 2025–2028, si dhe akteve nënligjore që rregullojnë procese të rëndësishme institucionale, përfshirë përzgjedhjen e </w:t>
      </w:r>
      <w:r w:rsidR="00E95557">
        <w:rPr>
          <w:rFonts w:ascii="Garamond" w:eastAsia="Times New Roman" w:hAnsi="Garamond" w:cs="Times New Roman"/>
          <w:bCs/>
          <w:sz w:val="24"/>
          <w:szCs w:val="24"/>
        </w:rPr>
        <w:t>d</w:t>
      </w:r>
      <w:r w:rsidRPr="00E95557">
        <w:rPr>
          <w:rFonts w:ascii="Garamond" w:eastAsia="Times New Roman" w:hAnsi="Garamond" w:cs="Times New Roman"/>
          <w:bCs/>
          <w:sz w:val="24"/>
          <w:szCs w:val="24"/>
        </w:rPr>
        <w:t xml:space="preserve">rejtorit të </w:t>
      </w:r>
      <w:proofErr w:type="spellStart"/>
      <w:r w:rsidRPr="00E95557">
        <w:rPr>
          <w:rFonts w:ascii="Garamond" w:eastAsia="Times New Roman" w:hAnsi="Garamond" w:cs="Times New Roman"/>
          <w:bCs/>
          <w:sz w:val="24"/>
          <w:szCs w:val="24"/>
        </w:rPr>
        <w:t>BKH</w:t>
      </w:r>
      <w:proofErr w:type="spellEnd"/>
      <w:r w:rsidRPr="00E95557">
        <w:rPr>
          <w:rFonts w:ascii="Garamond" w:eastAsia="Times New Roman" w:hAnsi="Garamond" w:cs="Times New Roman"/>
          <w:bCs/>
          <w:sz w:val="24"/>
          <w:szCs w:val="24"/>
        </w:rPr>
        <w:t>-së. Njëkohësisht, janë hartuar një sërë instrumentesh të reja që pritet të finalizohen gjatë vitit 2026, duke përfshirë udhëzime për qarkullimin e dosjeve, komunikimin në krizë, financimin e terrorizmit dhe mbrojtjen e të dhënave personale, duke reflektuar përpjekje për standardizim dhe rritje të kapaciteteve administrative.</w:t>
      </w:r>
    </w:p>
    <w:p w14:paraId="6B20C0C8"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Volumi i hetimeve dhe </w:t>
      </w:r>
      <w:proofErr w:type="spellStart"/>
      <w:r w:rsidRPr="00E95557">
        <w:rPr>
          <w:rFonts w:ascii="Garamond" w:eastAsia="Times New Roman" w:hAnsi="Garamond" w:cs="Times New Roman"/>
          <w:bCs/>
          <w:sz w:val="24"/>
          <w:szCs w:val="24"/>
        </w:rPr>
        <w:t>performanca</w:t>
      </w:r>
      <w:proofErr w:type="spellEnd"/>
      <w:r w:rsidRPr="00E95557">
        <w:rPr>
          <w:rFonts w:ascii="Garamond" w:eastAsia="Times New Roman" w:hAnsi="Garamond" w:cs="Times New Roman"/>
          <w:bCs/>
          <w:sz w:val="24"/>
          <w:szCs w:val="24"/>
        </w:rPr>
        <w:t xml:space="preserve"> procedurale: Në vitin 2025 janë trajtuar gjithsej 871 procedime penale, nga të cilat 294 janë procedime të reja, 577 të mbartura nga viti 2024 dhe 39 janë bashkuar gjatë procesit. Krahasuar me vitin 2024, kur ishin trajtuar 793 procedime, evidentohet një rritje e volumit të hetimeve me rreth 4.9%. Numri i çështjeve të përfunduara ka mbetur i qëndrueshëm në 216, ndërsa raporti midis procedimeve të reja dhe atyre të përfunduara është përmirësuar me rreth 6.67%. Megjithëse numri i çështjeve të dërguara në gjykatë ka rënë me 19.5%, numri i personave të përfshirë në këto çështje është rritur me 13.5%, duke reflektuar një orientim drejt hetimeve më komplekse dhe me përfshirje më të gjerë.</w:t>
      </w:r>
    </w:p>
    <w:p w14:paraId="6290A813" w14:textId="52229CB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Konsolidimi i juridiksionit dhe qasja </w:t>
      </w:r>
      <w:proofErr w:type="spellStart"/>
      <w:r w:rsidRPr="00E95557">
        <w:rPr>
          <w:rFonts w:ascii="Garamond" w:eastAsia="Times New Roman" w:hAnsi="Garamond" w:cs="Times New Roman"/>
          <w:bCs/>
          <w:sz w:val="24"/>
          <w:szCs w:val="24"/>
        </w:rPr>
        <w:t>proaktive</w:t>
      </w:r>
      <w:proofErr w:type="spellEnd"/>
      <w:r w:rsidRPr="00E95557">
        <w:rPr>
          <w:rFonts w:ascii="Garamond" w:eastAsia="Times New Roman" w:hAnsi="Garamond" w:cs="Times New Roman"/>
          <w:bCs/>
          <w:sz w:val="24"/>
          <w:szCs w:val="24"/>
        </w:rPr>
        <w:t xml:space="preserve">: Gjatë vitit 2025 rreth 29% e çështjeve të përfunduara janë transferuar në prokuroritë e juridiksionit të përgjithshëm, duke shënuar një rënie të ndjeshme krahasuar me periudhën 2021–2024 dhe duke reflektuar konsolidimin e kompetencave. Njëkohësisht, është rritur ndjeshëm qasja </w:t>
      </w:r>
      <w:proofErr w:type="spellStart"/>
      <w:r w:rsidRPr="00E95557">
        <w:rPr>
          <w:rFonts w:ascii="Garamond" w:eastAsia="Times New Roman" w:hAnsi="Garamond" w:cs="Times New Roman"/>
          <w:bCs/>
          <w:sz w:val="24"/>
          <w:szCs w:val="24"/>
        </w:rPr>
        <w:t>proaktive</w:t>
      </w:r>
      <w:proofErr w:type="spellEnd"/>
      <w:r w:rsidRPr="00E95557">
        <w:rPr>
          <w:rFonts w:ascii="Garamond" w:eastAsia="Times New Roman" w:hAnsi="Garamond" w:cs="Times New Roman"/>
          <w:bCs/>
          <w:sz w:val="24"/>
          <w:szCs w:val="24"/>
        </w:rPr>
        <w:t xml:space="preserve">, pasi 109 nga 294 procedime të reja ose rreth 37% janë nisur kryesisht krahasuar me vetëm 19.8% në vitin 2024. Ky zhvillim është mbështetur nga </w:t>
      </w:r>
      <w:proofErr w:type="spellStart"/>
      <w:r w:rsidRPr="00E95557">
        <w:rPr>
          <w:rFonts w:ascii="Garamond" w:eastAsia="Times New Roman" w:hAnsi="Garamond" w:cs="Times New Roman"/>
          <w:bCs/>
          <w:sz w:val="24"/>
          <w:szCs w:val="24"/>
        </w:rPr>
        <w:t>aksesi</w:t>
      </w:r>
      <w:proofErr w:type="spellEnd"/>
      <w:r w:rsidRPr="00E95557">
        <w:rPr>
          <w:rFonts w:ascii="Garamond" w:eastAsia="Times New Roman" w:hAnsi="Garamond" w:cs="Times New Roman"/>
          <w:bCs/>
          <w:sz w:val="24"/>
          <w:szCs w:val="24"/>
        </w:rPr>
        <w:t xml:space="preserve"> në 22 </w:t>
      </w:r>
      <w:proofErr w:type="spellStart"/>
      <w:r w:rsidRPr="00E95557">
        <w:rPr>
          <w:rFonts w:ascii="Garamond" w:eastAsia="Times New Roman" w:hAnsi="Garamond" w:cs="Times New Roman"/>
          <w:bCs/>
          <w:sz w:val="24"/>
          <w:szCs w:val="24"/>
        </w:rPr>
        <w:t>databaza</w:t>
      </w:r>
      <w:proofErr w:type="spellEnd"/>
      <w:r w:rsidRPr="00E95557">
        <w:rPr>
          <w:rFonts w:ascii="Garamond" w:eastAsia="Times New Roman" w:hAnsi="Garamond" w:cs="Times New Roman"/>
          <w:bCs/>
          <w:sz w:val="24"/>
          <w:szCs w:val="24"/>
        </w:rPr>
        <w:t xml:space="preserve"> shtetërore, përfshirë 3 të reja të cilat kanë përmirësuar ndjeshëm </w:t>
      </w:r>
      <w:proofErr w:type="spellStart"/>
      <w:r w:rsidRPr="00E95557">
        <w:rPr>
          <w:rFonts w:ascii="Garamond" w:eastAsia="Times New Roman" w:hAnsi="Garamond" w:cs="Times New Roman"/>
          <w:bCs/>
          <w:sz w:val="24"/>
          <w:szCs w:val="24"/>
        </w:rPr>
        <w:t>eficiencën</w:t>
      </w:r>
      <w:proofErr w:type="spellEnd"/>
      <w:r w:rsidRPr="00E95557">
        <w:rPr>
          <w:rFonts w:ascii="Garamond" w:eastAsia="Times New Roman" w:hAnsi="Garamond" w:cs="Times New Roman"/>
          <w:bCs/>
          <w:sz w:val="24"/>
          <w:szCs w:val="24"/>
        </w:rPr>
        <w:t xml:space="preserve"> hetimore.</w:t>
      </w:r>
    </w:p>
    <w:p w14:paraId="628CBEA3"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Lufta kundër krimit të organizuar: Në luftën kundër krimit të organizuar është vijuar përmirësimi i </w:t>
      </w:r>
      <w:proofErr w:type="spellStart"/>
      <w:r w:rsidRPr="00E95557">
        <w:rPr>
          <w:rFonts w:ascii="Garamond" w:eastAsia="Times New Roman" w:hAnsi="Garamond" w:cs="Times New Roman"/>
          <w:bCs/>
          <w:sz w:val="24"/>
          <w:szCs w:val="24"/>
        </w:rPr>
        <w:t>performancës</w:t>
      </w:r>
      <w:proofErr w:type="spellEnd"/>
      <w:r w:rsidRPr="00E95557">
        <w:rPr>
          <w:rFonts w:ascii="Garamond" w:eastAsia="Times New Roman" w:hAnsi="Garamond" w:cs="Times New Roman"/>
          <w:bCs/>
          <w:sz w:val="24"/>
          <w:szCs w:val="24"/>
        </w:rPr>
        <w:t xml:space="preserve">, ku numri i çështjeve të përfunduara është rritur me 3.4%, nga 58 në vitin 2024 në 60 në vitin 2025. Gjithashtu, është evidentuar një rritje prej 11.5% e personave në hetim dhe 36.6% e personave të dërguar në gjykatë, duke reflektuar një fokus më të madh në struktura kriminale më të gjera. Nga ana </w:t>
      </w:r>
      <w:r w:rsidRPr="00E95557">
        <w:rPr>
          <w:rFonts w:ascii="Garamond" w:eastAsia="Times New Roman" w:hAnsi="Garamond" w:cs="Times New Roman"/>
          <w:bCs/>
          <w:sz w:val="24"/>
          <w:szCs w:val="24"/>
        </w:rPr>
        <w:lastRenderedPageBreak/>
        <w:t xml:space="preserve">tjetër, çështjet e dërguara në gjykatë kanë rënë me 14.3%, ndërsa pezullimet janë rritur ndjeshëm me 93.7%, çka tregon </w:t>
      </w:r>
      <w:proofErr w:type="spellStart"/>
      <w:r w:rsidRPr="00E95557">
        <w:rPr>
          <w:rFonts w:ascii="Garamond" w:eastAsia="Times New Roman" w:hAnsi="Garamond" w:cs="Times New Roman"/>
          <w:bCs/>
          <w:sz w:val="24"/>
          <w:szCs w:val="24"/>
        </w:rPr>
        <w:t>kompleksitetin</w:t>
      </w:r>
      <w:proofErr w:type="spellEnd"/>
      <w:r w:rsidRPr="00E95557">
        <w:rPr>
          <w:rFonts w:ascii="Garamond" w:eastAsia="Times New Roman" w:hAnsi="Garamond" w:cs="Times New Roman"/>
          <w:bCs/>
          <w:sz w:val="24"/>
          <w:szCs w:val="24"/>
        </w:rPr>
        <w:t xml:space="preserve"> në rritje të hetimeve dhe sfidat procedurale që shoqërojnë këto çështje.</w:t>
      </w:r>
    </w:p>
    <w:p w14:paraId="4C7A55F8" w14:textId="6D27BD69"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Lufta kundër korrupsionit: Në këtë fushë është shënuar rritje e aktivitetit me një shtim prej 17.7% të çështjeve të reja dhe 12.2% të çështjeve të përfunduara. Gjatë vitit 2025 janë dërguar në gjykatë 24 procedime me 147 të pandehur për korrupsion jo të nivelit të lartë dhe 10 procedime me 13 të pandehur për korrupsion të nivelit të lartë. Për sa </w:t>
      </w:r>
      <w:r w:rsidR="00AC1DE2" w:rsidRPr="00E95557">
        <w:rPr>
          <w:rFonts w:ascii="Garamond" w:eastAsia="Times New Roman" w:hAnsi="Garamond" w:cs="Times New Roman"/>
          <w:bCs/>
          <w:sz w:val="24"/>
          <w:szCs w:val="24"/>
        </w:rPr>
        <w:t>u</w:t>
      </w:r>
      <w:r w:rsidRPr="00E95557">
        <w:rPr>
          <w:rFonts w:ascii="Garamond" w:eastAsia="Times New Roman" w:hAnsi="Garamond" w:cs="Times New Roman"/>
          <w:bCs/>
          <w:sz w:val="24"/>
          <w:szCs w:val="24"/>
        </w:rPr>
        <w:t xml:space="preserve"> përket zyrtarëve të lartë, janë regjistruar 6 procedime të reja me 16 persona nën hetim, ndërsa nga 30 zyrtarë dhe ish-zyrtarë në hetim, 18 prej tyre ose mbi 50% janë dërguar në gjykatë dhe 10 janë dënuar me vendim të formës së prerë.</w:t>
      </w:r>
    </w:p>
    <w:p w14:paraId="0C40F45F" w14:textId="49423B51"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Besimi publik dhe burimet e kallëzimeve: Të dhënat tregojnë një nivel të konsiderueshëm të besimit publik, ku rreth 33.5% e procedimeve janë nisur mbi bazën e kallëzimeve të qytetarëve. Njëkohësisht, referimet nga Policia e Shtetit janë rritur me rreth 70% dhe nga institucionet publike me rreth 15%, ndërsa kallëzimet nga subjektet politike dhe personat juridikë kanë pësuar rënie përkatësisht me 50% dhe 75%.</w:t>
      </w:r>
    </w:p>
    <w:p w14:paraId="32EB9BDB" w14:textId="38BFD02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Politika penale dhe masat e sigurimit: Është ndjekur një politikë penale më e moderuar, duke reduktuar përdorimin e masës “arrest me burg” me rreth 53.4% dhe duke u orientuar drejt masave alternative. Në vitin 2025</w:t>
      </w:r>
      <w:r w:rsidR="00483345" w:rsidRPr="00E95557">
        <w:rPr>
          <w:rFonts w:ascii="Garamond" w:eastAsia="Times New Roman" w:hAnsi="Garamond" w:cs="Times New Roman"/>
          <w:bCs/>
          <w:sz w:val="24"/>
          <w:szCs w:val="24"/>
        </w:rPr>
        <w:t xml:space="preserve"> të</w:t>
      </w:r>
      <w:r w:rsidRPr="00E95557">
        <w:rPr>
          <w:rFonts w:ascii="Garamond" w:eastAsia="Times New Roman" w:hAnsi="Garamond" w:cs="Times New Roman"/>
          <w:bCs/>
          <w:sz w:val="24"/>
          <w:szCs w:val="24"/>
        </w:rPr>
        <w:t xml:space="preserve"> paraburgosurit përbëjnë rreth 12% të totalit, ndërsa të dënuarit rreth 11%. Për veprat e korrupsionit arresti me burg përbën vetëm 3.45% të personave në hetim kundrejt 5% në vitin 2024, ndërsa për krimin e organizuar kjo masë është ulur nga rreth 31% në 21.4%.</w:t>
      </w:r>
    </w:p>
    <w:p w14:paraId="13C6F501" w14:textId="178C26FE"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Efektiviteti në gjykim: Efektiviteti në gjykim ka mbetur i qëndrueshëm</w:t>
      </w:r>
      <w:r w:rsidR="002F1ABE"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me një rritje prej 5.5% të vendimeve të </w:t>
      </w:r>
      <w:proofErr w:type="spellStart"/>
      <w:r w:rsidRPr="00E95557">
        <w:rPr>
          <w:rFonts w:ascii="Garamond" w:eastAsia="Times New Roman" w:hAnsi="Garamond" w:cs="Times New Roman"/>
          <w:bCs/>
          <w:sz w:val="24"/>
          <w:szCs w:val="24"/>
        </w:rPr>
        <w:t>GJKKO</w:t>
      </w:r>
      <w:proofErr w:type="spellEnd"/>
      <w:r w:rsidRPr="00E95557">
        <w:rPr>
          <w:rFonts w:ascii="Garamond" w:eastAsia="Times New Roman" w:hAnsi="Garamond" w:cs="Times New Roman"/>
          <w:bCs/>
          <w:sz w:val="24"/>
          <w:szCs w:val="24"/>
        </w:rPr>
        <w:t>-së krahasuar me vitin 2024. Vendimet e fajësisë përbëjnë rreth 87% të totalit, ndërsa ato të pafajësisë rreth 13%. Gjithashtu, numri i rekurseve në Gjykatën e Lartë është ulur ndjeshëm me rreth 63%, ndërsa janë dhënë 59 vendime nga Gjykata e Lartë dhe 1 nga Gjykata Kushtetuese.</w:t>
      </w:r>
    </w:p>
    <w:p w14:paraId="52B1F60A" w14:textId="74CAC4F1"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Kapacitetet teknike dhe ekspertiza: Gjatë periudhës 2022–2025, Sektori i Ekspertizës ka shënuar një rritje </w:t>
      </w:r>
      <w:r w:rsidR="002D328A" w:rsidRPr="00E95557">
        <w:rPr>
          <w:rFonts w:ascii="Garamond" w:eastAsia="Times New Roman" w:hAnsi="Garamond" w:cs="Times New Roman"/>
          <w:bCs/>
          <w:sz w:val="24"/>
          <w:szCs w:val="24"/>
        </w:rPr>
        <w:t xml:space="preserve">me </w:t>
      </w:r>
      <w:r w:rsidRPr="00E95557">
        <w:rPr>
          <w:rFonts w:ascii="Garamond" w:eastAsia="Times New Roman" w:hAnsi="Garamond" w:cs="Times New Roman"/>
          <w:bCs/>
          <w:sz w:val="24"/>
          <w:szCs w:val="24"/>
        </w:rPr>
        <w:t>rreth 31% të akteve të ekspertimit, duke reflektuar zgjerimin e kapaciteteve teknike. Telefonat celularë përbëjnë rreth 70–75% të provave të analizuara, ndërsa analizat mbi pajisjet kompjuterike janë rritur me rreth 62%, duke treguar rritjen e rëndësisë së provave digjitale.</w:t>
      </w:r>
    </w:p>
    <w:p w14:paraId="1038ACD6"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Digjitalizimi dhe menaxhimi i çështjeve: Është konsoliduar Sistemi Elektronik i Menaxhimit të Çështjeve, duke përmirësuar ndjeshëm efikasitetin e proceseve hetimore dhe raportimin statistikor. Modulet kryesore janë funksionale, ndërsa për vitin 2026 parashikohet zgjerimi i mëtejshëm i sistemit për ndërveprim të plotë me proceset procedurale.</w:t>
      </w:r>
    </w:p>
    <w:p w14:paraId="694B40FE"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Burimet njerëzore dhe zhvillimi profesional: Në vitin 2025 struktura ka funksionuar me 124 punonjës, përfshirë 20 prokurorë, 12 hetues financiarë dhe 92 punonjës administrativë. Janë ndërmarrë hapa për përforcimin e kapaciteteve përmes rekrutimit të 4 hetuesve financiarë dhe zhvillimit të rreth 58 temave trajnuese për stafin.</w:t>
      </w:r>
    </w:p>
    <w:p w14:paraId="07093368" w14:textId="076F8608"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Raportimi dhe koordinimi institucional: Është zhvilluar një volum i lartë raportimi në nivel kombëtar dhe ndërkombëtar, përfshirë kontributin në proceset e </w:t>
      </w:r>
      <w:proofErr w:type="spellStart"/>
      <w:r w:rsidRPr="00E95557">
        <w:rPr>
          <w:rFonts w:ascii="Garamond" w:eastAsia="Times New Roman" w:hAnsi="Garamond" w:cs="Times New Roman"/>
          <w:bCs/>
          <w:sz w:val="24"/>
          <w:szCs w:val="24"/>
        </w:rPr>
        <w:t>MONEYVAL</w:t>
      </w:r>
      <w:proofErr w:type="spellEnd"/>
      <w:r w:rsidR="008A67D3" w:rsidRPr="00E95557">
        <w:rPr>
          <w:rFonts w:ascii="Garamond" w:eastAsia="Times New Roman" w:hAnsi="Garamond" w:cs="Times New Roman"/>
          <w:bCs/>
          <w:sz w:val="24"/>
          <w:szCs w:val="24"/>
        </w:rPr>
        <w:t>-it</w:t>
      </w:r>
      <w:r w:rsidRPr="00E95557">
        <w:rPr>
          <w:rFonts w:ascii="Garamond" w:eastAsia="Times New Roman" w:hAnsi="Garamond" w:cs="Times New Roman"/>
          <w:bCs/>
          <w:sz w:val="24"/>
          <w:szCs w:val="24"/>
        </w:rPr>
        <w:t xml:space="preserve">, </w:t>
      </w:r>
      <w:proofErr w:type="spellStart"/>
      <w:r w:rsidRPr="00E95557">
        <w:rPr>
          <w:rFonts w:ascii="Garamond" w:eastAsia="Times New Roman" w:hAnsi="Garamond" w:cs="Times New Roman"/>
          <w:bCs/>
          <w:sz w:val="24"/>
          <w:szCs w:val="24"/>
        </w:rPr>
        <w:t>FATF</w:t>
      </w:r>
      <w:proofErr w:type="spellEnd"/>
      <w:r w:rsidR="008A67D3" w:rsidRPr="00E95557">
        <w:rPr>
          <w:rFonts w:ascii="Garamond" w:eastAsia="Times New Roman" w:hAnsi="Garamond" w:cs="Times New Roman"/>
          <w:bCs/>
          <w:sz w:val="24"/>
          <w:szCs w:val="24"/>
        </w:rPr>
        <w:t>-së</w:t>
      </w:r>
      <w:r w:rsidRPr="00E95557">
        <w:rPr>
          <w:rFonts w:ascii="Garamond" w:eastAsia="Times New Roman" w:hAnsi="Garamond" w:cs="Times New Roman"/>
          <w:bCs/>
          <w:sz w:val="24"/>
          <w:szCs w:val="24"/>
        </w:rPr>
        <w:t xml:space="preserve"> dhe raportimet për BE</w:t>
      </w:r>
      <w:r w:rsidR="008A67D3" w:rsidRPr="00E95557">
        <w:rPr>
          <w:rFonts w:ascii="Garamond" w:eastAsia="Times New Roman" w:hAnsi="Garamond" w:cs="Times New Roman"/>
          <w:bCs/>
          <w:sz w:val="24"/>
          <w:szCs w:val="24"/>
        </w:rPr>
        <w:t>-në</w:t>
      </w:r>
      <w:r w:rsidRPr="00E95557">
        <w:rPr>
          <w:rFonts w:ascii="Garamond" w:eastAsia="Times New Roman" w:hAnsi="Garamond" w:cs="Times New Roman"/>
          <w:bCs/>
          <w:sz w:val="24"/>
          <w:szCs w:val="24"/>
        </w:rPr>
        <w:t>. Nga 914 kërkesa të ardhura nga institucionet shtetërore rreth 97% kanë marrë përgjigje.</w:t>
      </w:r>
    </w:p>
    <w:p w14:paraId="0705DC2D" w14:textId="105FC5BF"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Integriteti dhe kontrolli i brendshëm: Gjatë vitit 2025 janë verifikuar 49 kandidatë për personel administrativ dhe 7 kandidatë për drejtues të </w:t>
      </w:r>
      <w:proofErr w:type="spellStart"/>
      <w:r w:rsidRPr="00E95557">
        <w:rPr>
          <w:rFonts w:ascii="Garamond" w:eastAsia="Times New Roman" w:hAnsi="Garamond" w:cs="Times New Roman"/>
          <w:bCs/>
          <w:sz w:val="24"/>
          <w:szCs w:val="24"/>
        </w:rPr>
        <w:t>BKH</w:t>
      </w:r>
      <w:proofErr w:type="spellEnd"/>
      <w:r w:rsidRPr="00E95557">
        <w:rPr>
          <w:rFonts w:ascii="Garamond" w:eastAsia="Times New Roman" w:hAnsi="Garamond" w:cs="Times New Roman"/>
          <w:bCs/>
          <w:sz w:val="24"/>
          <w:szCs w:val="24"/>
        </w:rPr>
        <w:t>-së, ndërsa vijojnë verifikimet për 46 të tjerë. Në</w:t>
      </w:r>
      <w:r w:rsid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total, 151 zyrtarë kanë qenë subjekt i deklarimit të pasurisë dhe konfliktit të interesit, duke reflektuar zbatimin e standardeve ligjore.</w:t>
      </w:r>
    </w:p>
    <w:p w14:paraId="06DC5117"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Transparenca dhe komunikimi publik: Është forcuar transparenca përmes publikimit të 114 njoftimeve për shtyp dhe trajtimit të 170 kërkesave për informacion. Numri i vizitorëve unikë në faqen zyrtare është rritur me 32.3%, nga 82,766 në 109,496, ndërsa shikimet janë rritur me 28.7%, nga 437,882 në 563,453.</w:t>
      </w:r>
    </w:p>
    <w:p w14:paraId="4D1F8F4F" w14:textId="0381F1FF"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Zhvillimet në </w:t>
      </w:r>
      <w:proofErr w:type="spellStart"/>
      <w:r w:rsidRPr="00E95557">
        <w:rPr>
          <w:rFonts w:ascii="Garamond" w:eastAsia="Times New Roman" w:hAnsi="Garamond" w:cs="Times New Roman"/>
          <w:bCs/>
          <w:sz w:val="24"/>
          <w:szCs w:val="24"/>
        </w:rPr>
        <w:t>BKH</w:t>
      </w:r>
      <w:proofErr w:type="spellEnd"/>
      <w:r w:rsidRPr="00E95557">
        <w:rPr>
          <w:rFonts w:ascii="Garamond" w:eastAsia="Times New Roman" w:hAnsi="Garamond" w:cs="Times New Roman"/>
          <w:bCs/>
          <w:sz w:val="24"/>
          <w:szCs w:val="24"/>
        </w:rPr>
        <w:t xml:space="preserve">: Gjatë vitit 2025 janë shënuar përparime në forcimin e kapaciteteve, përfshirë përzgjedhjen e drejtuesit të ri, rritjen e </w:t>
      </w:r>
      <w:proofErr w:type="spellStart"/>
      <w:r w:rsidRPr="00E95557">
        <w:rPr>
          <w:rFonts w:ascii="Garamond" w:eastAsia="Times New Roman" w:hAnsi="Garamond" w:cs="Times New Roman"/>
          <w:bCs/>
          <w:sz w:val="24"/>
          <w:szCs w:val="24"/>
        </w:rPr>
        <w:t>aksesit</w:t>
      </w:r>
      <w:proofErr w:type="spellEnd"/>
      <w:r w:rsidRPr="00E95557">
        <w:rPr>
          <w:rFonts w:ascii="Garamond" w:eastAsia="Times New Roman" w:hAnsi="Garamond" w:cs="Times New Roman"/>
          <w:bCs/>
          <w:sz w:val="24"/>
          <w:szCs w:val="24"/>
        </w:rPr>
        <w:t xml:space="preserve"> në </w:t>
      </w:r>
      <w:proofErr w:type="spellStart"/>
      <w:r w:rsidRPr="00E95557">
        <w:rPr>
          <w:rFonts w:ascii="Garamond" w:eastAsia="Times New Roman" w:hAnsi="Garamond" w:cs="Times New Roman"/>
          <w:bCs/>
          <w:sz w:val="24"/>
          <w:szCs w:val="24"/>
        </w:rPr>
        <w:t>databaza</w:t>
      </w:r>
      <w:proofErr w:type="spellEnd"/>
      <w:r w:rsidRPr="00E95557">
        <w:rPr>
          <w:rFonts w:ascii="Garamond" w:eastAsia="Times New Roman" w:hAnsi="Garamond" w:cs="Times New Roman"/>
          <w:bCs/>
          <w:sz w:val="24"/>
          <w:szCs w:val="24"/>
        </w:rPr>
        <w:t xml:space="preserve"> me 22 kombëtare dhe 3 të huaja, si dhe pjesëmarrjen në platformën </w:t>
      </w:r>
      <w:proofErr w:type="spellStart"/>
      <w:r w:rsidRPr="00E95557">
        <w:rPr>
          <w:rFonts w:ascii="Garamond" w:eastAsia="Times New Roman" w:hAnsi="Garamond" w:cs="Times New Roman"/>
          <w:bCs/>
          <w:sz w:val="24"/>
          <w:szCs w:val="24"/>
        </w:rPr>
        <w:t>EMPACT</w:t>
      </w:r>
      <w:proofErr w:type="spellEnd"/>
      <w:r w:rsidRPr="00E95557">
        <w:rPr>
          <w:rFonts w:ascii="Garamond" w:eastAsia="Times New Roman" w:hAnsi="Garamond" w:cs="Times New Roman"/>
          <w:bCs/>
          <w:sz w:val="24"/>
          <w:szCs w:val="24"/>
        </w:rPr>
        <w:t>. Gjithashtu, janë ndërmarrë procedura për rekrutimin e 10 oficerëve të policisë gjyqësore dhe forcimin e strukturave të reja operative.</w:t>
      </w:r>
    </w:p>
    <w:p w14:paraId="2A03A641" w14:textId="77777777" w:rsidR="00F57902" w:rsidRPr="00E95557" w:rsidRDefault="00F57902" w:rsidP="008A2D34">
      <w:pPr>
        <w:spacing w:after="0" w:line="240" w:lineRule="auto"/>
        <w:ind w:firstLine="284"/>
        <w:jc w:val="both"/>
        <w:rPr>
          <w:rFonts w:ascii="Garamond" w:eastAsia="Times New Roman" w:hAnsi="Garamond" w:cs="Times New Roman"/>
          <w:b/>
          <w:sz w:val="24"/>
          <w:szCs w:val="24"/>
        </w:rPr>
      </w:pPr>
      <w:r w:rsidRPr="00E95557">
        <w:rPr>
          <w:rFonts w:ascii="Garamond" w:eastAsia="Times New Roman" w:hAnsi="Garamond" w:cs="Times New Roman"/>
          <w:b/>
          <w:sz w:val="24"/>
          <w:szCs w:val="24"/>
        </w:rPr>
        <w:t>Kuvendi rekomandon që Struktura e Posaçme kundër Korrupsionit dhe Krimit të Organizuar për vitin 2026 të angazhohet veçanërisht edhe në këto drejtime:</w:t>
      </w:r>
    </w:p>
    <w:p w14:paraId="50C75740" w14:textId="5716B7F0"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lastRenderedPageBreak/>
        <w:t>1. Rritjen e efektivitetit në finalizimin e çështjeve të hetuara përmes orientimit të burimeve njerëzore dhe procedurale drejt reduktimit të stokut të çështjeve të mbartura, me fokus të veçantë te procedimet e regjistruara në vitet e mëparshme dhe te çështjet me kohëzgjatje të lartë hetimi.</w:t>
      </w:r>
    </w:p>
    <w:p w14:paraId="0A6B0799"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2. Forcimin e kapaciteteve për hetime financiare dhe pasurore paralele, në mënyrë që hetimi i korrupsionit dhe krimit të organizuar të shoqërohet në mënyrë sistematike me identifikimin, gjurmimin, sekuestrimin dhe konfiskimin përfundimtar të produkteve të veprës penale.</w:t>
      </w:r>
    </w:p>
    <w:p w14:paraId="470F27C9" w14:textId="1D9B5A91"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3. Reduktimin e hendekut ndërmjet sekuestrimeve dhe konfiskimeve përmes ndjekjes më të plotë gjyqësore të masave pasurore, rritjes së cilësisë së provueshmërisë financiare dhe forcimit të bashkëpunimit me institucionet përgjegjëse për administrimin, gjurmimin dhe rikuperimin e pasurive kriminale.</w:t>
      </w:r>
    </w:p>
    <w:p w14:paraId="2B76347F" w14:textId="6355BE7C"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4. Rritjen e fokusit </w:t>
      </w:r>
      <w:r w:rsidR="00316C9C" w:rsidRPr="00E95557">
        <w:rPr>
          <w:rFonts w:ascii="Garamond" w:eastAsia="Times New Roman" w:hAnsi="Garamond" w:cs="Times New Roman"/>
          <w:bCs/>
          <w:sz w:val="24"/>
          <w:szCs w:val="24"/>
        </w:rPr>
        <w:t>në</w:t>
      </w:r>
      <w:r w:rsidRPr="00E95557">
        <w:rPr>
          <w:rFonts w:ascii="Garamond" w:eastAsia="Times New Roman" w:hAnsi="Garamond" w:cs="Times New Roman"/>
          <w:bCs/>
          <w:sz w:val="24"/>
          <w:szCs w:val="24"/>
        </w:rPr>
        <w:t xml:space="preserve"> konfiskimin e pasurive në çështjet e korrupsionit, veçanërisht në nivelet e larta të administratës publike, me qëllim që ndjekja penale të mos kufizohet vetëm në përgjegjësinë individuale, por të prodhojë edhe goditje reale të përfitimit ekonomik të paligjshëm.</w:t>
      </w:r>
    </w:p>
    <w:p w14:paraId="70C8A3E1" w14:textId="3A5DD66E"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5. Përmirësimin e raportit ndërmjet volumit të hetimeve dhe rezultateve përfundimtare në gjykim përmes rritjes së cilësisë së dosjeve të dërguara për gjykim dhe forcimit të standardeve të provueshmërisë</w:t>
      </w:r>
      <w:r w:rsidR="003955B9"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me qëllim shmangien e kthimit të akteve për plotësim hetimesh apo refuzimit të marrëveshjeve procedurale.</w:t>
      </w:r>
    </w:p>
    <w:p w14:paraId="5C43F456" w14:textId="03ABAD35"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6.</w:t>
      </w:r>
      <w:r w:rsidR="00C52F4A"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Vijimin e konsolidimit të rezultateve në hetimin dhe ndjekjen penale të çështjeve të korrupsionit dhe krimit të organizuar, me synim rritjen e numrit të procedimeve që përfundojnë me vendime gjyqësore të formës së prerë, me fokus të posaçëm te korrupsioni i nivelit të lartë, pastrimi i parave, trafikimi i narkotikëve dhe veprat penale të kryera në kuadër të grupeve të strukturuara kriminale. Në këtë kuadër, të intensifikojë goditjen e të gjitha hallkave të veprimtarisë kriminale, përfshirë organizatorët, drejtuesit, financuesit, bashkëpunëtorët dhe përfituesit e saj, si dhe të forcojë hetimet financiare dhe pasurore, me synim konfiskimin e produkteve dhe përfitimeve të veprës penale dhe dobësimin e kapaciteteve financiare, logjistike dhe operative të organizatave kriminale.</w:t>
      </w:r>
    </w:p>
    <w:p w14:paraId="36015BFD"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7. Përmirësimin e cilësisë dhe koherencës së të dhënave statistikore institucionale, në mënyrë që raportimi për masat e sigurimit, personat nën hetim, çështjet e përfunduara, sekuestrimet, konfiskimet dhe vendimet përfundimtare të jetë i unifikuar, i plotë dhe i krahasueshëm ndër vite.</w:t>
      </w:r>
    </w:p>
    <w:p w14:paraId="6D32BD18" w14:textId="6058CB3E"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8. Rishikimin e praktikës së përdorimit të masave të sigurimit personal, me qëllim garantimin e respektimit të parimit të </w:t>
      </w:r>
      <w:proofErr w:type="spellStart"/>
      <w:r w:rsidRPr="00E95557">
        <w:rPr>
          <w:rFonts w:ascii="Garamond" w:eastAsia="Times New Roman" w:hAnsi="Garamond" w:cs="Times New Roman"/>
          <w:bCs/>
          <w:sz w:val="24"/>
          <w:szCs w:val="24"/>
        </w:rPr>
        <w:t>proporcionalitetit</w:t>
      </w:r>
      <w:proofErr w:type="spellEnd"/>
      <w:r w:rsidRPr="00E95557">
        <w:rPr>
          <w:rFonts w:ascii="Garamond" w:eastAsia="Times New Roman" w:hAnsi="Garamond" w:cs="Times New Roman"/>
          <w:bCs/>
          <w:sz w:val="24"/>
          <w:szCs w:val="24"/>
        </w:rPr>
        <w:t xml:space="preserve">, shmangien e zgjatjes së panevojshme të paraburgimit dhe rritjen e përdorimit të masave alternative, në përputhje me standardet </w:t>
      </w:r>
      <w:r w:rsidR="00E95557" w:rsidRPr="00E95557">
        <w:rPr>
          <w:rFonts w:ascii="Garamond" w:eastAsia="Times New Roman" w:hAnsi="Garamond" w:cs="Times New Roman"/>
          <w:bCs/>
          <w:sz w:val="24"/>
          <w:szCs w:val="24"/>
        </w:rPr>
        <w:t>evropiane</w:t>
      </w:r>
      <w:r w:rsidRPr="00E95557">
        <w:rPr>
          <w:rFonts w:ascii="Garamond" w:eastAsia="Times New Roman" w:hAnsi="Garamond" w:cs="Times New Roman"/>
          <w:bCs/>
          <w:sz w:val="24"/>
          <w:szCs w:val="24"/>
        </w:rPr>
        <w:t xml:space="preserve"> të </w:t>
      </w:r>
      <w:proofErr w:type="spellStart"/>
      <w:r w:rsidRPr="00E95557">
        <w:rPr>
          <w:rFonts w:ascii="Garamond" w:eastAsia="Times New Roman" w:hAnsi="Garamond" w:cs="Times New Roman"/>
          <w:bCs/>
          <w:sz w:val="24"/>
          <w:szCs w:val="24"/>
        </w:rPr>
        <w:t>të</w:t>
      </w:r>
      <w:proofErr w:type="spellEnd"/>
      <w:r w:rsidRPr="00E95557">
        <w:rPr>
          <w:rFonts w:ascii="Garamond" w:eastAsia="Times New Roman" w:hAnsi="Garamond" w:cs="Times New Roman"/>
          <w:bCs/>
          <w:sz w:val="24"/>
          <w:szCs w:val="24"/>
        </w:rPr>
        <w:t xml:space="preserve"> drejtave të njeriut.</w:t>
      </w:r>
    </w:p>
    <w:p w14:paraId="4E8D26CC" w14:textId="7479A254"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9. Analizimin çdo 4 muaj të kohëzgjatjes së paraburgimit dhe raportit të tij me dënimet përfundimtare, me qëllim evidentimin e rasteve kur koha e qëndrimit në paraburgim afrohet ose mbulon në mënyrë substanciale dënimin përfundimtar, si dhe marrjen e masave për shmangien e kësaj praktike.</w:t>
      </w:r>
    </w:p>
    <w:p w14:paraId="18163B4D"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10. Forcimin e monitorimit të praktikës ndëshkimore në gjykim, përfshirë analizimin çdo 6 muaj të masës së dënimeve të dhëna, përdorimit të dënimeve alternative, rasteve të pafajësisë dhe raportit ndërmjet kërkesave të prokurorisë dhe vendimmarrjes përfundimtare të gjykatave.</w:t>
      </w:r>
    </w:p>
    <w:p w14:paraId="27EDAEA0" w14:textId="19024AA0"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11. Zhvillimin e analizave periodike </w:t>
      </w:r>
      <w:r w:rsidR="00C62206"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efektivitetin e ndjekjes penale në çështjet ku përfshihen zyrtarë dhe ish-zyrtarë të lartë, përfshirë jo vetëm numrin e procedimeve dhe personave të dërguar në gjykatë, por edhe shkallën e konfiskimit të pasurive, masën e dënimeve dhe kohëzgjatjen e procedimeve.</w:t>
      </w:r>
    </w:p>
    <w:p w14:paraId="6450E5B2" w14:textId="3EA2B2D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12. Rritjen e referimeve </w:t>
      </w:r>
      <w:proofErr w:type="spellStart"/>
      <w:r w:rsidRPr="00E95557">
        <w:rPr>
          <w:rFonts w:ascii="Garamond" w:eastAsia="Times New Roman" w:hAnsi="Garamond" w:cs="Times New Roman"/>
          <w:bCs/>
          <w:sz w:val="24"/>
          <w:szCs w:val="24"/>
        </w:rPr>
        <w:t>proaktive</w:t>
      </w:r>
      <w:proofErr w:type="spellEnd"/>
      <w:r w:rsidRPr="00E95557">
        <w:rPr>
          <w:rFonts w:ascii="Garamond" w:eastAsia="Times New Roman" w:hAnsi="Garamond" w:cs="Times New Roman"/>
          <w:bCs/>
          <w:sz w:val="24"/>
          <w:szCs w:val="24"/>
        </w:rPr>
        <w:t xml:space="preserve"> nga institucionet publike dhe agjencitë </w:t>
      </w:r>
      <w:proofErr w:type="spellStart"/>
      <w:r w:rsidRPr="00E95557">
        <w:rPr>
          <w:rFonts w:ascii="Garamond" w:eastAsia="Times New Roman" w:hAnsi="Garamond" w:cs="Times New Roman"/>
          <w:bCs/>
          <w:sz w:val="24"/>
          <w:szCs w:val="24"/>
        </w:rPr>
        <w:t>ligjzbatuese</w:t>
      </w:r>
      <w:proofErr w:type="spellEnd"/>
      <w:r w:rsidRPr="00E95557">
        <w:rPr>
          <w:rFonts w:ascii="Garamond" w:eastAsia="Times New Roman" w:hAnsi="Garamond" w:cs="Times New Roman"/>
          <w:bCs/>
          <w:sz w:val="24"/>
          <w:szCs w:val="24"/>
        </w:rPr>
        <w:t xml:space="preserve"> përmes mekanizmave më efektivë të bashkëpunimit ndërinstitucional, shkëmbimit në kohë të informacionit dhe rritjes së përgjegjshmërisë së strukturave publike për referimin e rasteve të dyshuara të korrupsionit dhe kriminalitetit të organizuar.</w:t>
      </w:r>
    </w:p>
    <w:p w14:paraId="0E88D900" w14:textId="0C55FE46"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13. Forcimin e kapaciteteve të brendshme analitike dhe hetimore përmes plotësimit të </w:t>
      </w:r>
      <w:proofErr w:type="spellStart"/>
      <w:r w:rsidRPr="00E95557">
        <w:rPr>
          <w:rFonts w:ascii="Garamond" w:eastAsia="Times New Roman" w:hAnsi="Garamond" w:cs="Times New Roman"/>
          <w:bCs/>
          <w:sz w:val="24"/>
          <w:szCs w:val="24"/>
        </w:rPr>
        <w:t>vakancave</w:t>
      </w:r>
      <w:proofErr w:type="spellEnd"/>
      <w:r w:rsidRPr="00E95557">
        <w:rPr>
          <w:rFonts w:ascii="Garamond" w:eastAsia="Times New Roman" w:hAnsi="Garamond" w:cs="Times New Roman"/>
          <w:bCs/>
          <w:sz w:val="24"/>
          <w:szCs w:val="24"/>
        </w:rPr>
        <w:t xml:space="preserve">, përshpejtimit të rekrutimit të hetuesve financiarë, hetuesve të </w:t>
      </w:r>
      <w:proofErr w:type="spellStart"/>
      <w:r w:rsidRPr="00E95557">
        <w:rPr>
          <w:rFonts w:ascii="Garamond" w:eastAsia="Times New Roman" w:hAnsi="Garamond" w:cs="Times New Roman"/>
          <w:bCs/>
          <w:sz w:val="24"/>
          <w:szCs w:val="24"/>
        </w:rPr>
        <w:t>BKH</w:t>
      </w:r>
      <w:proofErr w:type="spellEnd"/>
      <w:r w:rsidRPr="00E95557">
        <w:rPr>
          <w:rFonts w:ascii="Garamond" w:eastAsia="Times New Roman" w:hAnsi="Garamond" w:cs="Times New Roman"/>
          <w:bCs/>
          <w:sz w:val="24"/>
          <w:szCs w:val="24"/>
        </w:rPr>
        <w:t xml:space="preserve">-së dhe oficerëve të </w:t>
      </w:r>
      <w:r w:rsidR="00B05EF2" w:rsidRPr="00E95557">
        <w:rPr>
          <w:rFonts w:ascii="Garamond" w:eastAsia="Times New Roman" w:hAnsi="Garamond" w:cs="Times New Roman"/>
          <w:bCs/>
          <w:sz w:val="24"/>
          <w:szCs w:val="24"/>
        </w:rPr>
        <w:t>P</w:t>
      </w:r>
      <w:r w:rsidRPr="00E95557">
        <w:rPr>
          <w:rFonts w:ascii="Garamond" w:eastAsia="Times New Roman" w:hAnsi="Garamond" w:cs="Times New Roman"/>
          <w:bCs/>
          <w:sz w:val="24"/>
          <w:szCs w:val="24"/>
        </w:rPr>
        <w:t xml:space="preserve">olicisë </w:t>
      </w:r>
      <w:r w:rsidR="00B05EF2" w:rsidRPr="00E95557">
        <w:rPr>
          <w:rFonts w:ascii="Garamond" w:eastAsia="Times New Roman" w:hAnsi="Garamond" w:cs="Times New Roman"/>
          <w:bCs/>
          <w:sz w:val="24"/>
          <w:szCs w:val="24"/>
        </w:rPr>
        <w:t>G</w:t>
      </w:r>
      <w:r w:rsidRPr="00E95557">
        <w:rPr>
          <w:rFonts w:ascii="Garamond" w:eastAsia="Times New Roman" w:hAnsi="Garamond" w:cs="Times New Roman"/>
          <w:bCs/>
          <w:sz w:val="24"/>
          <w:szCs w:val="24"/>
        </w:rPr>
        <w:t>jyqësore, si dhe shpërndarjes më të balancuar të ngarkesës së punës ndërmjet strukturave përkatëse.</w:t>
      </w:r>
    </w:p>
    <w:p w14:paraId="32F987BA" w14:textId="22D52E84"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14. Vijimin e zbatimit të Strategjisë për Reduktimin e Çështjeve të Mbartura 2025–2027, duke e shoqëruar atë me tregues të matshëm të </w:t>
      </w:r>
      <w:proofErr w:type="spellStart"/>
      <w:r w:rsidRPr="00E95557">
        <w:rPr>
          <w:rFonts w:ascii="Garamond" w:eastAsia="Times New Roman" w:hAnsi="Garamond" w:cs="Times New Roman"/>
          <w:bCs/>
          <w:sz w:val="24"/>
          <w:szCs w:val="24"/>
        </w:rPr>
        <w:t>performancës</w:t>
      </w:r>
      <w:proofErr w:type="spellEnd"/>
      <w:r w:rsidRPr="00E95557">
        <w:rPr>
          <w:rFonts w:ascii="Garamond" w:eastAsia="Times New Roman" w:hAnsi="Garamond" w:cs="Times New Roman"/>
          <w:bCs/>
          <w:sz w:val="24"/>
          <w:szCs w:val="24"/>
        </w:rPr>
        <w:t xml:space="preserve">, raportim periodik </w:t>
      </w:r>
      <w:r w:rsidR="004A51B6"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ecurinë e saj dhe monitorim të rregullt të rezultateve konkrete në uljen e </w:t>
      </w:r>
      <w:proofErr w:type="spellStart"/>
      <w:r w:rsidRPr="00E95557">
        <w:rPr>
          <w:rFonts w:ascii="Garamond" w:eastAsia="Times New Roman" w:hAnsi="Garamond" w:cs="Times New Roman"/>
          <w:bCs/>
          <w:i/>
          <w:iCs/>
          <w:sz w:val="24"/>
          <w:szCs w:val="24"/>
        </w:rPr>
        <w:t>backlog</w:t>
      </w:r>
      <w:proofErr w:type="spellEnd"/>
      <w:r w:rsidRPr="00E95557">
        <w:rPr>
          <w:rFonts w:ascii="Garamond" w:eastAsia="Times New Roman" w:hAnsi="Garamond" w:cs="Times New Roman"/>
          <w:bCs/>
          <w:sz w:val="24"/>
          <w:szCs w:val="24"/>
        </w:rPr>
        <w:t>-ut.</w:t>
      </w:r>
    </w:p>
    <w:p w14:paraId="29D8C349" w14:textId="0B6DA9D0"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15. Thellimin e përdorimit sistematik të hetimeve financiare në trajtimin e krimit të rëndë dhe të organizuar, përfshirë trafikimin e narkotikëve, terrorizmin, pastrimin e parave dhe korrupsionin, në përputhje me rekomandimet e Komisionit E</w:t>
      </w:r>
      <w:r w:rsidR="0072175E" w:rsidRPr="00E95557">
        <w:rPr>
          <w:rFonts w:ascii="Garamond" w:eastAsia="Times New Roman" w:hAnsi="Garamond" w:cs="Times New Roman"/>
          <w:bCs/>
          <w:sz w:val="24"/>
          <w:szCs w:val="24"/>
        </w:rPr>
        <w:t>v</w:t>
      </w:r>
      <w:r w:rsidRPr="00E95557">
        <w:rPr>
          <w:rFonts w:ascii="Garamond" w:eastAsia="Times New Roman" w:hAnsi="Garamond" w:cs="Times New Roman"/>
          <w:bCs/>
          <w:sz w:val="24"/>
          <w:szCs w:val="24"/>
        </w:rPr>
        <w:t xml:space="preserve">ropian, </w:t>
      </w:r>
      <w:proofErr w:type="spellStart"/>
      <w:r w:rsidRPr="00E95557">
        <w:rPr>
          <w:rFonts w:ascii="Garamond" w:eastAsia="Times New Roman" w:hAnsi="Garamond" w:cs="Times New Roman"/>
          <w:bCs/>
          <w:sz w:val="24"/>
          <w:szCs w:val="24"/>
        </w:rPr>
        <w:t>MONEYVAL</w:t>
      </w:r>
      <w:proofErr w:type="spellEnd"/>
      <w:r w:rsidRPr="00E95557">
        <w:rPr>
          <w:rFonts w:ascii="Garamond" w:eastAsia="Times New Roman" w:hAnsi="Garamond" w:cs="Times New Roman"/>
          <w:bCs/>
          <w:sz w:val="24"/>
          <w:szCs w:val="24"/>
        </w:rPr>
        <w:t>-it dhe partnerëve ndërkombëtarë.</w:t>
      </w:r>
    </w:p>
    <w:p w14:paraId="7BC8A3C1" w14:textId="189CC703"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lastRenderedPageBreak/>
        <w:t>16.</w:t>
      </w:r>
      <w:r w:rsidR="005912E3"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 xml:space="preserve">Rritjen e efikasitetit të bashkëpunimit ndërkombëtar përmes forcimit të mëtejshëm të hetimeve të përbashkëta, kërkesave për ndihmë juridike, gjurmimit ndërkufitar të pasurive dhe bashkëpunimit </w:t>
      </w:r>
      <w:proofErr w:type="spellStart"/>
      <w:r w:rsidRPr="00E95557">
        <w:rPr>
          <w:rFonts w:ascii="Garamond" w:eastAsia="Times New Roman" w:hAnsi="Garamond" w:cs="Times New Roman"/>
          <w:bCs/>
          <w:sz w:val="24"/>
          <w:szCs w:val="24"/>
        </w:rPr>
        <w:t>operacional</w:t>
      </w:r>
      <w:proofErr w:type="spellEnd"/>
      <w:r w:rsidRPr="00E95557">
        <w:rPr>
          <w:rFonts w:ascii="Garamond" w:eastAsia="Times New Roman" w:hAnsi="Garamond" w:cs="Times New Roman"/>
          <w:bCs/>
          <w:sz w:val="24"/>
          <w:szCs w:val="24"/>
        </w:rPr>
        <w:t xml:space="preserve"> me </w:t>
      </w:r>
      <w:proofErr w:type="spellStart"/>
      <w:r w:rsidRPr="00E95557">
        <w:rPr>
          <w:rFonts w:ascii="Garamond" w:eastAsia="Times New Roman" w:hAnsi="Garamond" w:cs="Times New Roman"/>
          <w:bCs/>
          <w:sz w:val="24"/>
          <w:szCs w:val="24"/>
        </w:rPr>
        <w:t>Eurojust</w:t>
      </w:r>
      <w:proofErr w:type="spellEnd"/>
      <w:r w:rsidR="005912E3" w:rsidRPr="00E95557">
        <w:rPr>
          <w:rFonts w:ascii="Garamond" w:eastAsia="Times New Roman" w:hAnsi="Garamond" w:cs="Times New Roman"/>
          <w:bCs/>
          <w:sz w:val="24"/>
          <w:szCs w:val="24"/>
        </w:rPr>
        <w:t>-in</w:t>
      </w:r>
      <w:r w:rsidRPr="00E95557">
        <w:rPr>
          <w:rFonts w:ascii="Garamond" w:eastAsia="Times New Roman" w:hAnsi="Garamond" w:cs="Times New Roman"/>
          <w:bCs/>
          <w:sz w:val="24"/>
          <w:szCs w:val="24"/>
        </w:rPr>
        <w:t xml:space="preserve">, </w:t>
      </w:r>
      <w:proofErr w:type="spellStart"/>
      <w:r w:rsidRPr="00E95557">
        <w:rPr>
          <w:rFonts w:ascii="Garamond" w:eastAsia="Times New Roman" w:hAnsi="Garamond" w:cs="Times New Roman"/>
          <w:bCs/>
          <w:sz w:val="24"/>
          <w:szCs w:val="24"/>
        </w:rPr>
        <w:t>Europol</w:t>
      </w:r>
      <w:proofErr w:type="spellEnd"/>
      <w:r w:rsidR="005912E3" w:rsidRPr="00E95557">
        <w:rPr>
          <w:rFonts w:ascii="Garamond" w:eastAsia="Times New Roman" w:hAnsi="Garamond" w:cs="Times New Roman"/>
          <w:bCs/>
          <w:sz w:val="24"/>
          <w:szCs w:val="24"/>
        </w:rPr>
        <w:t>-i</w:t>
      </w:r>
      <w:r w:rsidR="00815698" w:rsidRPr="00E95557">
        <w:rPr>
          <w:rFonts w:ascii="Garamond" w:eastAsia="Times New Roman" w:hAnsi="Garamond" w:cs="Times New Roman"/>
          <w:bCs/>
          <w:sz w:val="24"/>
          <w:szCs w:val="24"/>
        </w:rPr>
        <w:t>n</w:t>
      </w:r>
      <w:r w:rsidRPr="00E95557">
        <w:rPr>
          <w:rFonts w:ascii="Garamond" w:eastAsia="Times New Roman" w:hAnsi="Garamond" w:cs="Times New Roman"/>
          <w:bCs/>
          <w:sz w:val="24"/>
          <w:szCs w:val="24"/>
        </w:rPr>
        <w:t xml:space="preserve">, </w:t>
      </w:r>
      <w:proofErr w:type="spellStart"/>
      <w:r w:rsidRPr="00E95557">
        <w:rPr>
          <w:rFonts w:ascii="Garamond" w:eastAsia="Times New Roman" w:hAnsi="Garamond" w:cs="Times New Roman"/>
          <w:bCs/>
          <w:sz w:val="24"/>
          <w:szCs w:val="24"/>
        </w:rPr>
        <w:t>OLAF</w:t>
      </w:r>
      <w:proofErr w:type="spellEnd"/>
      <w:r w:rsidR="00815698" w:rsidRPr="00E95557">
        <w:rPr>
          <w:rFonts w:ascii="Garamond" w:eastAsia="Times New Roman" w:hAnsi="Garamond" w:cs="Times New Roman"/>
          <w:bCs/>
          <w:sz w:val="24"/>
          <w:szCs w:val="24"/>
        </w:rPr>
        <w:t>-in</w:t>
      </w:r>
      <w:r w:rsidRPr="00E95557">
        <w:rPr>
          <w:rFonts w:ascii="Garamond" w:eastAsia="Times New Roman" w:hAnsi="Garamond" w:cs="Times New Roman"/>
          <w:bCs/>
          <w:sz w:val="24"/>
          <w:szCs w:val="24"/>
        </w:rPr>
        <w:t xml:space="preserve"> dhe autoritetet homologe të vendeve partnere.</w:t>
      </w:r>
      <w:bookmarkStart w:id="0" w:name="_GoBack"/>
      <w:bookmarkEnd w:id="0"/>
    </w:p>
    <w:p w14:paraId="5B3F13F4" w14:textId="02E0A979"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17. Përmirësimin e transparencës institucionale dhe llogaridhënies publike përmes publikimit të plotë të kategorive të informacionit të parashikuara në Programin e Transparencës, përfshirë raportet e monitorimit dhe </w:t>
      </w:r>
      <w:proofErr w:type="spellStart"/>
      <w:r w:rsidRPr="00E95557">
        <w:rPr>
          <w:rFonts w:ascii="Garamond" w:eastAsia="Times New Roman" w:hAnsi="Garamond" w:cs="Times New Roman"/>
          <w:bCs/>
          <w:sz w:val="24"/>
          <w:szCs w:val="24"/>
        </w:rPr>
        <w:t>auditimit</w:t>
      </w:r>
      <w:proofErr w:type="spellEnd"/>
      <w:r w:rsidRPr="00E95557">
        <w:rPr>
          <w:rFonts w:ascii="Garamond" w:eastAsia="Times New Roman" w:hAnsi="Garamond" w:cs="Times New Roman"/>
          <w:bCs/>
          <w:sz w:val="24"/>
          <w:szCs w:val="24"/>
        </w:rPr>
        <w:t xml:space="preserve">, strukturën e pagave dhe të dhënat </w:t>
      </w:r>
      <w:r w:rsidR="006A6C09"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prokurimet publike.</w:t>
      </w:r>
    </w:p>
    <w:p w14:paraId="1DED66C3" w14:textId="77777777"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18. Vijimin e konsolidimit të Sistemit Elektronik të Menaxhimit të Çështjeve, në mënyrë që ai të përdoret plotësisht jo vetëm për administrimin procedural të dosjeve, por edhe për raportim </w:t>
      </w:r>
      <w:proofErr w:type="spellStart"/>
      <w:r w:rsidRPr="00E95557">
        <w:rPr>
          <w:rFonts w:ascii="Garamond" w:eastAsia="Times New Roman" w:hAnsi="Garamond" w:cs="Times New Roman"/>
          <w:bCs/>
          <w:sz w:val="24"/>
          <w:szCs w:val="24"/>
        </w:rPr>
        <w:t>statistik</w:t>
      </w:r>
      <w:proofErr w:type="spellEnd"/>
      <w:r w:rsidRPr="00E95557">
        <w:rPr>
          <w:rFonts w:ascii="Garamond" w:eastAsia="Times New Roman" w:hAnsi="Garamond" w:cs="Times New Roman"/>
          <w:bCs/>
          <w:sz w:val="24"/>
          <w:szCs w:val="24"/>
        </w:rPr>
        <w:t xml:space="preserve"> në kohë reale, analizë të </w:t>
      </w:r>
      <w:proofErr w:type="spellStart"/>
      <w:r w:rsidRPr="00E95557">
        <w:rPr>
          <w:rFonts w:ascii="Garamond" w:eastAsia="Times New Roman" w:hAnsi="Garamond" w:cs="Times New Roman"/>
          <w:bCs/>
          <w:sz w:val="24"/>
          <w:szCs w:val="24"/>
        </w:rPr>
        <w:t>performancës</w:t>
      </w:r>
      <w:proofErr w:type="spellEnd"/>
      <w:r w:rsidRPr="00E95557">
        <w:rPr>
          <w:rFonts w:ascii="Garamond" w:eastAsia="Times New Roman" w:hAnsi="Garamond" w:cs="Times New Roman"/>
          <w:bCs/>
          <w:sz w:val="24"/>
          <w:szCs w:val="24"/>
        </w:rPr>
        <w:t xml:space="preserve"> dhe identifikim më të shpejtë të problematikave strukturore.</w:t>
      </w:r>
    </w:p>
    <w:p w14:paraId="378C08A1" w14:textId="7F10AED6"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19. Forcimin e masave për mbrojtjen e pavarësisë funksionale të institucionit dhe të personelit të tij përmes rritjes së garancive të sigurisë, reagimit institucional ndaj çdo forme presioni të jashtëm dhe koordinimit të ngushtë me institucionet përgjegjëse për sigurinë e prokurorëve, hetuesve dhe stafit mbështetës.</w:t>
      </w:r>
    </w:p>
    <w:p w14:paraId="1233CE66" w14:textId="3AEB5212"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20. Paraqitjen pranë Kuvendit brenda muajit dhjetor </w:t>
      </w:r>
      <w:r w:rsidR="004F593B" w:rsidRPr="00E95557">
        <w:rPr>
          <w:rFonts w:ascii="Garamond" w:eastAsia="Times New Roman" w:hAnsi="Garamond" w:cs="Times New Roman"/>
          <w:bCs/>
          <w:sz w:val="24"/>
          <w:szCs w:val="24"/>
        </w:rPr>
        <w:t xml:space="preserve">të vitit </w:t>
      </w:r>
      <w:r w:rsidRPr="00E95557">
        <w:rPr>
          <w:rFonts w:ascii="Garamond" w:eastAsia="Times New Roman" w:hAnsi="Garamond" w:cs="Times New Roman"/>
          <w:bCs/>
          <w:sz w:val="24"/>
          <w:szCs w:val="24"/>
        </w:rPr>
        <w:t xml:space="preserve">2026 </w:t>
      </w:r>
      <w:r w:rsidR="006B0342" w:rsidRPr="00E95557">
        <w:rPr>
          <w:rFonts w:ascii="Garamond" w:eastAsia="Times New Roman" w:hAnsi="Garamond" w:cs="Times New Roman"/>
          <w:bCs/>
          <w:sz w:val="24"/>
          <w:szCs w:val="24"/>
        </w:rPr>
        <w:t xml:space="preserve">të </w:t>
      </w:r>
      <w:r w:rsidRPr="00E95557">
        <w:rPr>
          <w:rFonts w:ascii="Garamond" w:eastAsia="Times New Roman" w:hAnsi="Garamond" w:cs="Times New Roman"/>
          <w:bCs/>
          <w:sz w:val="24"/>
          <w:szCs w:val="24"/>
        </w:rPr>
        <w:t>një analiz</w:t>
      </w:r>
      <w:r w:rsidR="006B0342" w:rsidRPr="00E95557">
        <w:rPr>
          <w:rFonts w:ascii="Garamond" w:eastAsia="Times New Roman" w:hAnsi="Garamond" w:cs="Times New Roman"/>
          <w:bCs/>
          <w:sz w:val="24"/>
          <w:szCs w:val="24"/>
        </w:rPr>
        <w:t>e</w:t>
      </w:r>
      <w:r w:rsidRPr="00E95557">
        <w:rPr>
          <w:rFonts w:ascii="Garamond" w:eastAsia="Times New Roman" w:hAnsi="Garamond" w:cs="Times New Roman"/>
          <w:bCs/>
          <w:sz w:val="24"/>
          <w:szCs w:val="24"/>
        </w:rPr>
        <w:t xml:space="preserve"> të detajuar për periudhën 2022</w:t>
      </w:r>
      <w:r w:rsid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2025 </w:t>
      </w:r>
      <w:r w:rsidR="006B0342" w:rsidRPr="00E95557">
        <w:rPr>
          <w:rFonts w:ascii="Garamond" w:eastAsia="Times New Roman" w:hAnsi="Garamond" w:cs="Times New Roman"/>
          <w:bCs/>
          <w:sz w:val="24"/>
          <w:szCs w:val="24"/>
        </w:rPr>
        <w:t xml:space="preserve">për </w:t>
      </w:r>
      <w:r w:rsidRPr="00E95557">
        <w:rPr>
          <w:rFonts w:ascii="Garamond" w:eastAsia="Times New Roman" w:hAnsi="Garamond" w:cs="Times New Roman"/>
          <w:bCs/>
          <w:sz w:val="24"/>
          <w:szCs w:val="24"/>
        </w:rPr>
        <w:t>funksionimin e mekanizmave të bashkëpunimit ndërmjet Prokurorisë së Posaçme dhe prokurorive të juridiksionit të përgjithshëm, duke përfshirë natyrën dhe arsyet e transferimit të çështjeve ndërmjet tyre, problematikat e evidentuara në zbatimin e kompetencës lëndore, si dhe propozime konkrete për përmirësimin e kuadrit ligjor dhe procedural.</w:t>
      </w:r>
    </w:p>
    <w:p w14:paraId="6881E496" w14:textId="63F5D866"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21. Forcimin e komponentin analitik të raportimit vjetor, duke paraqitur, krahas të dhënave statistikore, tregues të matshëm </w:t>
      </w:r>
      <w:r w:rsidR="008969DD"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cilësinë dhe efektivitetin e veprimtarisë hetimore, përfshirë kohëzgjatjen mesatare të hetimeve sipas kategorive të çështjeve, analizën e shkaqeve të pafajësive dhe ndryshimeve të vendimmarrjes në shkallët e gjykimit, raportin ndërmjet pasurive të sekuestruara dhe atyre të konfiskuara, arsyet e transferimit ose kthimit të çështjeve për kompetencë, si dhe analizën e faktorëve që kanë ndikuar në procedimet që nuk kanë prodhuar rezultatet e pritshme, me qëllim identifikimin e masave konkrete për përmirësimi</w:t>
      </w:r>
      <w:r w:rsidR="008B4137">
        <w:rPr>
          <w:rFonts w:ascii="Garamond" w:eastAsia="Times New Roman" w:hAnsi="Garamond" w:cs="Times New Roman"/>
          <w:bCs/>
          <w:sz w:val="24"/>
          <w:szCs w:val="24"/>
        </w:rPr>
        <w:t xml:space="preserve">n e </w:t>
      </w:r>
      <w:proofErr w:type="spellStart"/>
      <w:r w:rsidR="008B4137">
        <w:rPr>
          <w:rFonts w:ascii="Garamond" w:eastAsia="Times New Roman" w:hAnsi="Garamond" w:cs="Times New Roman"/>
          <w:bCs/>
          <w:sz w:val="24"/>
          <w:szCs w:val="24"/>
        </w:rPr>
        <w:t>performancës</w:t>
      </w:r>
      <w:proofErr w:type="spellEnd"/>
      <w:r w:rsidR="008B4137">
        <w:rPr>
          <w:rFonts w:ascii="Garamond" w:eastAsia="Times New Roman" w:hAnsi="Garamond" w:cs="Times New Roman"/>
          <w:bCs/>
          <w:sz w:val="24"/>
          <w:szCs w:val="24"/>
        </w:rPr>
        <w:t xml:space="preserve"> institucionale.</w:t>
      </w:r>
    </w:p>
    <w:p w14:paraId="5A2B3DE9" w14:textId="789C970A"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22. Përfundimin e analizës së përbashkët me Prokurorin e Përgjithshëm dhe Komisionin Qendror të Zgjedhjeve për krimet zgjedhore të vitit 2025, duke përfshirë problematikat e konstatua</w:t>
      </w:r>
      <w:r w:rsidR="008B4137">
        <w:rPr>
          <w:rFonts w:ascii="Garamond" w:eastAsia="Times New Roman" w:hAnsi="Garamond" w:cs="Times New Roman"/>
          <w:bCs/>
          <w:sz w:val="24"/>
          <w:szCs w:val="24"/>
        </w:rPr>
        <w:t>ra dhe rekomandime të mundshme.</w:t>
      </w:r>
    </w:p>
    <w:p w14:paraId="47F2F14E" w14:textId="02914E1C"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23.</w:t>
      </w:r>
      <w:r w:rsidR="00D82527"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Në bashkëpunim me Këshillin e Lartë të Prokurorisë të analizojë në përputhje me rekomandimin e BE-së, nevojën për rishikim të rregullave dhe procedurave lidhur me procesin e emërimit të Drejtorit të Byrosë Kombëtare të Hetimit, për të qartësuar dhe garantuar procese të hapur</w:t>
      </w:r>
      <w:r w:rsidR="00D82527" w:rsidRPr="00E95557">
        <w:rPr>
          <w:rFonts w:ascii="Garamond" w:eastAsia="Times New Roman" w:hAnsi="Garamond" w:cs="Times New Roman"/>
          <w:bCs/>
          <w:sz w:val="24"/>
          <w:szCs w:val="24"/>
        </w:rPr>
        <w:t>a</w:t>
      </w:r>
      <w:r w:rsidRPr="00E95557">
        <w:rPr>
          <w:rFonts w:ascii="Garamond" w:eastAsia="Times New Roman" w:hAnsi="Garamond" w:cs="Times New Roman"/>
          <w:bCs/>
          <w:sz w:val="24"/>
          <w:szCs w:val="24"/>
        </w:rPr>
        <w:t>, konkurrues</w:t>
      </w:r>
      <w:r w:rsidR="00D82527" w:rsidRPr="00E95557">
        <w:rPr>
          <w:rFonts w:ascii="Garamond" w:eastAsia="Times New Roman" w:hAnsi="Garamond" w:cs="Times New Roman"/>
          <w:bCs/>
          <w:sz w:val="24"/>
          <w:szCs w:val="24"/>
        </w:rPr>
        <w:t>e</w:t>
      </w:r>
      <w:r w:rsidR="008B4137">
        <w:rPr>
          <w:rFonts w:ascii="Garamond" w:eastAsia="Times New Roman" w:hAnsi="Garamond" w:cs="Times New Roman"/>
          <w:bCs/>
          <w:sz w:val="24"/>
          <w:szCs w:val="24"/>
        </w:rPr>
        <w:t xml:space="preserve"> dhe pa vonesa.</w:t>
      </w:r>
    </w:p>
    <w:p w14:paraId="4E20191F" w14:textId="4D9B99BB"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24. Forcimin e transparencës</w:t>
      </w:r>
      <w:r w:rsidR="00D82527"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duke marrë masa për t</w:t>
      </w:r>
      <w:r w:rsidR="00D82527" w:rsidRPr="00E95557">
        <w:rPr>
          <w:rFonts w:ascii="Garamond" w:eastAsia="Times New Roman" w:hAnsi="Garamond" w:cs="Times New Roman"/>
          <w:bCs/>
          <w:sz w:val="24"/>
          <w:szCs w:val="24"/>
        </w:rPr>
        <w:t>’i</w:t>
      </w:r>
      <w:r w:rsidRPr="00E95557">
        <w:rPr>
          <w:rFonts w:ascii="Garamond" w:eastAsia="Times New Roman" w:hAnsi="Garamond" w:cs="Times New Roman"/>
          <w:bCs/>
          <w:sz w:val="24"/>
          <w:szCs w:val="24"/>
        </w:rPr>
        <w:t xml:space="preserve"> bërë të </w:t>
      </w:r>
      <w:proofErr w:type="spellStart"/>
      <w:r w:rsidRPr="00E95557">
        <w:rPr>
          <w:rFonts w:ascii="Garamond" w:eastAsia="Times New Roman" w:hAnsi="Garamond" w:cs="Times New Roman"/>
          <w:bCs/>
          <w:sz w:val="24"/>
          <w:szCs w:val="24"/>
        </w:rPr>
        <w:t>verifikueshme</w:t>
      </w:r>
      <w:proofErr w:type="spellEnd"/>
      <w:r w:rsidRPr="00E95557">
        <w:rPr>
          <w:rFonts w:ascii="Garamond" w:eastAsia="Times New Roman" w:hAnsi="Garamond" w:cs="Times New Roman"/>
          <w:bCs/>
          <w:sz w:val="24"/>
          <w:szCs w:val="24"/>
        </w:rPr>
        <w:t xml:space="preserve"> procedurat e marrjes në pyetje nëpërmjet përdorimit të </w:t>
      </w:r>
      <w:r w:rsidR="00D82527" w:rsidRPr="00E95557">
        <w:rPr>
          <w:rFonts w:ascii="Garamond" w:eastAsia="Times New Roman" w:hAnsi="Garamond" w:cs="Times New Roman"/>
          <w:bCs/>
          <w:sz w:val="24"/>
          <w:szCs w:val="24"/>
        </w:rPr>
        <w:t>ambienteve</w:t>
      </w:r>
      <w:r w:rsidR="008B4137">
        <w:rPr>
          <w:rFonts w:ascii="Garamond" w:eastAsia="Times New Roman" w:hAnsi="Garamond" w:cs="Times New Roman"/>
          <w:bCs/>
          <w:sz w:val="24"/>
          <w:szCs w:val="24"/>
        </w:rPr>
        <w:t xml:space="preserve"> të posaçme.</w:t>
      </w:r>
    </w:p>
    <w:p w14:paraId="4070A7A8" w14:textId="63792D52"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25.</w:t>
      </w:r>
      <w:r w:rsidR="00D82527"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Përmirësimin e teknikave të hetimit financiar</w:t>
      </w:r>
      <w:r w:rsidR="00D82527"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duke përfshirë edhe ato që lidhen me identifikimin, analizën dhe ruajtjen e provës elektronike lidhur me </w:t>
      </w:r>
      <w:proofErr w:type="spellStart"/>
      <w:r w:rsidRPr="00E95557">
        <w:rPr>
          <w:rFonts w:ascii="Garamond" w:eastAsia="Times New Roman" w:hAnsi="Garamond" w:cs="Times New Roman"/>
          <w:bCs/>
          <w:sz w:val="24"/>
          <w:szCs w:val="24"/>
        </w:rPr>
        <w:t>kri</w:t>
      </w:r>
      <w:r w:rsidR="008B4137">
        <w:rPr>
          <w:rFonts w:ascii="Garamond" w:eastAsia="Times New Roman" w:hAnsi="Garamond" w:cs="Times New Roman"/>
          <w:bCs/>
          <w:sz w:val="24"/>
          <w:szCs w:val="24"/>
        </w:rPr>
        <w:t>ptovalutat</w:t>
      </w:r>
      <w:proofErr w:type="spellEnd"/>
      <w:r w:rsidR="008B4137">
        <w:rPr>
          <w:rFonts w:ascii="Garamond" w:eastAsia="Times New Roman" w:hAnsi="Garamond" w:cs="Times New Roman"/>
          <w:bCs/>
          <w:sz w:val="24"/>
          <w:szCs w:val="24"/>
        </w:rPr>
        <w:t xml:space="preserve"> dhe </w:t>
      </w:r>
      <w:proofErr w:type="spellStart"/>
      <w:r w:rsidR="008B4137">
        <w:rPr>
          <w:rFonts w:ascii="Garamond" w:eastAsia="Times New Roman" w:hAnsi="Garamond" w:cs="Times New Roman"/>
          <w:bCs/>
          <w:sz w:val="24"/>
          <w:szCs w:val="24"/>
        </w:rPr>
        <w:t>asetet</w:t>
      </w:r>
      <w:proofErr w:type="spellEnd"/>
      <w:r w:rsidR="008B4137">
        <w:rPr>
          <w:rFonts w:ascii="Garamond" w:eastAsia="Times New Roman" w:hAnsi="Garamond" w:cs="Times New Roman"/>
          <w:bCs/>
          <w:sz w:val="24"/>
          <w:szCs w:val="24"/>
        </w:rPr>
        <w:t xml:space="preserve"> virtuale.</w:t>
      </w:r>
    </w:p>
    <w:p w14:paraId="3CDCB95D" w14:textId="4865C0E5"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26. Forcimin e qasjes strategjike dhe sistematike </w:t>
      </w:r>
      <w:r w:rsidR="0097169B"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identifikimin dhe konfiskimin e </w:t>
      </w:r>
      <w:proofErr w:type="spellStart"/>
      <w:r w:rsidRPr="00E95557">
        <w:rPr>
          <w:rFonts w:ascii="Garamond" w:eastAsia="Times New Roman" w:hAnsi="Garamond" w:cs="Times New Roman"/>
          <w:bCs/>
          <w:sz w:val="24"/>
          <w:szCs w:val="24"/>
        </w:rPr>
        <w:t>aseteve</w:t>
      </w:r>
      <w:proofErr w:type="spellEnd"/>
      <w:r w:rsidRPr="00E95557">
        <w:rPr>
          <w:rFonts w:ascii="Garamond" w:eastAsia="Times New Roman" w:hAnsi="Garamond" w:cs="Times New Roman"/>
          <w:bCs/>
          <w:sz w:val="24"/>
          <w:szCs w:val="24"/>
        </w:rPr>
        <w:t xml:space="preserve"> me origjinë kriminale jashtë kufijve, si dhe të marrë masa për zbatimin e vazhdueshëm të rregullave </w:t>
      </w:r>
      <w:r w:rsidR="00290300"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konfiskimin dhe ngrirjen e </w:t>
      </w:r>
      <w:proofErr w:type="spellStart"/>
      <w:r w:rsidRPr="00E95557">
        <w:rPr>
          <w:rFonts w:ascii="Garamond" w:eastAsia="Times New Roman" w:hAnsi="Garamond" w:cs="Times New Roman"/>
          <w:bCs/>
          <w:sz w:val="24"/>
          <w:szCs w:val="24"/>
        </w:rPr>
        <w:t>aseteve</w:t>
      </w:r>
      <w:proofErr w:type="spellEnd"/>
      <w:r w:rsidRPr="00E95557">
        <w:rPr>
          <w:rFonts w:ascii="Garamond" w:eastAsia="Times New Roman" w:hAnsi="Garamond" w:cs="Times New Roman"/>
          <w:bCs/>
          <w:sz w:val="24"/>
          <w:szCs w:val="24"/>
        </w:rPr>
        <w:t xml:space="preserve"> për të shmangur humb</w:t>
      </w:r>
      <w:r w:rsidR="008B4137">
        <w:rPr>
          <w:rFonts w:ascii="Garamond" w:eastAsia="Times New Roman" w:hAnsi="Garamond" w:cs="Times New Roman"/>
          <w:bCs/>
          <w:sz w:val="24"/>
          <w:szCs w:val="24"/>
        </w:rPr>
        <w:t>jen e vlerës së tyre ekonomike.</w:t>
      </w:r>
    </w:p>
    <w:p w14:paraId="7ABFFCBF" w14:textId="598AA005"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27. Përfundimin dhe miratimin e analizës strategjike </w:t>
      </w:r>
      <w:r w:rsidR="005A226D"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grupet e krimit të organizuar që janë aktive brenda dhe jashtë vendit, si dhe raportimin në Kuvend të gjetjeve kryesore dhe masat konkrete të thellimit të luftës kundër tyre.</w:t>
      </w:r>
    </w:p>
    <w:p w14:paraId="32503508" w14:textId="750853FC"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28. Përfundimin e analizës </w:t>
      </w:r>
      <w:r w:rsidR="005A226D"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masat e sigurimit</w:t>
      </w:r>
      <w:r w:rsidR="001D6D83" w:rsidRP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 të ndërmarra gjatë periudhës 2021</w:t>
      </w:r>
      <w:r w:rsidR="00E95557">
        <w:rPr>
          <w:rFonts w:ascii="Garamond" w:eastAsia="Times New Roman" w:hAnsi="Garamond" w:cs="Times New Roman"/>
          <w:bCs/>
          <w:sz w:val="24"/>
          <w:szCs w:val="24"/>
        </w:rPr>
        <w:t>–</w:t>
      </w:r>
      <w:r w:rsidRPr="00E95557">
        <w:rPr>
          <w:rFonts w:ascii="Garamond" w:eastAsia="Times New Roman" w:hAnsi="Garamond" w:cs="Times New Roman"/>
          <w:bCs/>
          <w:sz w:val="24"/>
          <w:szCs w:val="24"/>
        </w:rPr>
        <w:t xml:space="preserve">2025, duke evidentuar në mënyrë të detajuar problematikat e konstatuara dhe masat konkrete të propozuara në përputhje me standardet e </w:t>
      </w:r>
      <w:proofErr w:type="spellStart"/>
      <w:r w:rsidRPr="00E95557">
        <w:rPr>
          <w:rFonts w:ascii="Garamond" w:eastAsia="Times New Roman" w:hAnsi="Garamond" w:cs="Times New Roman"/>
          <w:bCs/>
          <w:sz w:val="24"/>
          <w:szCs w:val="24"/>
        </w:rPr>
        <w:t>KiE</w:t>
      </w:r>
      <w:proofErr w:type="spellEnd"/>
      <w:r w:rsidRPr="00E95557">
        <w:rPr>
          <w:rFonts w:ascii="Garamond" w:eastAsia="Times New Roman" w:hAnsi="Garamond" w:cs="Times New Roman"/>
          <w:bCs/>
          <w:sz w:val="24"/>
          <w:szCs w:val="24"/>
        </w:rPr>
        <w:t>, BE</w:t>
      </w:r>
      <w:r w:rsidR="006B24A4" w:rsidRPr="00E95557">
        <w:rPr>
          <w:rFonts w:ascii="Garamond" w:eastAsia="Times New Roman" w:hAnsi="Garamond" w:cs="Times New Roman"/>
          <w:bCs/>
          <w:sz w:val="24"/>
          <w:szCs w:val="24"/>
        </w:rPr>
        <w:t>-së</w:t>
      </w:r>
      <w:r w:rsidRPr="00E95557">
        <w:rPr>
          <w:rFonts w:ascii="Garamond" w:eastAsia="Times New Roman" w:hAnsi="Garamond" w:cs="Times New Roman"/>
          <w:bCs/>
          <w:sz w:val="24"/>
          <w:szCs w:val="24"/>
        </w:rPr>
        <w:t xml:space="preserve">, </w:t>
      </w:r>
      <w:proofErr w:type="spellStart"/>
      <w:r w:rsidRPr="00E95557">
        <w:rPr>
          <w:rFonts w:ascii="Garamond" w:eastAsia="Times New Roman" w:hAnsi="Garamond" w:cs="Times New Roman"/>
          <w:bCs/>
          <w:sz w:val="24"/>
          <w:szCs w:val="24"/>
        </w:rPr>
        <w:t>GJEDNJ</w:t>
      </w:r>
      <w:proofErr w:type="spellEnd"/>
      <w:r w:rsidRPr="00E95557">
        <w:rPr>
          <w:rFonts w:ascii="Garamond" w:eastAsia="Times New Roman" w:hAnsi="Garamond" w:cs="Times New Roman"/>
          <w:bCs/>
          <w:sz w:val="24"/>
          <w:szCs w:val="24"/>
        </w:rPr>
        <w:t>-së, Gjykatës Kushtetuese dhe Gjykatës së Lartë.</w:t>
      </w:r>
    </w:p>
    <w:p w14:paraId="4A0F414F" w14:textId="572EF8B8"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29. Miratimin dhe publikimin e protokolleve ose udhëzimeve të standardizuara për metodologjinë e hetimit, veçanërisht </w:t>
      </w:r>
      <w:r w:rsidR="00A137A5"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marrjen e provave dhe masat e sigurimit, në përputhje me vendimet njësuese të Gjykatës së Lartë, vendimet e Gjykatës Kushtetuese, si dhe vendimet e </w:t>
      </w:r>
      <w:proofErr w:type="spellStart"/>
      <w:r w:rsidRPr="00E95557">
        <w:rPr>
          <w:rFonts w:ascii="Garamond" w:eastAsia="Times New Roman" w:hAnsi="Garamond" w:cs="Times New Roman"/>
          <w:bCs/>
          <w:sz w:val="24"/>
          <w:szCs w:val="24"/>
        </w:rPr>
        <w:t>GJEDNJ</w:t>
      </w:r>
      <w:proofErr w:type="spellEnd"/>
      <w:r w:rsidRPr="00E95557">
        <w:rPr>
          <w:rFonts w:ascii="Garamond" w:eastAsia="Times New Roman" w:hAnsi="Garamond" w:cs="Times New Roman"/>
          <w:bCs/>
          <w:sz w:val="24"/>
          <w:szCs w:val="24"/>
        </w:rPr>
        <w:t>-së.</w:t>
      </w:r>
    </w:p>
    <w:p w14:paraId="46493F87" w14:textId="06DC9BCA"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 xml:space="preserve">30. Forcimin e hetimit </w:t>
      </w:r>
      <w:proofErr w:type="spellStart"/>
      <w:r w:rsidRPr="00E95557">
        <w:rPr>
          <w:rFonts w:ascii="Garamond" w:eastAsia="Times New Roman" w:hAnsi="Garamond" w:cs="Times New Roman"/>
          <w:bCs/>
          <w:sz w:val="24"/>
          <w:szCs w:val="24"/>
        </w:rPr>
        <w:t>proaktiv</w:t>
      </w:r>
      <w:proofErr w:type="spellEnd"/>
      <w:r w:rsidRPr="00E95557">
        <w:rPr>
          <w:rFonts w:ascii="Garamond" w:eastAsia="Times New Roman" w:hAnsi="Garamond" w:cs="Times New Roman"/>
          <w:bCs/>
          <w:sz w:val="24"/>
          <w:szCs w:val="24"/>
        </w:rPr>
        <w:t xml:space="preserve"> dhe të plotë, veçanërisht për çështjet me interes të lartë publik, në përputhje me vendimmarrjen e </w:t>
      </w:r>
      <w:proofErr w:type="spellStart"/>
      <w:r w:rsidRPr="00E95557">
        <w:rPr>
          <w:rFonts w:ascii="Garamond" w:eastAsia="Times New Roman" w:hAnsi="Garamond" w:cs="Times New Roman"/>
          <w:bCs/>
          <w:sz w:val="24"/>
          <w:szCs w:val="24"/>
        </w:rPr>
        <w:t>GJEDNJ</w:t>
      </w:r>
      <w:proofErr w:type="spellEnd"/>
      <w:r w:rsidRPr="00E95557">
        <w:rPr>
          <w:rFonts w:ascii="Garamond" w:eastAsia="Times New Roman" w:hAnsi="Garamond" w:cs="Times New Roman"/>
          <w:bCs/>
          <w:sz w:val="24"/>
          <w:szCs w:val="24"/>
        </w:rPr>
        <w:t xml:space="preserve">-së dhe Gjykatës së Lartë, </w:t>
      </w:r>
      <w:r w:rsidR="00A137A5"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standardet e mbrojtjes së të drejtave të njeriut.</w:t>
      </w:r>
    </w:p>
    <w:p w14:paraId="0316F0FE" w14:textId="596EA334" w:rsidR="00F57902"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31.</w:t>
      </w:r>
      <w:r w:rsidR="00A137A5" w:rsidRPr="00E95557">
        <w:rPr>
          <w:rFonts w:ascii="Garamond" w:eastAsia="Times New Roman" w:hAnsi="Garamond" w:cs="Times New Roman"/>
          <w:bCs/>
          <w:sz w:val="24"/>
          <w:szCs w:val="24"/>
        </w:rPr>
        <w:t xml:space="preserve"> </w:t>
      </w:r>
      <w:r w:rsidRPr="00E95557">
        <w:rPr>
          <w:rFonts w:ascii="Garamond" w:eastAsia="Times New Roman" w:hAnsi="Garamond" w:cs="Times New Roman"/>
          <w:bCs/>
          <w:sz w:val="24"/>
          <w:szCs w:val="24"/>
        </w:rPr>
        <w:t xml:space="preserve">Bashkëpunimin me strukturat përgjegjëse të Kuvendit të Shqipërisë për shkëmbimin e informacionit për zhvillimin dhe konsolidimin e metodologjisë së standardizuar të treguesve kyç të </w:t>
      </w:r>
      <w:proofErr w:type="spellStart"/>
      <w:r w:rsidRPr="00E95557">
        <w:rPr>
          <w:rFonts w:ascii="Garamond" w:eastAsia="Times New Roman" w:hAnsi="Garamond" w:cs="Times New Roman"/>
          <w:bCs/>
          <w:sz w:val="24"/>
          <w:szCs w:val="24"/>
        </w:rPr>
        <w:lastRenderedPageBreak/>
        <w:t>performancës</w:t>
      </w:r>
      <w:proofErr w:type="spellEnd"/>
      <w:r w:rsidRPr="00E95557">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brenda </w:t>
      </w:r>
      <w:r w:rsidR="00C6779C" w:rsidRPr="00E95557">
        <w:rPr>
          <w:rFonts w:ascii="Garamond" w:eastAsia="Times New Roman" w:hAnsi="Garamond" w:cs="Times New Roman"/>
          <w:bCs/>
          <w:sz w:val="24"/>
          <w:szCs w:val="24"/>
        </w:rPr>
        <w:t>3-</w:t>
      </w:r>
      <w:r w:rsidRPr="00E95557">
        <w:rPr>
          <w:rFonts w:ascii="Garamond" w:eastAsia="Times New Roman" w:hAnsi="Garamond" w:cs="Times New Roman"/>
          <w:bCs/>
          <w:sz w:val="24"/>
          <w:szCs w:val="24"/>
        </w:rPr>
        <w:t>m</w:t>
      </w:r>
      <w:r w:rsidR="008B4137">
        <w:rPr>
          <w:rFonts w:ascii="Garamond" w:eastAsia="Times New Roman" w:hAnsi="Garamond" w:cs="Times New Roman"/>
          <w:bCs/>
          <w:sz w:val="24"/>
          <w:szCs w:val="24"/>
        </w:rPr>
        <w:t>ujorit të katërt të vitit 2026.</w:t>
      </w:r>
    </w:p>
    <w:p w14:paraId="6B5CB90E" w14:textId="580303DB" w:rsidR="0042060E" w:rsidRPr="00E95557" w:rsidRDefault="00F57902" w:rsidP="008A2D34">
      <w:pPr>
        <w:spacing w:after="0" w:line="240" w:lineRule="auto"/>
        <w:ind w:firstLine="284"/>
        <w:jc w:val="both"/>
        <w:rPr>
          <w:rFonts w:ascii="Garamond" w:eastAsia="Times New Roman" w:hAnsi="Garamond" w:cs="Times New Roman"/>
          <w:bCs/>
          <w:sz w:val="24"/>
          <w:szCs w:val="24"/>
        </w:rPr>
      </w:pPr>
      <w:r w:rsidRPr="00E95557">
        <w:rPr>
          <w:rFonts w:ascii="Garamond" w:eastAsia="Times New Roman" w:hAnsi="Garamond" w:cs="Times New Roman"/>
          <w:bCs/>
          <w:sz w:val="24"/>
          <w:szCs w:val="24"/>
        </w:rPr>
        <w:t>32. Brenda 30 ditë</w:t>
      </w:r>
      <w:r w:rsidR="00C6779C" w:rsidRPr="00E95557">
        <w:rPr>
          <w:rFonts w:ascii="Garamond" w:eastAsia="Times New Roman" w:hAnsi="Garamond" w:cs="Times New Roman"/>
          <w:bCs/>
          <w:sz w:val="24"/>
          <w:szCs w:val="24"/>
        </w:rPr>
        <w:t>ve</w:t>
      </w:r>
      <w:r w:rsidRPr="00E95557">
        <w:rPr>
          <w:rFonts w:ascii="Garamond" w:eastAsia="Times New Roman" w:hAnsi="Garamond" w:cs="Times New Roman"/>
          <w:bCs/>
          <w:sz w:val="24"/>
          <w:szCs w:val="24"/>
        </w:rPr>
        <w:t xml:space="preserve"> nga miratimi i rezolutës, të hartojë dhe </w:t>
      </w:r>
      <w:r w:rsidR="00276538" w:rsidRPr="00E95557">
        <w:rPr>
          <w:rFonts w:ascii="Garamond" w:eastAsia="Times New Roman" w:hAnsi="Garamond" w:cs="Times New Roman"/>
          <w:bCs/>
          <w:sz w:val="24"/>
          <w:szCs w:val="24"/>
        </w:rPr>
        <w:t xml:space="preserve">të </w:t>
      </w:r>
      <w:r w:rsidRPr="00E95557">
        <w:rPr>
          <w:rFonts w:ascii="Garamond" w:eastAsia="Times New Roman" w:hAnsi="Garamond" w:cs="Times New Roman"/>
          <w:bCs/>
          <w:sz w:val="24"/>
          <w:szCs w:val="24"/>
        </w:rPr>
        <w:t xml:space="preserve">publikojë një plan veprimi për zbatimin e rekomandimeve, i cili të përcaktojë masat konkrete, afatet e realizimit, strukturat përgjegjëse, treguesit bazë dhe objektivat e synuar, si dhe të raportojë periodikisht </w:t>
      </w:r>
      <w:r w:rsidR="00C6779C" w:rsidRPr="00E95557">
        <w:rPr>
          <w:rFonts w:ascii="Garamond" w:eastAsia="Times New Roman" w:hAnsi="Garamond" w:cs="Times New Roman"/>
          <w:bCs/>
          <w:sz w:val="24"/>
          <w:szCs w:val="24"/>
        </w:rPr>
        <w:t>për</w:t>
      </w:r>
      <w:r w:rsidRPr="00E95557">
        <w:rPr>
          <w:rFonts w:ascii="Garamond" w:eastAsia="Times New Roman" w:hAnsi="Garamond" w:cs="Times New Roman"/>
          <w:bCs/>
          <w:sz w:val="24"/>
          <w:szCs w:val="24"/>
        </w:rPr>
        <w:t xml:space="preserve"> nivelin e përmbushjes së tyre.</w:t>
      </w:r>
    </w:p>
    <w:p w14:paraId="686F6AAE" w14:textId="77777777" w:rsidR="0042060E" w:rsidRPr="00E95557" w:rsidRDefault="0042060E" w:rsidP="008A2D34">
      <w:pPr>
        <w:spacing w:after="0" w:line="240" w:lineRule="auto"/>
        <w:ind w:firstLine="284"/>
        <w:jc w:val="both"/>
        <w:rPr>
          <w:rFonts w:ascii="Garamond" w:eastAsia="Times New Roman" w:hAnsi="Garamond" w:cs="Times New Roman"/>
          <w:b/>
          <w:sz w:val="24"/>
          <w:szCs w:val="24"/>
        </w:rPr>
      </w:pPr>
    </w:p>
    <w:p w14:paraId="221649EC" w14:textId="31EE275A" w:rsidR="00EB62DE" w:rsidRPr="00E95557" w:rsidRDefault="00A755F6" w:rsidP="008A2D34">
      <w:pPr>
        <w:spacing w:after="0" w:line="240" w:lineRule="auto"/>
        <w:ind w:firstLine="284"/>
        <w:jc w:val="both"/>
        <w:rPr>
          <w:rFonts w:ascii="Garamond" w:hAnsi="Garamond" w:cs="Times New Roman"/>
          <w:sz w:val="24"/>
          <w:szCs w:val="24"/>
        </w:rPr>
      </w:pPr>
      <w:r w:rsidRPr="00E95557">
        <w:rPr>
          <w:rFonts w:ascii="Garamond" w:hAnsi="Garamond" w:cs="Times New Roman"/>
          <w:sz w:val="24"/>
          <w:szCs w:val="24"/>
        </w:rPr>
        <w:t xml:space="preserve">Miratuar në datën </w:t>
      </w:r>
      <w:r w:rsidR="002F42A5" w:rsidRPr="00E95557">
        <w:rPr>
          <w:rFonts w:ascii="Garamond" w:hAnsi="Garamond" w:cs="Times New Roman"/>
          <w:sz w:val="24"/>
          <w:szCs w:val="24"/>
        </w:rPr>
        <w:t>23.7.</w:t>
      </w:r>
      <w:r w:rsidR="003C57D3" w:rsidRPr="00E95557">
        <w:rPr>
          <w:rFonts w:ascii="Garamond" w:hAnsi="Garamond" w:cs="Times New Roman"/>
          <w:sz w:val="24"/>
          <w:szCs w:val="24"/>
        </w:rPr>
        <w:t>202</w:t>
      </w:r>
      <w:r w:rsidR="00275863" w:rsidRPr="00E95557">
        <w:rPr>
          <w:rFonts w:ascii="Garamond" w:hAnsi="Garamond" w:cs="Times New Roman"/>
          <w:sz w:val="24"/>
          <w:szCs w:val="24"/>
        </w:rPr>
        <w:t>6</w:t>
      </w:r>
      <w:r w:rsidR="00E95557">
        <w:rPr>
          <w:rFonts w:ascii="Garamond" w:hAnsi="Garamond" w:cs="Times New Roman"/>
          <w:sz w:val="24"/>
          <w:szCs w:val="24"/>
        </w:rPr>
        <w:t>.</w:t>
      </w:r>
    </w:p>
    <w:p w14:paraId="05A8005D" w14:textId="77777777" w:rsidR="00841A15" w:rsidRPr="00E95557" w:rsidRDefault="00841A15" w:rsidP="008A2D34">
      <w:pPr>
        <w:spacing w:after="0" w:line="240" w:lineRule="auto"/>
        <w:ind w:firstLine="284"/>
        <w:rPr>
          <w:rFonts w:ascii="Garamond" w:eastAsia="Times New Roman" w:hAnsi="Garamond" w:cs="Times New Roman"/>
          <w:sz w:val="20"/>
          <w:szCs w:val="20"/>
        </w:rPr>
      </w:pPr>
    </w:p>
    <w:p w14:paraId="1CBE9F6C" w14:textId="77777777" w:rsidR="00662E62" w:rsidRPr="00E95557" w:rsidRDefault="00662E62" w:rsidP="00662E62">
      <w:pPr>
        <w:spacing w:after="0" w:line="240" w:lineRule="auto"/>
        <w:ind w:left="6920"/>
        <w:jc w:val="right"/>
        <w:rPr>
          <w:rFonts w:ascii="Garamond" w:hAnsi="Garamond" w:cs="Times New Roman"/>
          <w:bCs/>
          <w:color w:val="000000" w:themeColor="text1"/>
          <w:sz w:val="24"/>
          <w:szCs w:val="24"/>
        </w:rPr>
      </w:pPr>
      <w:r w:rsidRPr="00E95557">
        <w:rPr>
          <w:rFonts w:ascii="Garamond" w:hAnsi="Garamond" w:cs="Times New Roman"/>
          <w:bCs/>
          <w:color w:val="000000" w:themeColor="text1"/>
          <w:sz w:val="24"/>
          <w:szCs w:val="24"/>
        </w:rPr>
        <w:t xml:space="preserve">KRYETAR </w:t>
      </w:r>
    </w:p>
    <w:p w14:paraId="57F6A7E2" w14:textId="77777777" w:rsidR="00662E62" w:rsidRPr="00E95557" w:rsidRDefault="00662E62" w:rsidP="00662E62">
      <w:pPr>
        <w:spacing w:after="0" w:line="240" w:lineRule="auto"/>
        <w:jc w:val="right"/>
        <w:rPr>
          <w:rFonts w:ascii="Garamond" w:hAnsi="Garamond" w:cs="Times New Roman"/>
          <w:b/>
          <w:bCs/>
          <w:color w:val="000000" w:themeColor="text1"/>
          <w:sz w:val="24"/>
          <w:szCs w:val="24"/>
        </w:rPr>
      </w:pPr>
      <w:proofErr w:type="spellStart"/>
      <w:r w:rsidRPr="00E95557">
        <w:rPr>
          <w:rFonts w:ascii="Garamond" w:hAnsi="Garamond" w:cs="Times New Roman"/>
          <w:b/>
          <w:bCs/>
          <w:color w:val="000000" w:themeColor="text1"/>
          <w:sz w:val="24"/>
          <w:szCs w:val="24"/>
        </w:rPr>
        <w:t>Niko</w:t>
      </w:r>
      <w:proofErr w:type="spellEnd"/>
      <w:r w:rsidRPr="00E95557">
        <w:rPr>
          <w:rFonts w:ascii="Garamond" w:hAnsi="Garamond" w:cs="Times New Roman"/>
          <w:b/>
          <w:bCs/>
          <w:color w:val="000000" w:themeColor="text1"/>
          <w:sz w:val="24"/>
          <w:szCs w:val="24"/>
        </w:rPr>
        <w:t xml:space="preserve"> </w:t>
      </w:r>
      <w:proofErr w:type="spellStart"/>
      <w:r w:rsidRPr="00E95557">
        <w:rPr>
          <w:rFonts w:ascii="Garamond" w:hAnsi="Garamond" w:cs="Times New Roman"/>
          <w:b/>
          <w:bCs/>
          <w:color w:val="000000" w:themeColor="text1"/>
          <w:sz w:val="24"/>
          <w:szCs w:val="24"/>
        </w:rPr>
        <w:t>Peleshi</w:t>
      </w:r>
      <w:proofErr w:type="spellEnd"/>
    </w:p>
    <w:p w14:paraId="328FB015" w14:textId="77777777" w:rsidR="003C57D3" w:rsidRPr="00E95557" w:rsidRDefault="003C57D3" w:rsidP="008A2D34">
      <w:pPr>
        <w:spacing w:after="0" w:line="240" w:lineRule="auto"/>
        <w:ind w:firstLine="284"/>
        <w:rPr>
          <w:rFonts w:ascii="Garamond" w:eastAsia="Times New Roman" w:hAnsi="Garamond" w:cs="Times New Roman"/>
          <w:sz w:val="20"/>
          <w:szCs w:val="20"/>
        </w:rPr>
      </w:pPr>
    </w:p>
    <w:p w14:paraId="3E9909DF" w14:textId="77777777" w:rsidR="0079748A" w:rsidRPr="00E95557" w:rsidRDefault="0079748A" w:rsidP="008A2D34">
      <w:pPr>
        <w:spacing w:after="0" w:line="240" w:lineRule="auto"/>
        <w:ind w:firstLine="284"/>
        <w:rPr>
          <w:rFonts w:ascii="Garamond" w:eastAsia="Times New Roman" w:hAnsi="Garamond" w:cs="Times New Roman"/>
          <w:sz w:val="20"/>
          <w:szCs w:val="20"/>
        </w:rPr>
      </w:pPr>
    </w:p>
    <w:sectPr w:rsidR="0079748A" w:rsidRPr="00E95557"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E52D4" w14:textId="77777777" w:rsidR="00416950" w:rsidRDefault="00416950" w:rsidP="00C86383">
      <w:pPr>
        <w:spacing w:after="0" w:line="240" w:lineRule="auto"/>
      </w:pPr>
      <w:r>
        <w:separator/>
      </w:r>
    </w:p>
  </w:endnote>
  <w:endnote w:type="continuationSeparator" w:id="0">
    <w:p w14:paraId="18F08519" w14:textId="77777777" w:rsidR="00416950" w:rsidRDefault="00416950" w:rsidP="00C86383">
      <w:pPr>
        <w:spacing w:after="0" w:line="240" w:lineRule="auto"/>
      </w:pPr>
      <w:r>
        <w:continuationSeparator/>
      </w:r>
    </w:p>
  </w:endnote>
  <w:endnote w:type="continuationNotice" w:id="1">
    <w:p w14:paraId="0C703C2E" w14:textId="77777777" w:rsidR="00DF3A9B" w:rsidRDefault="00DF3A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3EA98E67" w:rsidR="00416950" w:rsidRPr="00E7684C" w:rsidRDefault="00416950">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8B4137">
          <w:rPr>
            <w:rFonts w:ascii="Times New Roman" w:hAnsi="Times New Roman" w:cs="Times New Roman"/>
            <w:noProof/>
            <w:sz w:val="24"/>
            <w:szCs w:val="24"/>
          </w:rPr>
          <w:t>5</w:t>
        </w:r>
        <w:r w:rsidRPr="00E7684C">
          <w:rPr>
            <w:rFonts w:ascii="Times New Roman" w:hAnsi="Times New Roman" w:cs="Times New Roman"/>
            <w:noProof/>
            <w:sz w:val="24"/>
            <w:szCs w:val="24"/>
          </w:rPr>
          <w:fldChar w:fldCharType="end"/>
        </w:r>
      </w:p>
    </w:sdtContent>
  </w:sdt>
  <w:p w14:paraId="07261E55" w14:textId="77777777" w:rsidR="00416950" w:rsidRDefault="0041695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4A270" w14:textId="77777777" w:rsidR="00416950" w:rsidRDefault="00416950" w:rsidP="00C86383">
      <w:pPr>
        <w:spacing w:after="0" w:line="240" w:lineRule="auto"/>
      </w:pPr>
      <w:r>
        <w:separator/>
      </w:r>
    </w:p>
  </w:footnote>
  <w:footnote w:type="continuationSeparator" w:id="0">
    <w:p w14:paraId="05A3A28C" w14:textId="77777777" w:rsidR="00416950" w:rsidRDefault="00416950" w:rsidP="00C86383">
      <w:pPr>
        <w:spacing w:after="0" w:line="240" w:lineRule="auto"/>
      </w:pPr>
      <w:r>
        <w:continuationSeparator/>
      </w:r>
    </w:p>
  </w:footnote>
  <w:footnote w:type="continuationNotice" w:id="1">
    <w:p w14:paraId="352D6468" w14:textId="77777777" w:rsidR="00DF3A9B" w:rsidRDefault="00DF3A9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5798B"/>
    <w:rsid w:val="00062B6C"/>
    <w:rsid w:val="00062F7F"/>
    <w:rsid w:val="0007298B"/>
    <w:rsid w:val="00073681"/>
    <w:rsid w:val="00082B98"/>
    <w:rsid w:val="00083230"/>
    <w:rsid w:val="00091EE7"/>
    <w:rsid w:val="000A08B2"/>
    <w:rsid w:val="000A0B41"/>
    <w:rsid w:val="000B749A"/>
    <w:rsid w:val="000C0CFC"/>
    <w:rsid w:val="000C1BC4"/>
    <w:rsid w:val="000C6CE8"/>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66DA6"/>
    <w:rsid w:val="00176BBD"/>
    <w:rsid w:val="0018119B"/>
    <w:rsid w:val="00181B37"/>
    <w:rsid w:val="00181D50"/>
    <w:rsid w:val="00184409"/>
    <w:rsid w:val="001858C3"/>
    <w:rsid w:val="00191634"/>
    <w:rsid w:val="001A79AF"/>
    <w:rsid w:val="001B134B"/>
    <w:rsid w:val="001B3BC6"/>
    <w:rsid w:val="001B6D41"/>
    <w:rsid w:val="001B7CF3"/>
    <w:rsid w:val="001C1147"/>
    <w:rsid w:val="001D6D83"/>
    <w:rsid w:val="001E2085"/>
    <w:rsid w:val="001E3542"/>
    <w:rsid w:val="001F4CD5"/>
    <w:rsid w:val="00202011"/>
    <w:rsid w:val="0020553B"/>
    <w:rsid w:val="002063FE"/>
    <w:rsid w:val="002129CF"/>
    <w:rsid w:val="00215C02"/>
    <w:rsid w:val="002176D7"/>
    <w:rsid w:val="002202CB"/>
    <w:rsid w:val="00223962"/>
    <w:rsid w:val="00223BB0"/>
    <w:rsid w:val="0022618D"/>
    <w:rsid w:val="002359AF"/>
    <w:rsid w:val="00237CB2"/>
    <w:rsid w:val="00240C54"/>
    <w:rsid w:val="00240E91"/>
    <w:rsid w:val="00243068"/>
    <w:rsid w:val="00244B19"/>
    <w:rsid w:val="00244D0F"/>
    <w:rsid w:val="00256A07"/>
    <w:rsid w:val="00262768"/>
    <w:rsid w:val="00262C8A"/>
    <w:rsid w:val="00266214"/>
    <w:rsid w:val="00275863"/>
    <w:rsid w:val="00275F33"/>
    <w:rsid w:val="00276538"/>
    <w:rsid w:val="00283031"/>
    <w:rsid w:val="00286E87"/>
    <w:rsid w:val="00290300"/>
    <w:rsid w:val="0029415F"/>
    <w:rsid w:val="002A1841"/>
    <w:rsid w:val="002A4484"/>
    <w:rsid w:val="002B2319"/>
    <w:rsid w:val="002B42ED"/>
    <w:rsid w:val="002B6674"/>
    <w:rsid w:val="002C0BF7"/>
    <w:rsid w:val="002D28BD"/>
    <w:rsid w:val="002D328A"/>
    <w:rsid w:val="002D47BF"/>
    <w:rsid w:val="002D6F17"/>
    <w:rsid w:val="002E049D"/>
    <w:rsid w:val="002E203D"/>
    <w:rsid w:val="002E30A1"/>
    <w:rsid w:val="002E31FA"/>
    <w:rsid w:val="002E3E9A"/>
    <w:rsid w:val="002E57A2"/>
    <w:rsid w:val="002F1ABE"/>
    <w:rsid w:val="002F1E84"/>
    <w:rsid w:val="002F42A5"/>
    <w:rsid w:val="002F495E"/>
    <w:rsid w:val="002F56DF"/>
    <w:rsid w:val="00310428"/>
    <w:rsid w:val="00312A26"/>
    <w:rsid w:val="0031338B"/>
    <w:rsid w:val="00316C9C"/>
    <w:rsid w:val="00321277"/>
    <w:rsid w:val="00323548"/>
    <w:rsid w:val="00327E49"/>
    <w:rsid w:val="003305FA"/>
    <w:rsid w:val="0033383F"/>
    <w:rsid w:val="003345F5"/>
    <w:rsid w:val="00335564"/>
    <w:rsid w:val="003368AA"/>
    <w:rsid w:val="00343599"/>
    <w:rsid w:val="00343D14"/>
    <w:rsid w:val="0034558C"/>
    <w:rsid w:val="00351908"/>
    <w:rsid w:val="003556E0"/>
    <w:rsid w:val="003557DA"/>
    <w:rsid w:val="00356502"/>
    <w:rsid w:val="00365995"/>
    <w:rsid w:val="00373D67"/>
    <w:rsid w:val="003802C5"/>
    <w:rsid w:val="00380CE5"/>
    <w:rsid w:val="00382072"/>
    <w:rsid w:val="00384791"/>
    <w:rsid w:val="00384A0F"/>
    <w:rsid w:val="003918EF"/>
    <w:rsid w:val="00391D0F"/>
    <w:rsid w:val="00393AEF"/>
    <w:rsid w:val="00393D81"/>
    <w:rsid w:val="003955B9"/>
    <w:rsid w:val="003962DE"/>
    <w:rsid w:val="00397B89"/>
    <w:rsid w:val="003A2FD5"/>
    <w:rsid w:val="003A3D56"/>
    <w:rsid w:val="003C3B41"/>
    <w:rsid w:val="003C51DC"/>
    <w:rsid w:val="003C57D3"/>
    <w:rsid w:val="003D23B3"/>
    <w:rsid w:val="003D6B2B"/>
    <w:rsid w:val="003E08F3"/>
    <w:rsid w:val="003E193B"/>
    <w:rsid w:val="003E3131"/>
    <w:rsid w:val="003E334D"/>
    <w:rsid w:val="003E39E2"/>
    <w:rsid w:val="003E3F68"/>
    <w:rsid w:val="003E53A6"/>
    <w:rsid w:val="003E6C60"/>
    <w:rsid w:val="003F623E"/>
    <w:rsid w:val="003F66F6"/>
    <w:rsid w:val="003F6EA0"/>
    <w:rsid w:val="004029FA"/>
    <w:rsid w:val="00402A6A"/>
    <w:rsid w:val="00413F47"/>
    <w:rsid w:val="00416950"/>
    <w:rsid w:val="0042060E"/>
    <w:rsid w:val="004215B2"/>
    <w:rsid w:val="00430EDA"/>
    <w:rsid w:val="0043413F"/>
    <w:rsid w:val="004354FA"/>
    <w:rsid w:val="0043625A"/>
    <w:rsid w:val="00440837"/>
    <w:rsid w:val="00441F4D"/>
    <w:rsid w:val="004530EE"/>
    <w:rsid w:val="0045672F"/>
    <w:rsid w:val="00457EDB"/>
    <w:rsid w:val="004615DB"/>
    <w:rsid w:val="00462270"/>
    <w:rsid w:val="00463738"/>
    <w:rsid w:val="0046513F"/>
    <w:rsid w:val="00477C33"/>
    <w:rsid w:val="00480E67"/>
    <w:rsid w:val="00480EEA"/>
    <w:rsid w:val="004819A5"/>
    <w:rsid w:val="00483345"/>
    <w:rsid w:val="004847B6"/>
    <w:rsid w:val="00485242"/>
    <w:rsid w:val="00493028"/>
    <w:rsid w:val="0049616C"/>
    <w:rsid w:val="004A3A52"/>
    <w:rsid w:val="004A5109"/>
    <w:rsid w:val="004A51B6"/>
    <w:rsid w:val="004B0605"/>
    <w:rsid w:val="004B13B2"/>
    <w:rsid w:val="004B79D3"/>
    <w:rsid w:val="004C36BB"/>
    <w:rsid w:val="004C430E"/>
    <w:rsid w:val="004C4CF2"/>
    <w:rsid w:val="004D1840"/>
    <w:rsid w:val="004D508B"/>
    <w:rsid w:val="004D62AE"/>
    <w:rsid w:val="004E0456"/>
    <w:rsid w:val="004E60F5"/>
    <w:rsid w:val="004E639B"/>
    <w:rsid w:val="004E7623"/>
    <w:rsid w:val="004F08BE"/>
    <w:rsid w:val="004F593B"/>
    <w:rsid w:val="00501097"/>
    <w:rsid w:val="00502636"/>
    <w:rsid w:val="00505558"/>
    <w:rsid w:val="00505674"/>
    <w:rsid w:val="005067C9"/>
    <w:rsid w:val="00513A51"/>
    <w:rsid w:val="00514B00"/>
    <w:rsid w:val="00520F52"/>
    <w:rsid w:val="005228B2"/>
    <w:rsid w:val="005228E2"/>
    <w:rsid w:val="00524B85"/>
    <w:rsid w:val="00526332"/>
    <w:rsid w:val="005267E4"/>
    <w:rsid w:val="00533A29"/>
    <w:rsid w:val="00540968"/>
    <w:rsid w:val="00541D13"/>
    <w:rsid w:val="00544ED5"/>
    <w:rsid w:val="00545007"/>
    <w:rsid w:val="005464CA"/>
    <w:rsid w:val="00546B87"/>
    <w:rsid w:val="00551654"/>
    <w:rsid w:val="00551A0C"/>
    <w:rsid w:val="00555F66"/>
    <w:rsid w:val="00556003"/>
    <w:rsid w:val="00556EBC"/>
    <w:rsid w:val="00561CA0"/>
    <w:rsid w:val="00564D41"/>
    <w:rsid w:val="00566A66"/>
    <w:rsid w:val="00567336"/>
    <w:rsid w:val="005675CA"/>
    <w:rsid w:val="005912E3"/>
    <w:rsid w:val="00595D7E"/>
    <w:rsid w:val="00597F1B"/>
    <w:rsid w:val="005A226D"/>
    <w:rsid w:val="005A4BF2"/>
    <w:rsid w:val="005A6A5B"/>
    <w:rsid w:val="005B4F54"/>
    <w:rsid w:val="005C0232"/>
    <w:rsid w:val="005C061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2E62"/>
    <w:rsid w:val="0066462F"/>
    <w:rsid w:val="00664CC2"/>
    <w:rsid w:val="00666637"/>
    <w:rsid w:val="006672E6"/>
    <w:rsid w:val="0067489C"/>
    <w:rsid w:val="0067607A"/>
    <w:rsid w:val="00680190"/>
    <w:rsid w:val="00684857"/>
    <w:rsid w:val="00686471"/>
    <w:rsid w:val="006870DA"/>
    <w:rsid w:val="00695534"/>
    <w:rsid w:val="006A1126"/>
    <w:rsid w:val="006A6C09"/>
    <w:rsid w:val="006B0342"/>
    <w:rsid w:val="006B24A4"/>
    <w:rsid w:val="006B27CE"/>
    <w:rsid w:val="006B2B4C"/>
    <w:rsid w:val="006B790D"/>
    <w:rsid w:val="006C2AEE"/>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75E"/>
    <w:rsid w:val="00721911"/>
    <w:rsid w:val="00721F94"/>
    <w:rsid w:val="00722A76"/>
    <w:rsid w:val="007259CC"/>
    <w:rsid w:val="0072649E"/>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43C4"/>
    <w:rsid w:val="007F750C"/>
    <w:rsid w:val="00800ABE"/>
    <w:rsid w:val="008010B2"/>
    <w:rsid w:val="00802041"/>
    <w:rsid w:val="00802244"/>
    <w:rsid w:val="00803B7B"/>
    <w:rsid w:val="00813AD7"/>
    <w:rsid w:val="00814941"/>
    <w:rsid w:val="00815698"/>
    <w:rsid w:val="00821505"/>
    <w:rsid w:val="0082316D"/>
    <w:rsid w:val="00824042"/>
    <w:rsid w:val="00824A4B"/>
    <w:rsid w:val="008258AB"/>
    <w:rsid w:val="00827BC7"/>
    <w:rsid w:val="00831CD1"/>
    <w:rsid w:val="00833B9B"/>
    <w:rsid w:val="0083762E"/>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43F3"/>
    <w:rsid w:val="008969DD"/>
    <w:rsid w:val="00897A30"/>
    <w:rsid w:val="008A2D34"/>
    <w:rsid w:val="008A67D3"/>
    <w:rsid w:val="008A7044"/>
    <w:rsid w:val="008B4137"/>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5AF"/>
    <w:rsid w:val="008D7A71"/>
    <w:rsid w:val="008E13AA"/>
    <w:rsid w:val="008E2C2A"/>
    <w:rsid w:val="008E471F"/>
    <w:rsid w:val="008F0F64"/>
    <w:rsid w:val="008F16D6"/>
    <w:rsid w:val="008F3C04"/>
    <w:rsid w:val="008F3C44"/>
    <w:rsid w:val="008F5EF5"/>
    <w:rsid w:val="008F668F"/>
    <w:rsid w:val="008F6781"/>
    <w:rsid w:val="009051F4"/>
    <w:rsid w:val="0092415F"/>
    <w:rsid w:val="009256DD"/>
    <w:rsid w:val="0094122A"/>
    <w:rsid w:val="00946A54"/>
    <w:rsid w:val="00946C72"/>
    <w:rsid w:val="00955325"/>
    <w:rsid w:val="0095624F"/>
    <w:rsid w:val="009571C2"/>
    <w:rsid w:val="00960704"/>
    <w:rsid w:val="00960B17"/>
    <w:rsid w:val="00964622"/>
    <w:rsid w:val="009700C5"/>
    <w:rsid w:val="00971602"/>
    <w:rsid w:val="0097169B"/>
    <w:rsid w:val="0098506C"/>
    <w:rsid w:val="009854D5"/>
    <w:rsid w:val="00992C48"/>
    <w:rsid w:val="00993F35"/>
    <w:rsid w:val="00995CC4"/>
    <w:rsid w:val="0099713F"/>
    <w:rsid w:val="009A0CB1"/>
    <w:rsid w:val="009A67C9"/>
    <w:rsid w:val="009A734A"/>
    <w:rsid w:val="009B3A7B"/>
    <w:rsid w:val="009B6083"/>
    <w:rsid w:val="009D0BB6"/>
    <w:rsid w:val="009D0BD0"/>
    <w:rsid w:val="009D3A41"/>
    <w:rsid w:val="009D5991"/>
    <w:rsid w:val="009D76B9"/>
    <w:rsid w:val="009E1F39"/>
    <w:rsid w:val="009E30CF"/>
    <w:rsid w:val="009E3C1B"/>
    <w:rsid w:val="009E6CA9"/>
    <w:rsid w:val="009E7F8D"/>
    <w:rsid w:val="009F1F17"/>
    <w:rsid w:val="009F5E40"/>
    <w:rsid w:val="00A07E25"/>
    <w:rsid w:val="00A137A5"/>
    <w:rsid w:val="00A14187"/>
    <w:rsid w:val="00A14640"/>
    <w:rsid w:val="00A14720"/>
    <w:rsid w:val="00A16AD3"/>
    <w:rsid w:val="00A16B59"/>
    <w:rsid w:val="00A16E2C"/>
    <w:rsid w:val="00A215AB"/>
    <w:rsid w:val="00A22178"/>
    <w:rsid w:val="00A241B8"/>
    <w:rsid w:val="00A3090A"/>
    <w:rsid w:val="00A503B4"/>
    <w:rsid w:val="00A5392D"/>
    <w:rsid w:val="00A558AE"/>
    <w:rsid w:val="00A564E2"/>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1DE2"/>
    <w:rsid w:val="00AC28C6"/>
    <w:rsid w:val="00AC5B21"/>
    <w:rsid w:val="00AC7042"/>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5EF2"/>
    <w:rsid w:val="00B074F2"/>
    <w:rsid w:val="00B07B19"/>
    <w:rsid w:val="00B1268D"/>
    <w:rsid w:val="00B131E7"/>
    <w:rsid w:val="00B14DA6"/>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E715E"/>
    <w:rsid w:val="00BF0A3E"/>
    <w:rsid w:val="00BF1682"/>
    <w:rsid w:val="00BF3D89"/>
    <w:rsid w:val="00C011E1"/>
    <w:rsid w:val="00C01267"/>
    <w:rsid w:val="00C01362"/>
    <w:rsid w:val="00C04FE3"/>
    <w:rsid w:val="00C15B46"/>
    <w:rsid w:val="00C2107A"/>
    <w:rsid w:val="00C22617"/>
    <w:rsid w:val="00C277DC"/>
    <w:rsid w:val="00C310C5"/>
    <w:rsid w:val="00C3396C"/>
    <w:rsid w:val="00C34368"/>
    <w:rsid w:val="00C356CF"/>
    <w:rsid w:val="00C42220"/>
    <w:rsid w:val="00C46623"/>
    <w:rsid w:val="00C50843"/>
    <w:rsid w:val="00C52F4A"/>
    <w:rsid w:val="00C569D5"/>
    <w:rsid w:val="00C62206"/>
    <w:rsid w:val="00C651A0"/>
    <w:rsid w:val="00C65542"/>
    <w:rsid w:val="00C6779C"/>
    <w:rsid w:val="00C829DC"/>
    <w:rsid w:val="00C86383"/>
    <w:rsid w:val="00C9434B"/>
    <w:rsid w:val="00C96F2B"/>
    <w:rsid w:val="00CA0814"/>
    <w:rsid w:val="00CA0EBE"/>
    <w:rsid w:val="00CA57B6"/>
    <w:rsid w:val="00CB1F79"/>
    <w:rsid w:val="00CB7F76"/>
    <w:rsid w:val="00CC6F24"/>
    <w:rsid w:val="00CD31B5"/>
    <w:rsid w:val="00CD3633"/>
    <w:rsid w:val="00CD48BD"/>
    <w:rsid w:val="00CE032B"/>
    <w:rsid w:val="00CE0964"/>
    <w:rsid w:val="00CE0B9A"/>
    <w:rsid w:val="00CE5869"/>
    <w:rsid w:val="00CE6F13"/>
    <w:rsid w:val="00D05C90"/>
    <w:rsid w:val="00D0709B"/>
    <w:rsid w:val="00D121EC"/>
    <w:rsid w:val="00D1247F"/>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2527"/>
    <w:rsid w:val="00D84BF4"/>
    <w:rsid w:val="00D864D2"/>
    <w:rsid w:val="00D874FB"/>
    <w:rsid w:val="00D90262"/>
    <w:rsid w:val="00D92374"/>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3A9B"/>
    <w:rsid w:val="00DF6555"/>
    <w:rsid w:val="00DF6CD2"/>
    <w:rsid w:val="00E01793"/>
    <w:rsid w:val="00E02D8F"/>
    <w:rsid w:val="00E042C2"/>
    <w:rsid w:val="00E06BA5"/>
    <w:rsid w:val="00E12C4C"/>
    <w:rsid w:val="00E16E23"/>
    <w:rsid w:val="00E24099"/>
    <w:rsid w:val="00E26211"/>
    <w:rsid w:val="00E307E8"/>
    <w:rsid w:val="00E318C7"/>
    <w:rsid w:val="00E33AAA"/>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020D"/>
    <w:rsid w:val="00E926CD"/>
    <w:rsid w:val="00E93BD9"/>
    <w:rsid w:val="00E9426A"/>
    <w:rsid w:val="00E945D4"/>
    <w:rsid w:val="00E95557"/>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16520"/>
    <w:rsid w:val="00F261B9"/>
    <w:rsid w:val="00F3246E"/>
    <w:rsid w:val="00F32B61"/>
    <w:rsid w:val="00F37FAF"/>
    <w:rsid w:val="00F4148E"/>
    <w:rsid w:val="00F42E3E"/>
    <w:rsid w:val="00F43580"/>
    <w:rsid w:val="00F454F1"/>
    <w:rsid w:val="00F45BC9"/>
    <w:rsid w:val="00F466D7"/>
    <w:rsid w:val="00F5324C"/>
    <w:rsid w:val="00F55436"/>
    <w:rsid w:val="00F5634D"/>
    <w:rsid w:val="00F57902"/>
    <w:rsid w:val="00F65C99"/>
    <w:rsid w:val="00F701B3"/>
    <w:rsid w:val="00F779F7"/>
    <w:rsid w:val="00F82F68"/>
    <w:rsid w:val="00F83F05"/>
    <w:rsid w:val="00F86A50"/>
    <w:rsid w:val="00F9446E"/>
    <w:rsid w:val="00F94822"/>
    <w:rsid w:val="00F9485F"/>
    <w:rsid w:val="00F960FE"/>
    <w:rsid w:val="00F9796E"/>
    <w:rsid w:val="00F97CB9"/>
    <w:rsid w:val="00FA278D"/>
    <w:rsid w:val="00FA4ABC"/>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2026-07-30T06:52:45Z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Strukturës së Posaçme Kundër Korrupsionit dhe Krimit të Organizuar për vitin 2025 dhe rekomandimet për vitin 2026</Titulli>
    <Modifikuesi xmlns="0e656187-b300-4fb0-8bf4-3a50f872073c">ermira.bukaci</Modifikuesi>
    <Nr_x002e__x0020_prot_x0020_QBZ xmlns="0e656187-b300-4fb0-8bf4-3a50f872073c">1736/5</Nr_x002e__x0020_prot_x0020_QBZ>
    <Data_x0020_e_x0020_Modifikimit xmlns="0e656187-b300-4fb0-8bf4-3a50f872073c">2026-07-30T08:13:45Z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B1370B0FAD4CEC9FD9A6E342F0F14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AE930-0F53-40BA-BB27-7F3FDE231F42}">
  <ds:schemaRefs>
    <ds:schemaRef ds:uri="http://purl.org/dc/elements/1.1/"/>
    <ds:schemaRef ds:uri="http://schemas.microsoft.com/office/2006/metadata/properties"/>
    <ds:schemaRef ds:uri="0e656187-b300-4fb0-8bf4-3a50f872073c"/>
    <ds:schemaRef ds:uri="http://purl.org/dc/dcmitype/"/>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88691542-F251-4433-8F11-C853EF8D2EA9}">
  <ds:schemaRefs>
    <ds:schemaRef ds:uri="http://schemas.microsoft.com/sharepoint/v3/contenttype/forms"/>
  </ds:schemaRefs>
</ds:datastoreItem>
</file>

<file path=customXml/itemProps3.xml><?xml version="1.0" encoding="utf-8"?>
<ds:datastoreItem xmlns:ds="http://schemas.openxmlformats.org/officeDocument/2006/customXml" ds:itemID="{D307B527-C130-4933-ADCB-D3D2C57FD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016630A-41DB-42D7-9D84-C9F3393C5D5E}">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515</TotalTime>
  <Pages>5</Pages>
  <Words>2856</Words>
  <Characters>16281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Strukturës së Posaçme Kundër Korrupsionit dhe Krimit të Organizuar për vitin 2025 dhe rekomandimet për vitin 2026</dc:title>
  <dc:creator>user</dc:creator>
  <cp:lastModifiedBy>fjora.cahani</cp:lastModifiedBy>
  <cp:revision>235</cp:revision>
  <cp:lastPrinted>2026-07-25T08:03:00Z</cp:lastPrinted>
  <dcterms:created xsi:type="dcterms:W3CDTF">2019-04-04T07:08:00Z</dcterms:created>
  <dcterms:modified xsi:type="dcterms:W3CDTF">2026-07-30T10:41:00Z</dcterms:modified>
</cp:coreProperties>
</file>