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32D91" w14:textId="45B04F62" w:rsidR="00493028" w:rsidRPr="000A641C" w:rsidRDefault="0042060E" w:rsidP="000A641C">
      <w:pPr>
        <w:spacing w:after="0" w:line="240" w:lineRule="auto"/>
        <w:ind w:firstLine="284"/>
        <w:jc w:val="center"/>
        <w:rPr>
          <w:rFonts w:ascii="Garamond" w:eastAsia="Times New Roman" w:hAnsi="Garamond" w:cs="Times New Roman"/>
          <w:b/>
          <w:sz w:val="24"/>
          <w:szCs w:val="24"/>
        </w:rPr>
      </w:pPr>
      <w:r w:rsidRPr="000A641C">
        <w:rPr>
          <w:rFonts w:ascii="Garamond" w:eastAsia="Times New Roman" w:hAnsi="Garamond" w:cs="Times New Roman"/>
          <w:b/>
          <w:sz w:val="24"/>
          <w:szCs w:val="24"/>
        </w:rPr>
        <w:t>REZOLUT</w:t>
      </w:r>
      <w:r w:rsidR="007F1C28" w:rsidRPr="000A641C">
        <w:rPr>
          <w:rFonts w:ascii="Garamond" w:eastAsia="Times New Roman" w:hAnsi="Garamond" w:cs="Times New Roman"/>
          <w:b/>
          <w:sz w:val="24"/>
          <w:szCs w:val="24"/>
        </w:rPr>
        <w:t>Ë</w:t>
      </w:r>
      <w:r w:rsidR="00493028" w:rsidRPr="000A641C">
        <w:rPr>
          <w:rFonts w:ascii="Garamond" w:eastAsia="Times New Roman" w:hAnsi="Garamond" w:cs="Times New Roman"/>
          <w:b/>
          <w:sz w:val="24"/>
          <w:szCs w:val="24"/>
        </w:rPr>
        <w:t xml:space="preserve"> </w:t>
      </w:r>
    </w:p>
    <w:p w14:paraId="18089A2B" w14:textId="77777777" w:rsidR="0042060E" w:rsidRPr="000A641C" w:rsidRDefault="0042060E" w:rsidP="000A641C">
      <w:pPr>
        <w:spacing w:after="0" w:line="240" w:lineRule="auto"/>
        <w:ind w:firstLine="284"/>
        <w:jc w:val="both"/>
        <w:rPr>
          <w:rFonts w:ascii="Garamond" w:eastAsia="Times New Roman" w:hAnsi="Garamond" w:cs="Times New Roman"/>
          <w:b/>
          <w:sz w:val="24"/>
          <w:szCs w:val="24"/>
        </w:rPr>
      </w:pPr>
    </w:p>
    <w:p w14:paraId="191F287B" w14:textId="77777777" w:rsidR="005C77C3" w:rsidRPr="000A641C" w:rsidRDefault="005C77C3" w:rsidP="000A641C">
      <w:pPr>
        <w:spacing w:after="0" w:line="240" w:lineRule="auto"/>
        <w:ind w:firstLine="284"/>
        <w:jc w:val="center"/>
        <w:rPr>
          <w:rFonts w:ascii="Garamond" w:eastAsia="Times New Roman" w:hAnsi="Garamond" w:cs="Times New Roman"/>
          <w:b/>
          <w:sz w:val="24"/>
          <w:szCs w:val="24"/>
        </w:rPr>
      </w:pPr>
      <w:r w:rsidRPr="000A641C">
        <w:rPr>
          <w:rFonts w:ascii="Garamond" w:eastAsia="Times New Roman" w:hAnsi="Garamond" w:cs="Times New Roman"/>
          <w:b/>
          <w:sz w:val="24"/>
          <w:szCs w:val="24"/>
        </w:rPr>
        <w:t>PËR VLERËSIMIN E VEPRIMTARISË SË INSPEKTORIT TË LARTË TË DREJTËSISË PËR VITIN 2025 DHE REKOMANDIMET PËR VITIN 2026</w:t>
      </w:r>
    </w:p>
    <w:p w14:paraId="5B60B0FA"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p>
    <w:p w14:paraId="27724CCD" w14:textId="49FD0B3B" w:rsidR="005C77C3" w:rsidRPr="000A641C" w:rsidRDefault="005C77C3" w:rsidP="000A641C">
      <w:pPr>
        <w:spacing w:after="0" w:line="240" w:lineRule="auto"/>
        <w:ind w:firstLine="284"/>
        <w:jc w:val="both"/>
        <w:rPr>
          <w:rFonts w:ascii="Garamond" w:eastAsia="Times New Roman" w:hAnsi="Garamond" w:cs="Times New Roman"/>
          <w:b/>
          <w:sz w:val="24"/>
          <w:szCs w:val="24"/>
        </w:rPr>
      </w:pPr>
      <w:r w:rsidRPr="000A641C">
        <w:rPr>
          <w:rFonts w:ascii="Garamond" w:eastAsia="Times New Roman" w:hAnsi="Garamond" w:cs="Times New Roman"/>
          <w:b/>
          <w:sz w:val="24"/>
          <w:szCs w:val="24"/>
        </w:rPr>
        <w:t>Kuvendi i Shqipërisë,</w:t>
      </w:r>
    </w:p>
    <w:p w14:paraId="66F9101D" w14:textId="7A7A3438"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Duke vlerësuar rolin kushtetues të Inspektorit të Lartë të Drejtësisë</w:t>
      </w:r>
      <w:r w:rsidR="00373599" w:rsidRPr="000A641C">
        <w:rPr>
          <w:rFonts w:ascii="Garamond" w:eastAsia="Times New Roman" w:hAnsi="Garamond" w:cs="Times New Roman"/>
          <w:bCs/>
          <w:sz w:val="24"/>
          <w:szCs w:val="24"/>
        </w:rPr>
        <w:t>,</w:t>
      </w:r>
      <w:r w:rsidRPr="000A641C">
        <w:rPr>
          <w:rFonts w:ascii="Garamond" w:eastAsia="Times New Roman" w:hAnsi="Garamond" w:cs="Times New Roman"/>
          <w:bCs/>
          <w:sz w:val="24"/>
          <w:szCs w:val="24"/>
        </w:rPr>
        <w:t xml:space="preserve"> si autoriteti shtetëror përgjegjës për verifikimin e ankesave, hetimin e shkeljeve disiplinore dhe fillimin e procedimit disiplinor ndaj gjyqtarëve dhe prokurorëve të </w:t>
      </w:r>
      <w:proofErr w:type="spellStart"/>
      <w:r w:rsidRPr="000A641C">
        <w:rPr>
          <w:rFonts w:ascii="Garamond" w:eastAsia="Times New Roman" w:hAnsi="Garamond" w:cs="Times New Roman"/>
          <w:bCs/>
          <w:sz w:val="24"/>
          <w:szCs w:val="24"/>
        </w:rPr>
        <w:t>të</w:t>
      </w:r>
      <w:proofErr w:type="spellEnd"/>
      <w:r w:rsidRPr="000A641C">
        <w:rPr>
          <w:rFonts w:ascii="Garamond" w:eastAsia="Times New Roman" w:hAnsi="Garamond" w:cs="Times New Roman"/>
          <w:bCs/>
          <w:sz w:val="24"/>
          <w:szCs w:val="24"/>
        </w:rPr>
        <w:t xml:space="preserve"> gjitha niveleve, anëtarëve të Këshillit të Lartë Gjyqësor, anëtarëve të Këshillit të Lartë të Prokurorisë dhe Prokurorit të Përgjithshëm, si dhe për inspektimin institucional të gjykatave dhe zyrave të prokurorisë;</w:t>
      </w:r>
    </w:p>
    <w:p w14:paraId="7BEC18D9"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Duke mbajtur parasysh kontributin e institucionit në konsolidimin e mekanizmave të inspektimit, procedimit disiplinor dhe llogaridhënies në sistemin e drejtësisë, si pjesë e procesit të reformës në drejtësi dhe forcimit të shtetit të së drejtës;</w:t>
      </w:r>
    </w:p>
    <w:p w14:paraId="2B8247C0" w14:textId="0EFD95D3"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Duke nënvizuar rolin e Inspektorit të Lartë të Drejtësisë në hetimin e shkeljeve të dyshuara</w:t>
      </w:r>
      <w:r w:rsidR="004767B0" w:rsidRPr="000A641C">
        <w:rPr>
          <w:rFonts w:ascii="Garamond" w:eastAsia="Times New Roman" w:hAnsi="Garamond" w:cs="Times New Roman"/>
          <w:bCs/>
          <w:sz w:val="24"/>
          <w:szCs w:val="24"/>
        </w:rPr>
        <w:t xml:space="preserve"> </w:t>
      </w:r>
      <w:r w:rsidRPr="000A641C">
        <w:rPr>
          <w:rFonts w:ascii="Garamond" w:eastAsia="Times New Roman" w:hAnsi="Garamond" w:cs="Times New Roman"/>
          <w:bCs/>
          <w:sz w:val="24"/>
          <w:szCs w:val="24"/>
        </w:rPr>
        <w:t xml:space="preserve">nëpërmjet shqyrtimit të ankesave të paraqitura nga personat fizikë ose juridikë, si dhe kryesisht </w:t>
      </w:r>
      <w:r w:rsidR="00C069D4" w:rsidRPr="000A641C">
        <w:rPr>
          <w:rFonts w:ascii="Garamond" w:eastAsia="Times New Roman" w:hAnsi="Garamond" w:cs="Times New Roman"/>
          <w:bCs/>
          <w:color w:val="000000" w:themeColor="text1"/>
          <w:sz w:val="24"/>
          <w:szCs w:val="24"/>
        </w:rPr>
        <w:t>mbi</w:t>
      </w:r>
      <w:r w:rsidR="004767B0" w:rsidRPr="000A641C">
        <w:rPr>
          <w:rFonts w:ascii="Garamond" w:eastAsia="Times New Roman" w:hAnsi="Garamond" w:cs="Times New Roman"/>
          <w:bCs/>
          <w:color w:val="000000" w:themeColor="text1"/>
          <w:sz w:val="24"/>
          <w:szCs w:val="24"/>
        </w:rPr>
        <w:t xml:space="preserve"> </w:t>
      </w:r>
      <w:r w:rsidRPr="000A641C">
        <w:rPr>
          <w:rFonts w:ascii="Garamond" w:eastAsia="Times New Roman" w:hAnsi="Garamond" w:cs="Times New Roman"/>
          <w:bCs/>
          <w:sz w:val="24"/>
          <w:szCs w:val="24"/>
        </w:rPr>
        <w:t>bazën e të dhënave publike dhe atyre të siguruara gjatë inspektimeve institucionale dhe tematike;</w:t>
      </w:r>
    </w:p>
    <w:p w14:paraId="40076199"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Duke vlerësuar progresin e institucionit në zhvillimin e kapaciteteve monitoruese, analitike, statistikore dhe teknologjike, si dhe në forcimin e transparencës, komunikimit institucional dhe orientimin e veprimtarisë drejt identifikimit të problematikave </w:t>
      </w:r>
      <w:proofErr w:type="spellStart"/>
      <w:r w:rsidRPr="000A641C">
        <w:rPr>
          <w:rFonts w:ascii="Garamond" w:eastAsia="Times New Roman" w:hAnsi="Garamond" w:cs="Times New Roman"/>
          <w:bCs/>
          <w:sz w:val="24"/>
          <w:szCs w:val="24"/>
        </w:rPr>
        <w:t>sistemike</w:t>
      </w:r>
      <w:proofErr w:type="spellEnd"/>
      <w:r w:rsidRPr="000A641C">
        <w:rPr>
          <w:rFonts w:ascii="Garamond" w:eastAsia="Times New Roman" w:hAnsi="Garamond" w:cs="Times New Roman"/>
          <w:bCs/>
          <w:sz w:val="24"/>
          <w:szCs w:val="24"/>
        </w:rPr>
        <w:t xml:space="preserve"> dhe analizës së riskut;</w:t>
      </w:r>
    </w:p>
    <w:p w14:paraId="7638040B" w14:textId="0AB78E6E"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Duke çmuar rëndësinë e bashkëpunimit të Inspektorit të Lartë të Drejtësisë me Këshillin e Lartë Gjyqësor, Këshillin e Lartë të Prokurorisë, Prokurorin e Përgjithshëm, Ministrinë e Drejtësisë dhe institucionet e tjera relevante në funksion të koordinimit institucional, shkëmbimit të informacionit dhe përmbushjes së detyrave funksionale;</w:t>
      </w:r>
    </w:p>
    <w:p w14:paraId="5E00158D" w14:textId="14F7CB40"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Duke vlerësuar kontributin e institucionit në përmbushjen e standardeve të sundimit të ligjit, forcimin e përgjegjshmërisë institucionale dhe avancimin e prioriteteve të procesit të integrimit evro</w:t>
      </w:r>
      <w:r w:rsidR="007D540C">
        <w:rPr>
          <w:rFonts w:ascii="Garamond" w:eastAsia="Times New Roman" w:hAnsi="Garamond" w:cs="Times New Roman"/>
          <w:bCs/>
          <w:sz w:val="24"/>
          <w:szCs w:val="24"/>
        </w:rPr>
        <w:t>pian,</w:t>
      </w:r>
    </w:p>
    <w:p w14:paraId="0D430092" w14:textId="63491D34" w:rsidR="005C77C3" w:rsidRPr="000A641C" w:rsidRDefault="005C77C3" w:rsidP="000A641C">
      <w:pPr>
        <w:spacing w:after="0" w:line="240" w:lineRule="auto"/>
        <w:ind w:firstLine="284"/>
        <w:jc w:val="both"/>
        <w:rPr>
          <w:rFonts w:ascii="Garamond" w:eastAsia="Times New Roman" w:hAnsi="Garamond" w:cs="Times New Roman"/>
          <w:b/>
          <w:sz w:val="24"/>
          <w:szCs w:val="24"/>
        </w:rPr>
      </w:pPr>
      <w:r w:rsidRPr="000A641C">
        <w:rPr>
          <w:rFonts w:ascii="Garamond" w:eastAsia="Times New Roman" w:hAnsi="Garamond" w:cs="Times New Roman"/>
          <w:b/>
          <w:sz w:val="24"/>
          <w:szCs w:val="24"/>
        </w:rPr>
        <w:t>Vlerëson veprimtarinë e Zyrës së Inspektorit të Lartë të Drejtësisë gjatë vitit 2025</w:t>
      </w:r>
      <w:r w:rsidR="007D540C">
        <w:rPr>
          <w:rFonts w:ascii="Garamond" w:eastAsia="Times New Roman" w:hAnsi="Garamond" w:cs="Times New Roman"/>
          <w:b/>
          <w:sz w:val="24"/>
          <w:szCs w:val="24"/>
        </w:rPr>
        <w:t>,</w:t>
      </w:r>
      <w:r w:rsidRPr="000A641C">
        <w:rPr>
          <w:rFonts w:ascii="Garamond" w:eastAsia="Times New Roman" w:hAnsi="Garamond" w:cs="Times New Roman"/>
          <w:b/>
          <w:sz w:val="24"/>
          <w:szCs w:val="24"/>
        </w:rPr>
        <w:t xml:space="preserve"> në këto drejtime:</w:t>
      </w:r>
    </w:p>
    <w:p w14:paraId="5E7993EA" w14:textId="4EF8F1DB"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Trajtimin e 1792 ankesave të reja, 1480 ankesave të mbartura, 3272 ankesave objekt shqyrtimi, 1635 ankesave të trajtuara dhe </w:t>
      </w:r>
      <w:r w:rsidRPr="000A641C">
        <w:rPr>
          <w:rFonts w:ascii="Garamond" w:eastAsia="Times New Roman" w:hAnsi="Garamond" w:cs="Times New Roman"/>
          <w:bCs/>
          <w:color w:val="000000" w:themeColor="text1"/>
          <w:sz w:val="24"/>
          <w:szCs w:val="24"/>
        </w:rPr>
        <w:t xml:space="preserve">1637 </w:t>
      </w:r>
      <w:r w:rsidR="007D1B28" w:rsidRPr="000A641C">
        <w:rPr>
          <w:rFonts w:ascii="Garamond" w:eastAsia="Times New Roman" w:hAnsi="Garamond" w:cs="Times New Roman"/>
          <w:bCs/>
          <w:color w:val="000000" w:themeColor="text1"/>
          <w:sz w:val="24"/>
          <w:szCs w:val="24"/>
        </w:rPr>
        <w:t xml:space="preserve">ankesave </w:t>
      </w:r>
      <w:r w:rsidRPr="000A641C">
        <w:rPr>
          <w:rFonts w:ascii="Garamond" w:eastAsia="Times New Roman" w:hAnsi="Garamond" w:cs="Times New Roman"/>
          <w:bCs/>
          <w:color w:val="000000" w:themeColor="text1"/>
          <w:sz w:val="24"/>
          <w:szCs w:val="24"/>
        </w:rPr>
        <w:t xml:space="preserve">të mbartura për vitin 2026; si dhe dhënien e 12 vendimeve për fillimin e hetimit ndaj 13 magjistratëve, 23 hetime të përfunduara ndaj 25 magjistratëve, 8 kërkesa për procedim disiplinor, 7 inspektime tematike dhe </w:t>
      </w:r>
      <w:r w:rsidR="007D540C">
        <w:rPr>
          <w:rFonts w:ascii="Garamond" w:eastAsia="Times New Roman" w:hAnsi="Garamond" w:cs="Times New Roman"/>
          <w:bCs/>
          <w:sz w:val="24"/>
          <w:szCs w:val="24"/>
        </w:rPr>
        <w:t>75 rekomandime.</w:t>
      </w:r>
    </w:p>
    <w:p w14:paraId="792C5EA8"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Konsolidimin gradual të funksioneve kushtetuese dhe institucionale të Inspektorit të Lartë të Drejtësisë, duke forcuar komponentin monitorues, diagnostikues dhe analitik të veprimtarisë së institucionit, në funksion të rritjes së standardeve të përgjegjshmërisë dhe besimit publik në sistemin e drejtësisë.</w:t>
      </w:r>
    </w:p>
    <w:p w14:paraId="36384D64"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Rritjen e aktivitetit institucional dhe volumit të punës, duke evidentuar njëkohësisht çështjet e prapambetura dhe kohëzgjatjen e trajtimit të ankesave si sfida kryesore.</w:t>
      </w:r>
    </w:p>
    <w:p w14:paraId="28FDC0A2"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Orientimin e veprimtarisë së institucionit drejt një qasjeje më strategjike, të bazuar në analizën e riskut, monitorimin e </w:t>
      </w:r>
      <w:proofErr w:type="spellStart"/>
      <w:r w:rsidRPr="000A641C">
        <w:rPr>
          <w:rFonts w:ascii="Garamond" w:eastAsia="Times New Roman" w:hAnsi="Garamond" w:cs="Times New Roman"/>
          <w:bCs/>
          <w:sz w:val="24"/>
          <w:szCs w:val="24"/>
        </w:rPr>
        <w:t>performancës</w:t>
      </w:r>
      <w:proofErr w:type="spellEnd"/>
      <w:r w:rsidRPr="000A641C">
        <w:rPr>
          <w:rFonts w:ascii="Garamond" w:eastAsia="Times New Roman" w:hAnsi="Garamond" w:cs="Times New Roman"/>
          <w:bCs/>
          <w:sz w:val="24"/>
          <w:szCs w:val="24"/>
        </w:rPr>
        <w:t xml:space="preserve"> dhe evidentimin e problematikave </w:t>
      </w:r>
      <w:proofErr w:type="spellStart"/>
      <w:r w:rsidRPr="000A641C">
        <w:rPr>
          <w:rFonts w:ascii="Garamond" w:eastAsia="Times New Roman" w:hAnsi="Garamond" w:cs="Times New Roman"/>
          <w:bCs/>
          <w:sz w:val="24"/>
          <w:szCs w:val="24"/>
        </w:rPr>
        <w:t>sistemike</w:t>
      </w:r>
      <w:proofErr w:type="spellEnd"/>
      <w:r w:rsidRPr="000A641C">
        <w:rPr>
          <w:rFonts w:ascii="Garamond" w:eastAsia="Times New Roman" w:hAnsi="Garamond" w:cs="Times New Roman"/>
          <w:bCs/>
          <w:sz w:val="24"/>
          <w:szCs w:val="24"/>
        </w:rPr>
        <w:t>, duke kontribuar në rritjen e efektivitetit institucional dhe përmirësimin e mekanizmave të mbikëqyrjes dhe llogaridhënies.</w:t>
      </w:r>
    </w:p>
    <w:p w14:paraId="29D3CF62"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Përpjekjet për forcimin e mekanizmave të monitorimit të </w:t>
      </w:r>
      <w:proofErr w:type="spellStart"/>
      <w:r w:rsidRPr="000A641C">
        <w:rPr>
          <w:rFonts w:ascii="Garamond" w:eastAsia="Times New Roman" w:hAnsi="Garamond" w:cs="Times New Roman"/>
          <w:bCs/>
          <w:sz w:val="24"/>
          <w:szCs w:val="24"/>
        </w:rPr>
        <w:t>performancës</w:t>
      </w:r>
      <w:proofErr w:type="spellEnd"/>
      <w:r w:rsidRPr="000A641C">
        <w:rPr>
          <w:rFonts w:ascii="Garamond" w:eastAsia="Times New Roman" w:hAnsi="Garamond" w:cs="Times New Roman"/>
          <w:bCs/>
          <w:sz w:val="24"/>
          <w:szCs w:val="24"/>
        </w:rPr>
        <w:t xml:space="preserve"> institucionale dhe vlerësimit të efektivitetit të rekomandimeve dhe masave të ndërmarra, me synim garantimin e rezultateve të qëndrueshme dhe të matshme në funksionimin e sistemit të drejtësisë.</w:t>
      </w:r>
    </w:p>
    <w:p w14:paraId="3DC7B5D9" w14:textId="26141A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Zhvillimin e kapaciteteve njerëzore, administrative, teknologjike dhe analitike të institucionit, si një parakusht për ushtrimin efektiv dhe në kohë të funksioneve kushtetuese dhe ligjore të tij</w:t>
      </w:r>
      <w:r w:rsidR="001F7D20" w:rsidRPr="000A641C">
        <w:rPr>
          <w:rFonts w:ascii="Garamond" w:eastAsia="Times New Roman" w:hAnsi="Garamond" w:cs="Times New Roman"/>
          <w:bCs/>
          <w:sz w:val="24"/>
          <w:szCs w:val="24"/>
        </w:rPr>
        <w:t>,</w:t>
      </w:r>
      <w:r w:rsidRPr="000A641C">
        <w:rPr>
          <w:rFonts w:ascii="Garamond" w:eastAsia="Times New Roman" w:hAnsi="Garamond" w:cs="Times New Roman"/>
          <w:bCs/>
          <w:sz w:val="24"/>
          <w:szCs w:val="24"/>
        </w:rPr>
        <w:t xml:space="preserve"> veçanërisht lidhur me sfidën strukturore të plotësimit të </w:t>
      </w:r>
      <w:proofErr w:type="spellStart"/>
      <w:r w:rsidRPr="000A641C">
        <w:rPr>
          <w:rFonts w:ascii="Garamond" w:eastAsia="Times New Roman" w:hAnsi="Garamond" w:cs="Times New Roman"/>
          <w:bCs/>
          <w:sz w:val="24"/>
          <w:szCs w:val="24"/>
        </w:rPr>
        <w:t>vakancave</w:t>
      </w:r>
      <w:proofErr w:type="spellEnd"/>
      <w:r w:rsidRPr="000A641C">
        <w:rPr>
          <w:rFonts w:ascii="Garamond" w:eastAsia="Times New Roman" w:hAnsi="Garamond" w:cs="Times New Roman"/>
          <w:bCs/>
          <w:sz w:val="24"/>
          <w:szCs w:val="24"/>
        </w:rPr>
        <w:t xml:space="preserve"> dhe ndikimit n</w:t>
      </w:r>
      <w:r w:rsidR="007D540C">
        <w:rPr>
          <w:rFonts w:ascii="Garamond" w:eastAsia="Times New Roman" w:hAnsi="Garamond" w:cs="Times New Roman"/>
          <w:bCs/>
          <w:sz w:val="24"/>
          <w:szCs w:val="24"/>
        </w:rPr>
        <w:t>ë veprimtarinë e institucionit.</w:t>
      </w:r>
    </w:p>
    <w:p w14:paraId="3198181B"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Forcimin e mekanizmave të transparencës, raportimit institucional dhe komunikimit me publikun, duke kontribuar në rritjen e besimit të qytetarëve</w:t>
      </w:r>
      <w:bookmarkStart w:id="0" w:name="_GoBack"/>
      <w:r w:rsidRPr="000A641C">
        <w:rPr>
          <w:rFonts w:ascii="Garamond" w:eastAsia="Times New Roman" w:hAnsi="Garamond" w:cs="Times New Roman"/>
          <w:bCs/>
          <w:sz w:val="24"/>
          <w:szCs w:val="24"/>
        </w:rPr>
        <w:t xml:space="preserve"> te </w:t>
      </w:r>
      <w:bookmarkEnd w:id="0"/>
      <w:r w:rsidRPr="000A641C">
        <w:rPr>
          <w:rFonts w:ascii="Garamond" w:eastAsia="Times New Roman" w:hAnsi="Garamond" w:cs="Times New Roman"/>
          <w:bCs/>
          <w:sz w:val="24"/>
          <w:szCs w:val="24"/>
        </w:rPr>
        <w:t>mekanizmat e përgjegjshmërisë dhe integritetit në sistemin e drejtësisë.</w:t>
      </w:r>
    </w:p>
    <w:p w14:paraId="32E18838"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Zhvillimin e instrumenteve të matjes së </w:t>
      </w:r>
      <w:proofErr w:type="spellStart"/>
      <w:r w:rsidRPr="000A641C">
        <w:rPr>
          <w:rFonts w:ascii="Garamond" w:eastAsia="Times New Roman" w:hAnsi="Garamond" w:cs="Times New Roman"/>
          <w:bCs/>
          <w:sz w:val="24"/>
          <w:szCs w:val="24"/>
        </w:rPr>
        <w:t>impaktit</w:t>
      </w:r>
      <w:proofErr w:type="spellEnd"/>
      <w:r w:rsidRPr="000A641C">
        <w:rPr>
          <w:rFonts w:ascii="Garamond" w:eastAsia="Times New Roman" w:hAnsi="Garamond" w:cs="Times New Roman"/>
          <w:bCs/>
          <w:sz w:val="24"/>
          <w:szCs w:val="24"/>
        </w:rPr>
        <w:t xml:space="preserve"> institucional të rekomandimeve dhe masave disiplinore, monitorimit të </w:t>
      </w:r>
      <w:proofErr w:type="spellStart"/>
      <w:r w:rsidRPr="000A641C">
        <w:rPr>
          <w:rFonts w:ascii="Garamond" w:eastAsia="Times New Roman" w:hAnsi="Garamond" w:cs="Times New Roman"/>
          <w:bCs/>
          <w:sz w:val="24"/>
          <w:szCs w:val="24"/>
        </w:rPr>
        <w:t>performancës</w:t>
      </w:r>
      <w:proofErr w:type="spellEnd"/>
      <w:r w:rsidRPr="000A641C">
        <w:rPr>
          <w:rFonts w:ascii="Garamond" w:eastAsia="Times New Roman" w:hAnsi="Garamond" w:cs="Times New Roman"/>
          <w:bCs/>
          <w:sz w:val="24"/>
          <w:szCs w:val="24"/>
        </w:rPr>
        <w:t xml:space="preserve">, analizës statistikore, </w:t>
      </w:r>
      <w:proofErr w:type="spellStart"/>
      <w:r w:rsidRPr="000A641C">
        <w:rPr>
          <w:rFonts w:ascii="Garamond" w:eastAsia="Times New Roman" w:hAnsi="Garamond" w:cs="Times New Roman"/>
          <w:bCs/>
          <w:sz w:val="24"/>
          <w:szCs w:val="24"/>
        </w:rPr>
        <w:t>gjurmueshmërisë</w:t>
      </w:r>
      <w:proofErr w:type="spellEnd"/>
      <w:r w:rsidRPr="000A641C">
        <w:rPr>
          <w:rFonts w:ascii="Garamond" w:eastAsia="Times New Roman" w:hAnsi="Garamond" w:cs="Times New Roman"/>
          <w:bCs/>
          <w:sz w:val="24"/>
          <w:szCs w:val="24"/>
        </w:rPr>
        <w:t xml:space="preserve"> së rekomandimeve, </w:t>
      </w:r>
      <w:r w:rsidRPr="000A641C">
        <w:rPr>
          <w:rFonts w:ascii="Garamond" w:eastAsia="Times New Roman" w:hAnsi="Garamond" w:cs="Times New Roman"/>
          <w:bCs/>
          <w:sz w:val="24"/>
          <w:szCs w:val="24"/>
        </w:rPr>
        <w:lastRenderedPageBreak/>
        <w:t>analizës së riskut, administrimit elektronik të proceseve institucionale dhe bashkëpunimit ndërinstitucional.</w:t>
      </w:r>
    </w:p>
    <w:p w14:paraId="11339FF8"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Kontributin e institucionit në konsolidimin e reformës në drejtësi, forcimin e mekanizmave të përgjegjshmërisë dhe avancimin e standardeve të sundimit të ligjit, në përputhje me interesin publik dhe prioritetet e procesit të integrimit evropian.</w:t>
      </w:r>
    </w:p>
    <w:p w14:paraId="204F65DA" w14:textId="64710932" w:rsidR="005C77C3" w:rsidRPr="000A641C" w:rsidRDefault="005C77C3" w:rsidP="000A641C">
      <w:pPr>
        <w:spacing w:after="0" w:line="240" w:lineRule="auto"/>
        <w:ind w:firstLine="284"/>
        <w:jc w:val="both"/>
        <w:rPr>
          <w:rFonts w:ascii="Garamond" w:eastAsia="Times New Roman" w:hAnsi="Garamond" w:cs="Times New Roman"/>
          <w:b/>
          <w:sz w:val="24"/>
          <w:szCs w:val="24"/>
        </w:rPr>
      </w:pPr>
      <w:r w:rsidRPr="000A641C">
        <w:rPr>
          <w:rFonts w:ascii="Garamond" w:eastAsia="Times New Roman" w:hAnsi="Garamond" w:cs="Times New Roman"/>
          <w:b/>
          <w:sz w:val="24"/>
          <w:szCs w:val="24"/>
        </w:rPr>
        <w:t xml:space="preserve">Kuvendi i Shqipërisë </w:t>
      </w:r>
      <w:r w:rsidR="00470017" w:rsidRPr="000A641C">
        <w:rPr>
          <w:rFonts w:ascii="Garamond" w:eastAsia="Times New Roman" w:hAnsi="Garamond" w:cs="Times New Roman"/>
          <w:b/>
          <w:sz w:val="24"/>
          <w:szCs w:val="24"/>
        </w:rPr>
        <w:t>rekomandon</w:t>
      </w:r>
      <w:r w:rsidRPr="000A641C">
        <w:rPr>
          <w:rFonts w:ascii="Garamond" w:eastAsia="Times New Roman" w:hAnsi="Garamond" w:cs="Times New Roman"/>
          <w:b/>
          <w:sz w:val="24"/>
          <w:szCs w:val="24"/>
        </w:rPr>
        <w:t xml:space="preserve"> që Inspektori i Lartë i Drejtësisë për vitin 2026</w:t>
      </w:r>
      <w:r w:rsidR="007D540C">
        <w:rPr>
          <w:rFonts w:ascii="Garamond" w:eastAsia="Times New Roman" w:hAnsi="Garamond" w:cs="Times New Roman"/>
          <w:b/>
          <w:sz w:val="24"/>
          <w:szCs w:val="24"/>
        </w:rPr>
        <w:t>,</w:t>
      </w:r>
      <w:r w:rsidRPr="000A641C">
        <w:rPr>
          <w:rFonts w:ascii="Garamond" w:eastAsia="Times New Roman" w:hAnsi="Garamond" w:cs="Times New Roman"/>
          <w:b/>
          <w:sz w:val="24"/>
          <w:szCs w:val="24"/>
        </w:rPr>
        <w:t xml:space="preserve"> të angazhohet veçanërisht edhe në këto drejtime:</w:t>
      </w:r>
    </w:p>
    <w:p w14:paraId="12961072" w14:textId="1A26F346"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1. Të vijojë zhvillimin e kapaciteteve institucionale, administrative, teknike dhe njerëzore, në funksion të ushtrimit efektiv, cilësor dhe në kohë të kompetencave kushtetues</w:t>
      </w:r>
      <w:r w:rsidR="007D540C">
        <w:rPr>
          <w:rFonts w:ascii="Garamond" w:eastAsia="Times New Roman" w:hAnsi="Garamond" w:cs="Times New Roman"/>
          <w:bCs/>
          <w:sz w:val="24"/>
          <w:szCs w:val="24"/>
        </w:rPr>
        <w:t>e dhe ligjore të institucionit.</w:t>
      </w:r>
    </w:p>
    <w:p w14:paraId="2201A149" w14:textId="43E1D1C3"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2. Të zhvillojë më tej sistemin e matjes së </w:t>
      </w:r>
      <w:proofErr w:type="spellStart"/>
      <w:r w:rsidRPr="000A641C">
        <w:rPr>
          <w:rFonts w:ascii="Garamond" w:eastAsia="Times New Roman" w:hAnsi="Garamond" w:cs="Times New Roman"/>
          <w:bCs/>
          <w:sz w:val="24"/>
          <w:szCs w:val="24"/>
        </w:rPr>
        <w:t>performancës</w:t>
      </w:r>
      <w:proofErr w:type="spellEnd"/>
      <w:r w:rsidRPr="000A641C">
        <w:rPr>
          <w:rFonts w:ascii="Garamond" w:eastAsia="Times New Roman" w:hAnsi="Garamond" w:cs="Times New Roman"/>
          <w:bCs/>
          <w:sz w:val="24"/>
          <w:szCs w:val="24"/>
        </w:rPr>
        <w:t xml:space="preserve"> institucionale nëpërmjet përcaktimit dhe publikimit të treguesve objektivë të </w:t>
      </w:r>
      <w:proofErr w:type="spellStart"/>
      <w:r w:rsidRPr="000A641C">
        <w:rPr>
          <w:rFonts w:ascii="Garamond" w:eastAsia="Times New Roman" w:hAnsi="Garamond" w:cs="Times New Roman"/>
          <w:bCs/>
          <w:sz w:val="24"/>
          <w:szCs w:val="24"/>
        </w:rPr>
        <w:t>performancës</w:t>
      </w:r>
      <w:proofErr w:type="spellEnd"/>
      <w:r w:rsidRPr="000A641C">
        <w:rPr>
          <w:rFonts w:ascii="Garamond" w:eastAsia="Times New Roman" w:hAnsi="Garamond" w:cs="Times New Roman"/>
          <w:bCs/>
          <w:sz w:val="24"/>
          <w:szCs w:val="24"/>
        </w:rPr>
        <w:t>, përfshirë kohën mesatare të shqyrtimit të ankesave, normën e përfundimit të procedimeve, nivelin e reduktimit të stokut të çështjeve të trashëguara dhe efektivitetin e rekom</w:t>
      </w:r>
      <w:r w:rsidR="007D540C">
        <w:rPr>
          <w:rFonts w:ascii="Garamond" w:eastAsia="Times New Roman" w:hAnsi="Garamond" w:cs="Times New Roman"/>
          <w:bCs/>
          <w:sz w:val="24"/>
          <w:szCs w:val="24"/>
        </w:rPr>
        <w:t>andimeve e masave të ndërmarra.</w:t>
      </w:r>
    </w:p>
    <w:p w14:paraId="33952604" w14:textId="30D0EDD5"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3. Të konsolidojë metodologjitë e inspektimit</w:t>
      </w:r>
      <w:r w:rsidR="00206561" w:rsidRPr="000A641C">
        <w:rPr>
          <w:rFonts w:ascii="Garamond" w:eastAsia="Times New Roman" w:hAnsi="Garamond" w:cs="Times New Roman"/>
          <w:bCs/>
          <w:sz w:val="24"/>
          <w:szCs w:val="24"/>
        </w:rPr>
        <w:t>,</w:t>
      </w:r>
      <w:r w:rsidRPr="000A641C">
        <w:rPr>
          <w:rFonts w:ascii="Garamond" w:eastAsia="Times New Roman" w:hAnsi="Garamond" w:cs="Times New Roman"/>
          <w:bCs/>
          <w:sz w:val="24"/>
          <w:szCs w:val="24"/>
        </w:rPr>
        <w:t xml:space="preserve"> të bazuara në analizën e riskut dhe </w:t>
      </w:r>
      <w:proofErr w:type="spellStart"/>
      <w:r w:rsidRPr="000A641C">
        <w:rPr>
          <w:rFonts w:ascii="Garamond" w:eastAsia="Times New Roman" w:hAnsi="Garamond" w:cs="Times New Roman"/>
          <w:bCs/>
          <w:sz w:val="24"/>
          <w:szCs w:val="24"/>
        </w:rPr>
        <w:t>prioritizimin</w:t>
      </w:r>
      <w:proofErr w:type="spellEnd"/>
      <w:r w:rsidRPr="000A641C">
        <w:rPr>
          <w:rFonts w:ascii="Garamond" w:eastAsia="Times New Roman" w:hAnsi="Garamond" w:cs="Times New Roman"/>
          <w:bCs/>
          <w:sz w:val="24"/>
          <w:szCs w:val="24"/>
        </w:rPr>
        <w:t xml:space="preserve"> institucional, me synim identifikimin e hershëm të problematikave </w:t>
      </w:r>
      <w:proofErr w:type="spellStart"/>
      <w:r w:rsidRPr="000A641C">
        <w:rPr>
          <w:rFonts w:ascii="Garamond" w:eastAsia="Times New Roman" w:hAnsi="Garamond" w:cs="Times New Roman"/>
          <w:bCs/>
          <w:sz w:val="24"/>
          <w:szCs w:val="24"/>
        </w:rPr>
        <w:t>sistemike</w:t>
      </w:r>
      <w:proofErr w:type="spellEnd"/>
      <w:r w:rsidRPr="000A641C">
        <w:rPr>
          <w:rFonts w:ascii="Garamond" w:eastAsia="Times New Roman" w:hAnsi="Garamond" w:cs="Times New Roman"/>
          <w:bCs/>
          <w:sz w:val="24"/>
          <w:szCs w:val="24"/>
        </w:rPr>
        <w:t>, përmirësimin e cilësisë së mbikëqyrjes dhe rritjen e efektivite</w:t>
      </w:r>
      <w:r w:rsidR="007D540C">
        <w:rPr>
          <w:rFonts w:ascii="Garamond" w:eastAsia="Times New Roman" w:hAnsi="Garamond" w:cs="Times New Roman"/>
          <w:bCs/>
          <w:sz w:val="24"/>
          <w:szCs w:val="24"/>
        </w:rPr>
        <w:t>tit të procedimeve disiplinore.</w:t>
      </w:r>
    </w:p>
    <w:p w14:paraId="7BE03FA4"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4. Të vijojë zhvillimin dhe funksionalizimin e sistemeve elektronike të administrimit të ankesave dhe proceseve institucionale, duke mundësuar </w:t>
      </w:r>
      <w:proofErr w:type="spellStart"/>
      <w:r w:rsidRPr="000A641C">
        <w:rPr>
          <w:rFonts w:ascii="Garamond" w:eastAsia="Times New Roman" w:hAnsi="Garamond" w:cs="Times New Roman"/>
          <w:bCs/>
          <w:sz w:val="24"/>
          <w:szCs w:val="24"/>
        </w:rPr>
        <w:t>gjurmueshmërinë</w:t>
      </w:r>
      <w:proofErr w:type="spellEnd"/>
      <w:r w:rsidRPr="000A641C">
        <w:rPr>
          <w:rFonts w:ascii="Garamond" w:eastAsia="Times New Roman" w:hAnsi="Garamond" w:cs="Times New Roman"/>
          <w:bCs/>
          <w:sz w:val="24"/>
          <w:szCs w:val="24"/>
        </w:rPr>
        <w:t xml:space="preserve"> në kohë reale të procedimeve dhe rritjen e ndërveprimit elektronik me institucionet e sistemit të drejtësisë, në funksion të rritjes së efikasitetit, transparencës dhe sigurisë juridike.</w:t>
      </w:r>
    </w:p>
    <w:p w14:paraId="64F66EC3" w14:textId="119193EA"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5. Të forcojë kapacitetet analitike dhe statistikore të institucionit, si dhe të publikojë periodikisht raporte analitike </w:t>
      </w:r>
      <w:r w:rsidR="00043F8D" w:rsidRPr="000A641C">
        <w:rPr>
          <w:rFonts w:ascii="Garamond" w:eastAsia="Times New Roman" w:hAnsi="Garamond" w:cs="Times New Roman"/>
          <w:bCs/>
          <w:sz w:val="24"/>
          <w:szCs w:val="24"/>
        </w:rPr>
        <w:t>për</w:t>
      </w:r>
      <w:r w:rsidRPr="000A641C">
        <w:rPr>
          <w:rFonts w:ascii="Garamond" w:eastAsia="Times New Roman" w:hAnsi="Garamond" w:cs="Times New Roman"/>
          <w:bCs/>
          <w:sz w:val="24"/>
          <w:szCs w:val="24"/>
        </w:rPr>
        <w:t xml:space="preserve"> </w:t>
      </w:r>
      <w:proofErr w:type="spellStart"/>
      <w:r w:rsidRPr="000A641C">
        <w:rPr>
          <w:rFonts w:ascii="Garamond" w:eastAsia="Times New Roman" w:hAnsi="Garamond" w:cs="Times New Roman"/>
          <w:bCs/>
          <w:sz w:val="24"/>
          <w:szCs w:val="24"/>
        </w:rPr>
        <w:t>trendet</w:t>
      </w:r>
      <w:proofErr w:type="spellEnd"/>
      <w:r w:rsidRPr="000A641C">
        <w:rPr>
          <w:rFonts w:ascii="Garamond" w:eastAsia="Times New Roman" w:hAnsi="Garamond" w:cs="Times New Roman"/>
          <w:bCs/>
          <w:sz w:val="24"/>
          <w:szCs w:val="24"/>
        </w:rPr>
        <w:t xml:space="preserve"> e ankesave, problematikat me karakter </w:t>
      </w:r>
      <w:proofErr w:type="spellStart"/>
      <w:r w:rsidRPr="000A641C">
        <w:rPr>
          <w:rFonts w:ascii="Garamond" w:eastAsia="Times New Roman" w:hAnsi="Garamond" w:cs="Times New Roman"/>
          <w:bCs/>
          <w:sz w:val="24"/>
          <w:szCs w:val="24"/>
        </w:rPr>
        <w:t>sistemik</w:t>
      </w:r>
      <w:proofErr w:type="spellEnd"/>
      <w:r w:rsidRPr="000A641C">
        <w:rPr>
          <w:rFonts w:ascii="Garamond" w:eastAsia="Times New Roman" w:hAnsi="Garamond" w:cs="Times New Roman"/>
          <w:bCs/>
          <w:sz w:val="24"/>
          <w:szCs w:val="24"/>
        </w:rPr>
        <w:t>, praktikën disiplinore dhe ndikimin e masave të ndërmarra</w:t>
      </w:r>
      <w:r w:rsidR="00500B5A" w:rsidRPr="000A641C">
        <w:rPr>
          <w:rFonts w:ascii="Garamond" w:eastAsia="Times New Roman" w:hAnsi="Garamond" w:cs="Times New Roman"/>
          <w:bCs/>
          <w:sz w:val="24"/>
          <w:szCs w:val="24"/>
        </w:rPr>
        <w:t>,</w:t>
      </w:r>
      <w:r w:rsidRPr="000A641C">
        <w:rPr>
          <w:rFonts w:ascii="Garamond" w:eastAsia="Times New Roman" w:hAnsi="Garamond" w:cs="Times New Roman"/>
          <w:bCs/>
          <w:sz w:val="24"/>
          <w:szCs w:val="24"/>
        </w:rPr>
        <w:t xml:space="preserve"> me qëllim mbështetjen e funksionit parandalues dhe promovimin e një praktike të qëndrueshme.</w:t>
      </w:r>
    </w:p>
    <w:p w14:paraId="5D04162A" w14:textId="6AA4CB01"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6. Të vijojë forcimin e bashkëpunimit ndërinstitucional me Këshillin e Lartë Gjyqësor, Këshillin e Lartë të Prokurorisë, Prokurorinë e Përgjithshme, Shkollën e Magjistraturës dhe institucionet e tjera relevante, në funksion të identifikimit të problematikave </w:t>
      </w:r>
      <w:proofErr w:type="spellStart"/>
      <w:r w:rsidRPr="000A641C">
        <w:rPr>
          <w:rFonts w:ascii="Garamond" w:eastAsia="Times New Roman" w:hAnsi="Garamond" w:cs="Times New Roman"/>
          <w:bCs/>
          <w:sz w:val="24"/>
          <w:szCs w:val="24"/>
        </w:rPr>
        <w:t>sistemike</w:t>
      </w:r>
      <w:proofErr w:type="spellEnd"/>
      <w:r w:rsidRPr="000A641C">
        <w:rPr>
          <w:rFonts w:ascii="Garamond" w:eastAsia="Times New Roman" w:hAnsi="Garamond" w:cs="Times New Roman"/>
          <w:bCs/>
          <w:sz w:val="24"/>
          <w:szCs w:val="24"/>
        </w:rPr>
        <w:t>, shkëmbimit të praktikave më të mira dhe koordinimit të masave parandaluese. Gjithashtu</w:t>
      </w:r>
      <w:r w:rsidR="00500B5A" w:rsidRPr="000A641C">
        <w:rPr>
          <w:rFonts w:ascii="Garamond" w:eastAsia="Times New Roman" w:hAnsi="Garamond" w:cs="Times New Roman"/>
          <w:bCs/>
          <w:sz w:val="24"/>
          <w:szCs w:val="24"/>
        </w:rPr>
        <w:t>,</w:t>
      </w:r>
      <w:r w:rsidRPr="000A641C">
        <w:rPr>
          <w:rFonts w:ascii="Garamond" w:eastAsia="Times New Roman" w:hAnsi="Garamond" w:cs="Times New Roman"/>
          <w:bCs/>
          <w:sz w:val="24"/>
          <w:szCs w:val="24"/>
        </w:rPr>
        <w:t xml:space="preserve"> të finalizojë protokollin e bashkëpunimit ndërinstitucional me Këshillin e Lartë Gjyqësor, Këshillin e Lartë të Prokurorisë dhe Prokurorinë e Përgjithshme</w:t>
      </w:r>
      <w:r w:rsidR="007D540C">
        <w:rPr>
          <w:rFonts w:ascii="Garamond" w:eastAsia="Times New Roman" w:hAnsi="Garamond" w:cs="Times New Roman"/>
          <w:bCs/>
          <w:sz w:val="24"/>
          <w:szCs w:val="24"/>
        </w:rPr>
        <w:t>,</w:t>
      </w:r>
      <w:r w:rsidRPr="000A641C">
        <w:rPr>
          <w:rFonts w:ascii="Garamond" w:eastAsia="Times New Roman" w:hAnsi="Garamond" w:cs="Times New Roman"/>
          <w:bCs/>
          <w:sz w:val="24"/>
          <w:szCs w:val="24"/>
        </w:rPr>
        <w:t xml:space="preserve"> lidhur me </w:t>
      </w:r>
      <w:proofErr w:type="spellStart"/>
      <w:r w:rsidRPr="000A641C">
        <w:rPr>
          <w:rFonts w:ascii="Garamond" w:eastAsia="Times New Roman" w:hAnsi="Garamond" w:cs="Times New Roman"/>
          <w:bCs/>
          <w:sz w:val="24"/>
          <w:szCs w:val="24"/>
        </w:rPr>
        <w:t>aksesin</w:t>
      </w:r>
      <w:proofErr w:type="spellEnd"/>
      <w:r w:rsidRPr="000A641C">
        <w:rPr>
          <w:rFonts w:ascii="Garamond" w:eastAsia="Times New Roman" w:hAnsi="Garamond" w:cs="Times New Roman"/>
          <w:bCs/>
          <w:sz w:val="24"/>
          <w:szCs w:val="24"/>
        </w:rPr>
        <w:t xml:space="preserve"> në sistemet elektronik</w:t>
      </w:r>
      <w:r w:rsidR="007D540C">
        <w:rPr>
          <w:rFonts w:ascii="Garamond" w:eastAsia="Times New Roman" w:hAnsi="Garamond" w:cs="Times New Roman"/>
          <w:bCs/>
          <w:sz w:val="24"/>
          <w:szCs w:val="24"/>
        </w:rPr>
        <w:t>e të gjykatave dhe prokurorive.</w:t>
      </w:r>
    </w:p>
    <w:p w14:paraId="00D3359C" w14:textId="3D0CD4D1"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7.</w:t>
      </w:r>
      <w:r w:rsidR="001D2E16" w:rsidRPr="000A641C">
        <w:rPr>
          <w:rFonts w:ascii="Garamond" w:eastAsia="Times New Roman" w:hAnsi="Garamond" w:cs="Times New Roman"/>
          <w:bCs/>
          <w:sz w:val="24"/>
          <w:szCs w:val="24"/>
        </w:rPr>
        <w:t xml:space="preserve"> </w:t>
      </w:r>
      <w:r w:rsidRPr="000A641C">
        <w:rPr>
          <w:rFonts w:ascii="Garamond" w:eastAsia="Times New Roman" w:hAnsi="Garamond" w:cs="Times New Roman"/>
          <w:bCs/>
          <w:sz w:val="24"/>
          <w:szCs w:val="24"/>
        </w:rPr>
        <w:t>Të zhvillojë më tej analizën e praktikës disiplinore, me synim garantimin e një praktike të qëndrueshme, të unifikuar dhe të parashikueshme në përputhje me parimin e sigurisë juridike dhe standardet e shtetit të së drejtës.</w:t>
      </w:r>
    </w:p>
    <w:p w14:paraId="41BC47D0" w14:textId="1F3D1605"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8.</w:t>
      </w:r>
      <w:r w:rsidR="001D2E16" w:rsidRPr="000A641C">
        <w:rPr>
          <w:rFonts w:ascii="Garamond" w:eastAsia="Times New Roman" w:hAnsi="Garamond" w:cs="Times New Roman"/>
          <w:bCs/>
          <w:sz w:val="24"/>
          <w:szCs w:val="24"/>
        </w:rPr>
        <w:t xml:space="preserve"> </w:t>
      </w:r>
      <w:r w:rsidRPr="000A641C">
        <w:rPr>
          <w:rFonts w:ascii="Garamond" w:eastAsia="Times New Roman" w:hAnsi="Garamond" w:cs="Times New Roman"/>
          <w:bCs/>
          <w:sz w:val="24"/>
          <w:szCs w:val="24"/>
        </w:rPr>
        <w:t xml:space="preserve">Të vijojë zhvillimin e veprimtarisë </w:t>
      </w:r>
      <w:proofErr w:type="spellStart"/>
      <w:r w:rsidRPr="000A641C">
        <w:rPr>
          <w:rFonts w:ascii="Garamond" w:eastAsia="Times New Roman" w:hAnsi="Garamond" w:cs="Times New Roman"/>
          <w:bCs/>
          <w:sz w:val="24"/>
          <w:szCs w:val="24"/>
        </w:rPr>
        <w:t>ndërgjegjësuese</w:t>
      </w:r>
      <w:proofErr w:type="spellEnd"/>
      <w:r w:rsidRPr="000A641C">
        <w:rPr>
          <w:rFonts w:ascii="Garamond" w:eastAsia="Times New Roman" w:hAnsi="Garamond" w:cs="Times New Roman"/>
          <w:bCs/>
          <w:sz w:val="24"/>
          <w:szCs w:val="24"/>
        </w:rPr>
        <w:t xml:space="preserve"> dhe komunikimit institucional me publikun, si dhe të rrisë transparencën institucionale nëpërmjet publikimit periodik të statistikave të detajuara dhe vendimeve të përmbledhura, në përputhje me legjislacionin për mb</w:t>
      </w:r>
      <w:r w:rsidR="007D540C">
        <w:rPr>
          <w:rFonts w:ascii="Garamond" w:eastAsia="Times New Roman" w:hAnsi="Garamond" w:cs="Times New Roman"/>
          <w:bCs/>
          <w:sz w:val="24"/>
          <w:szCs w:val="24"/>
        </w:rPr>
        <w:t>rojtjen e të dhënave personale.</w:t>
      </w:r>
    </w:p>
    <w:p w14:paraId="6F1BBB7F"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9. Të vijojë harmonizimin e praktikës institucionale me standardet dhe rekomandimet e Bashkimit Evropian dhe organizmave ndërkombëtarë në fushën e pavarësisë, përgjegjshmërisë, integritetit dhe llogaridhënies së sistemit të drejtësisë.</w:t>
      </w:r>
    </w:p>
    <w:p w14:paraId="15F4E0A3" w14:textId="5FB1231F"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10. Në raportin vjetor të paraqitur Kuvendit, krahas të dhënave statistikore, të përfshijë analiza </w:t>
      </w:r>
      <w:r w:rsidR="000C487E" w:rsidRPr="000A641C">
        <w:rPr>
          <w:rFonts w:ascii="Garamond" w:eastAsia="Times New Roman" w:hAnsi="Garamond" w:cs="Times New Roman"/>
          <w:bCs/>
          <w:sz w:val="24"/>
          <w:szCs w:val="24"/>
        </w:rPr>
        <w:t>për</w:t>
      </w:r>
      <w:r w:rsidRPr="000A641C">
        <w:rPr>
          <w:rFonts w:ascii="Garamond" w:eastAsia="Times New Roman" w:hAnsi="Garamond" w:cs="Times New Roman"/>
          <w:bCs/>
          <w:sz w:val="24"/>
          <w:szCs w:val="24"/>
        </w:rPr>
        <w:t xml:space="preserve"> problematikat strukturore, tendencat e veprimtarisë, efektivitetin e masave të ndërmarra, si dhe, kur është e nevojshme, propozime konkrete për përmirësime ligjore, institucionale ose administrative në funksion të forcimit të rolit mbikëqyrës të Kuvendit.</w:t>
      </w:r>
    </w:p>
    <w:p w14:paraId="6E5A9D76" w14:textId="384466FE"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11. Të ndërmarrë një rol më aktiv, përshirë nëpërmjet iniciativës </w:t>
      </w:r>
      <w:r w:rsidR="00CD7797" w:rsidRPr="000A641C">
        <w:rPr>
          <w:rFonts w:ascii="Garamond" w:eastAsia="Times New Roman" w:hAnsi="Garamond" w:cs="Times New Roman"/>
          <w:bCs/>
          <w:sz w:val="24"/>
          <w:szCs w:val="24"/>
        </w:rPr>
        <w:t>për</w:t>
      </w:r>
      <w:r w:rsidRPr="000A641C">
        <w:rPr>
          <w:rFonts w:ascii="Garamond" w:eastAsia="Times New Roman" w:hAnsi="Garamond" w:cs="Times New Roman"/>
          <w:bCs/>
          <w:sz w:val="24"/>
          <w:szCs w:val="24"/>
        </w:rPr>
        <w:t xml:space="preserve"> çështjet me natyrë disiplinore, bazuar në të dhëna dhe fakte publike. Për kërkesat për procedim disiplinor të raportojë periodikisht </w:t>
      </w:r>
      <w:r w:rsidR="00485B35" w:rsidRPr="000A641C">
        <w:rPr>
          <w:rFonts w:ascii="Garamond" w:eastAsia="Times New Roman" w:hAnsi="Garamond" w:cs="Times New Roman"/>
          <w:bCs/>
          <w:sz w:val="24"/>
          <w:szCs w:val="24"/>
        </w:rPr>
        <w:t>për</w:t>
      </w:r>
      <w:r w:rsidRPr="000A641C">
        <w:rPr>
          <w:rFonts w:ascii="Garamond" w:eastAsia="Times New Roman" w:hAnsi="Garamond" w:cs="Times New Roman"/>
          <w:bCs/>
          <w:sz w:val="24"/>
          <w:szCs w:val="24"/>
        </w:rPr>
        <w:t xml:space="preserve"> vendimmarrjen e Këshillave dhe problematikat e evidentuara.</w:t>
      </w:r>
    </w:p>
    <w:p w14:paraId="2557A650" w14:textId="07133064"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12. Të hartojë një matricë të standardizuar me të dhëna </w:t>
      </w:r>
      <w:r w:rsidR="00485B35" w:rsidRPr="000A641C">
        <w:rPr>
          <w:rFonts w:ascii="Garamond" w:eastAsia="Times New Roman" w:hAnsi="Garamond" w:cs="Times New Roman"/>
          <w:bCs/>
          <w:sz w:val="24"/>
          <w:szCs w:val="24"/>
        </w:rPr>
        <w:t>për</w:t>
      </w:r>
      <w:r w:rsidRPr="000A641C">
        <w:rPr>
          <w:rFonts w:ascii="Garamond" w:eastAsia="Times New Roman" w:hAnsi="Garamond" w:cs="Times New Roman"/>
          <w:bCs/>
          <w:sz w:val="24"/>
          <w:szCs w:val="24"/>
        </w:rPr>
        <w:t xml:space="preserve"> rekomandimet e dhëna</w:t>
      </w:r>
      <w:r w:rsidR="00485B35" w:rsidRPr="000A641C">
        <w:rPr>
          <w:rFonts w:ascii="Garamond" w:eastAsia="Times New Roman" w:hAnsi="Garamond" w:cs="Times New Roman"/>
          <w:bCs/>
          <w:sz w:val="24"/>
          <w:szCs w:val="24"/>
        </w:rPr>
        <w:t>,</w:t>
      </w:r>
      <w:r w:rsidRPr="000A641C">
        <w:rPr>
          <w:rFonts w:ascii="Garamond" w:eastAsia="Times New Roman" w:hAnsi="Garamond" w:cs="Times New Roman"/>
          <w:bCs/>
          <w:sz w:val="24"/>
          <w:szCs w:val="24"/>
        </w:rPr>
        <w:t xml:space="preserve"> institucionin përgjegjës, afatet, statusin dhe evidencën e zbatimit, si dhe rezultatin </w:t>
      </w:r>
      <w:r w:rsidR="007D540C">
        <w:rPr>
          <w:rFonts w:ascii="Garamond" w:eastAsia="Times New Roman" w:hAnsi="Garamond" w:cs="Times New Roman"/>
          <w:bCs/>
          <w:sz w:val="24"/>
          <w:szCs w:val="24"/>
        </w:rPr>
        <w:t>e arritur.</w:t>
      </w:r>
    </w:p>
    <w:p w14:paraId="2E941B03" w14:textId="1362BD54"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13.</w:t>
      </w:r>
      <w:r w:rsidR="00481209" w:rsidRPr="000A641C">
        <w:rPr>
          <w:rFonts w:ascii="Garamond" w:eastAsia="Times New Roman" w:hAnsi="Garamond" w:cs="Times New Roman"/>
          <w:bCs/>
          <w:sz w:val="24"/>
          <w:szCs w:val="24"/>
        </w:rPr>
        <w:t xml:space="preserve"> </w:t>
      </w:r>
      <w:r w:rsidRPr="000A641C">
        <w:rPr>
          <w:rFonts w:ascii="Garamond" w:eastAsia="Times New Roman" w:hAnsi="Garamond" w:cs="Times New Roman"/>
          <w:bCs/>
          <w:sz w:val="24"/>
          <w:szCs w:val="24"/>
        </w:rPr>
        <w:t>Në përputhje me rekomandimet e BE-së, të trajtojë me prioritet rastet që lidhen me korrupsionin në sistemin gjyqësor dhe të prokurorisë, duke hartuar një plan koordinimi me institucionet p</w:t>
      </w:r>
      <w:r w:rsidR="007D540C">
        <w:rPr>
          <w:rFonts w:ascii="Garamond" w:eastAsia="Times New Roman" w:hAnsi="Garamond" w:cs="Times New Roman"/>
          <w:bCs/>
          <w:sz w:val="24"/>
          <w:szCs w:val="24"/>
        </w:rPr>
        <w:t>ërgjegjëse për ndjekjen e tyre.</w:t>
      </w:r>
    </w:p>
    <w:p w14:paraId="02DD14AA" w14:textId="26EC58BD"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lastRenderedPageBreak/>
        <w:t xml:space="preserve">14. Të përfshijë në inspektimet </w:t>
      </w:r>
      <w:proofErr w:type="spellStart"/>
      <w:r w:rsidRPr="000A641C">
        <w:rPr>
          <w:rFonts w:ascii="Garamond" w:eastAsia="Times New Roman" w:hAnsi="Garamond" w:cs="Times New Roman"/>
          <w:bCs/>
          <w:sz w:val="24"/>
          <w:szCs w:val="24"/>
        </w:rPr>
        <w:t>prioritare</w:t>
      </w:r>
      <w:proofErr w:type="spellEnd"/>
      <w:r w:rsidRPr="000A641C">
        <w:rPr>
          <w:rFonts w:ascii="Garamond" w:eastAsia="Times New Roman" w:hAnsi="Garamond" w:cs="Times New Roman"/>
          <w:bCs/>
          <w:sz w:val="24"/>
          <w:szCs w:val="24"/>
        </w:rPr>
        <w:t xml:space="preserve"> </w:t>
      </w:r>
      <w:proofErr w:type="spellStart"/>
      <w:r w:rsidRPr="000A641C">
        <w:rPr>
          <w:rFonts w:ascii="Garamond" w:eastAsia="Times New Roman" w:hAnsi="Garamond" w:cs="Times New Roman"/>
          <w:bCs/>
          <w:sz w:val="24"/>
          <w:szCs w:val="24"/>
        </w:rPr>
        <w:t>performancën</w:t>
      </w:r>
      <w:proofErr w:type="spellEnd"/>
      <w:r w:rsidRPr="000A641C">
        <w:rPr>
          <w:rFonts w:ascii="Garamond" w:eastAsia="Times New Roman" w:hAnsi="Garamond" w:cs="Times New Roman"/>
          <w:bCs/>
          <w:sz w:val="24"/>
          <w:szCs w:val="24"/>
        </w:rPr>
        <w:t xml:space="preserve"> e prokurorëve</w:t>
      </w:r>
      <w:r w:rsidR="007D540C">
        <w:rPr>
          <w:rFonts w:ascii="Garamond" w:eastAsia="Times New Roman" w:hAnsi="Garamond" w:cs="Times New Roman"/>
          <w:bCs/>
          <w:sz w:val="24"/>
          <w:szCs w:val="24"/>
        </w:rPr>
        <w:t>,</w:t>
      </w:r>
      <w:r w:rsidRPr="000A641C">
        <w:rPr>
          <w:rFonts w:ascii="Garamond" w:eastAsia="Times New Roman" w:hAnsi="Garamond" w:cs="Times New Roman"/>
          <w:bCs/>
          <w:sz w:val="24"/>
          <w:szCs w:val="24"/>
        </w:rPr>
        <w:t xml:space="preserve"> lidhur me zbatimin e rekomandimeve të Kuvendit, marrëdhënien profesionale me drejtuesit e prokurorive, si dhe me cilësinë e akteve hetimore të prodhuara nga </w:t>
      </w:r>
      <w:proofErr w:type="spellStart"/>
      <w:r w:rsidRPr="000A641C">
        <w:rPr>
          <w:rFonts w:ascii="Garamond" w:eastAsia="Times New Roman" w:hAnsi="Garamond" w:cs="Times New Roman"/>
          <w:bCs/>
          <w:sz w:val="24"/>
          <w:szCs w:val="24"/>
        </w:rPr>
        <w:t>OPGJ</w:t>
      </w:r>
      <w:proofErr w:type="spellEnd"/>
      <w:r w:rsidRPr="000A641C">
        <w:rPr>
          <w:rFonts w:ascii="Garamond" w:eastAsia="Times New Roman" w:hAnsi="Garamond" w:cs="Times New Roman"/>
          <w:bCs/>
          <w:sz w:val="24"/>
          <w:szCs w:val="24"/>
        </w:rPr>
        <w:t>-të në funksion të proced</w:t>
      </w:r>
      <w:r w:rsidR="007D540C">
        <w:rPr>
          <w:rFonts w:ascii="Garamond" w:eastAsia="Times New Roman" w:hAnsi="Garamond" w:cs="Times New Roman"/>
          <w:bCs/>
          <w:sz w:val="24"/>
          <w:szCs w:val="24"/>
        </w:rPr>
        <w:t>imit penal.</w:t>
      </w:r>
    </w:p>
    <w:p w14:paraId="766E77AD" w14:textId="5C22854A"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15. Të ndërmarrë masa për reduktimin e kohëzgjatjes së verifikimit dhe shqyrtimit të ankesave, duke shmangur vonesat e paarsyeshme që ulin ndjeshëm efektivitetin e mekanizmit të verifikimit, si dhe të raportojë periodikisht </w:t>
      </w:r>
      <w:r w:rsidR="000749B2" w:rsidRPr="000A641C">
        <w:rPr>
          <w:rFonts w:ascii="Garamond" w:eastAsia="Times New Roman" w:hAnsi="Garamond" w:cs="Times New Roman"/>
          <w:bCs/>
          <w:sz w:val="24"/>
          <w:szCs w:val="24"/>
        </w:rPr>
        <w:t>për</w:t>
      </w:r>
      <w:r w:rsidRPr="000A641C">
        <w:rPr>
          <w:rFonts w:ascii="Garamond" w:eastAsia="Times New Roman" w:hAnsi="Garamond" w:cs="Times New Roman"/>
          <w:bCs/>
          <w:sz w:val="24"/>
          <w:szCs w:val="24"/>
        </w:rPr>
        <w:t xml:space="preserve"> afatet e shqyrtimit, stokun e ankesave të mbartura dhe shkaqet e vonesave në trajtimin e tyre, duke vendosur standarde të brendshme për respektimin e afateve të arsyeshme dhe monitorimin e v</w:t>
      </w:r>
      <w:r w:rsidR="007D540C">
        <w:rPr>
          <w:rFonts w:ascii="Garamond" w:eastAsia="Times New Roman" w:hAnsi="Garamond" w:cs="Times New Roman"/>
          <w:bCs/>
          <w:sz w:val="24"/>
          <w:szCs w:val="24"/>
        </w:rPr>
        <w:t>azhdueshëm të zbatimit të tyre.</w:t>
      </w:r>
    </w:p>
    <w:p w14:paraId="06F2115A" w14:textId="061FCDDD"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16. Të adresojë me efektivitet hendekun mes numrit shumë të lartë të ankesave të qytetarëve përkundrejt numrit shumë të ulët të procedimeve disiplinore, për të përmbushur cilësisht standardet e llogaridhënies dhe përgjegjshmërisë së sistem</w:t>
      </w:r>
      <w:r w:rsidR="007D540C">
        <w:rPr>
          <w:rFonts w:ascii="Garamond" w:eastAsia="Times New Roman" w:hAnsi="Garamond" w:cs="Times New Roman"/>
          <w:bCs/>
          <w:sz w:val="24"/>
          <w:szCs w:val="24"/>
        </w:rPr>
        <w:t>it gjyqësor dhe të prokurorisë.</w:t>
      </w:r>
    </w:p>
    <w:p w14:paraId="0F906AA9"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17. Të marrë masa për të përmirësuar cilësinë dhe arsyetimin e përgjigjeve institucionale ndaj ankesave, duke shmangur komunikimet formale ose adresime jo të plota të pretendimeve të ngritura, me qëllim rritjen e besimit të publikut në veprimtarinë e institucionit.</w:t>
      </w:r>
    </w:p>
    <w:p w14:paraId="32589B61" w14:textId="77777777"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18. Të miratojë dhe zbatojë një metodologji të unifikuar për mbledhjen, përpunimin dhe raportimin e të dhënave statistikore, në funksion të forcimit të kapaciteteve analitike dhe statistikore të institucionit.</w:t>
      </w:r>
    </w:p>
    <w:p w14:paraId="0C4DA4BE" w14:textId="534EC80E"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19. Të formulojë dhe </w:t>
      </w:r>
      <w:r w:rsidR="00AB5987" w:rsidRPr="000A641C">
        <w:rPr>
          <w:rFonts w:ascii="Garamond" w:eastAsia="Times New Roman" w:hAnsi="Garamond" w:cs="Times New Roman"/>
          <w:bCs/>
          <w:sz w:val="24"/>
          <w:szCs w:val="24"/>
        </w:rPr>
        <w:t xml:space="preserve">të </w:t>
      </w:r>
      <w:r w:rsidRPr="000A641C">
        <w:rPr>
          <w:rFonts w:ascii="Garamond" w:eastAsia="Times New Roman" w:hAnsi="Garamond" w:cs="Times New Roman"/>
          <w:bCs/>
          <w:sz w:val="24"/>
          <w:szCs w:val="24"/>
        </w:rPr>
        <w:t>paraqesë propozime për ndërhyrje të nevojshme ligjore</w:t>
      </w:r>
      <w:r w:rsidR="007D540C">
        <w:rPr>
          <w:rFonts w:ascii="Garamond" w:eastAsia="Times New Roman" w:hAnsi="Garamond" w:cs="Times New Roman"/>
          <w:bCs/>
          <w:sz w:val="24"/>
          <w:szCs w:val="24"/>
        </w:rPr>
        <w:t>,</w:t>
      </w:r>
      <w:r w:rsidRPr="000A641C">
        <w:rPr>
          <w:rFonts w:ascii="Garamond" w:eastAsia="Times New Roman" w:hAnsi="Garamond" w:cs="Times New Roman"/>
          <w:bCs/>
          <w:sz w:val="24"/>
          <w:szCs w:val="24"/>
        </w:rPr>
        <w:t xml:space="preserve"> lidhur me përmbushjen e detyrimit për të plo</w:t>
      </w:r>
      <w:r w:rsidR="007D540C">
        <w:rPr>
          <w:rFonts w:ascii="Garamond" w:eastAsia="Times New Roman" w:hAnsi="Garamond" w:cs="Times New Roman"/>
          <w:bCs/>
          <w:sz w:val="24"/>
          <w:szCs w:val="24"/>
        </w:rPr>
        <w:t xml:space="preserve">tësuar </w:t>
      </w:r>
      <w:proofErr w:type="spellStart"/>
      <w:r w:rsidR="007D540C">
        <w:rPr>
          <w:rFonts w:ascii="Garamond" w:eastAsia="Times New Roman" w:hAnsi="Garamond" w:cs="Times New Roman"/>
          <w:bCs/>
          <w:sz w:val="24"/>
          <w:szCs w:val="24"/>
        </w:rPr>
        <w:t>vakancat</w:t>
      </w:r>
      <w:proofErr w:type="spellEnd"/>
      <w:r w:rsidR="007D540C">
        <w:rPr>
          <w:rFonts w:ascii="Garamond" w:eastAsia="Times New Roman" w:hAnsi="Garamond" w:cs="Times New Roman"/>
          <w:bCs/>
          <w:sz w:val="24"/>
          <w:szCs w:val="24"/>
        </w:rPr>
        <w:t xml:space="preserve"> në institucion.</w:t>
      </w:r>
    </w:p>
    <w:p w14:paraId="19B5D1F6" w14:textId="7B5D3B9B"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20. Të forcojë dialogun dhe bashkëpunimin ndërinstitucional</w:t>
      </w:r>
      <w:r w:rsidR="007D540C">
        <w:rPr>
          <w:rFonts w:ascii="Garamond" w:eastAsia="Times New Roman" w:hAnsi="Garamond" w:cs="Times New Roman"/>
          <w:bCs/>
          <w:sz w:val="24"/>
          <w:szCs w:val="24"/>
        </w:rPr>
        <w:t>,</w:t>
      </w:r>
      <w:r w:rsidRPr="000A641C">
        <w:rPr>
          <w:rFonts w:ascii="Garamond" w:eastAsia="Times New Roman" w:hAnsi="Garamond" w:cs="Times New Roman"/>
          <w:bCs/>
          <w:sz w:val="24"/>
          <w:szCs w:val="24"/>
        </w:rPr>
        <w:t xml:space="preserve"> lidhur me inspektimet tematike, si dhe në funksion të adresimit të rekomandimeve dhe të sfidave </w:t>
      </w:r>
      <w:proofErr w:type="spellStart"/>
      <w:r w:rsidRPr="000A641C">
        <w:rPr>
          <w:rFonts w:ascii="Garamond" w:eastAsia="Times New Roman" w:hAnsi="Garamond" w:cs="Times New Roman"/>
          <w:bCs/>
          <w:sz w:val="24"/>
          <w:szCs w:val="24"/>
        </w:rPr>
        <w:t>sistemike</w:t>
      </w:r>
      <w:proofErr w:type="spellEnd"/>
      <w:r w:rsidRPr="000A641C">
        <w:rPr>
          <w:rFonts w:ascii="Garamond" w:eastAsia="Times New Roman" w:hAnsi="Garamond" w:cs="Times New Roman"/>
          <w:bCs/>
          <w:sz w:val="24"/>
          <w:szCs w:val="24"/>
        </w:rPr>
        <w:t xml:space="preserve">. Të forcojë dhe institucionalizojë dialogun dhe konsultimet me Dhomën Kombëtare të Avokatisë dhe organizatat e shoqërisë civile që veprojnë në fushën e drejtësisë dhe të </w:t>
      </w:r>
      <w:proofErr w:type="spellStart"/>
      <w:r w:rsidRPr="000A641C">
        <w:rPr>
          <w:rFonts w:ascii="Garamond" w:eastAsia="Times New Roman" w:hAnsi="Garamond" w:cs="Times New Roman"/>
          <w:bCs/>
          <w:sz w:val="24"/>
          <w:szCs w:val="24"/>
        </w:rPr>
        <w:t>të</w:t>
      </w:r>
      <w:proofErr w:type="spellEnd"/>
      <w:r w:rsidRPr="000A641C">
        <w:rPr>
          <w:rFonts w:ascii="Garamond" w:eastAsia="Times New Roman" w:hAnsi="Garamond" w:cs="Times New Roman"/>
          <w:bCs/>
          <w:sz w:val="24"/>
          <w:szCs w:val="24"/>
        </w:rPr>
        <w:t xml:space="preserve"> drejtave të njeriut, në funksion të përmirës</w:t>
      </w:r>
      <w:r w:rsidR="007D540C">
        <w:rPr>
          <w:rFonts w:ascii="Garamond" w:eastAsia="Times New Roman" w:hAnsi="Garamond" w:cs="Times New Roman"/>
          <w:bCs/>
          <w:sz w:val="24"/>
          <w:szCs w:val="24"/>
        </w:rPr>
        <w:t>imit të veprimit institucional.</w:t>
      </w:r>
    </w:p>
    <w:p w14:paraId="6F448209" w14:textId="6B5055DA"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 xml:space="preserve">21. Të bashkëpunojë me strukturat përgjegjëse të Kuvendit të Shqipërisë për shkëmbimin e informacionit për zhvillimin dhe konsolidimin e metodologjisë së standardizuar të treguesve kyç të </w:t>
      </w:r>
      <w:proofErr w:type="spellStart"/>
      <w:r w:rsidRPr="000A641C">
        <w:rPr>
          <w:rFonts w:ascii="Garamond" w:eastAsia="Times New Roman" w:hAnsi="Garamond" w:cs="Times New Roman"/>
          <w:bCs/>
          <w:sz w:val="24"/>
          <w:szCs w:val="24"/>
        </w:rPr>
        <w:t>performancës</w:t>
      </w:r>
      <w:proofErr w:type="spellEnd"/>
      <w:r w:rsidRPr="000A641C">
        <w:rPr>
          <w:rFonts w:ascii="Garamond" w:eastAsia="Times New Roman" w:hAnsi="Garamond" w:cs="Times New Roman"/>
          <w:bCs/>
          <w:sz w:val="24"/>
          <w:szCs w:val="24"/>
        </w:rPr>
        <w:t xml:space="preserve">, si bazë për monitorimin dhe vlerësimin e zbatimit të rekomandimeve të rezolutës, në funksion të forcimit të llogaridhënies dhe mbikëqyrjes parlamentare, brenda </w:t>
      </w:r>
      <w:r w:rsidR="003D2A80" w:rsidRPr="000A641C">
        <w:rPr>
          <w:rFonts w:ascii="Garamond" w:eastAsia="Times New Roman" w:hAnsi="Garamond" w:cs="Times New Roman"/>
          <w:bCs/>
          <w:sz w:val="24"/>
          <w:szCs w:val="24"/>
        </w:rPr>
        <w:t>3-</w:t>
      </w:r>
      <w:r w:rsidRPr="000A641C">
        <w:rPr>
          <w:rFonts w:ascii="Garamond" w:eastAsia="Times New Roman" w:hAnsi="Garamond" w:cs="Times New Roman"/>
          <w:bCs/>
          <w:sz w:val="24"/>
          <w:szCs w:val="24"/>
        </w:rPr>
        <w:t>mujori</w:t>
      </w:r>
      <w:r w:rsidR="007D540C">
        <w:rPr>
          <w:rFonts w:ascii="Garamond" w:eastAsia="Times New Roman" w:hAnsi="Garamond" w:cs="Times New Roman"/>
          <w:bCs/>
          <w:sz w:val="24"/>
          <w:szCs w:val="24"/>
        </w:rPr>
        <w:t>t të tretë të vitit 2026.</w:t>
      </w:r>
    </w:p>
    <w:p w14:paraId="323D91E6" w14:textId="147C4864" w:rsidR="005C77C3" w:rsidRPr="000A641C" w:rsidRDefault="005C77C3" w:rsidP="000A641C">
      <w:pPr>
        <w:spacing w:after="0" w:line="240" w:lineRule="auto"/>
        <w:ind w:firstLine="284"/>
        <w:jc w:val="both"/>
        <w:rPr>
          <w:rFonts w:ascii="Garamond" w:eastAsia="Times New Roman" w:hAnsi="Garamond" w:cs="Times New Roman"/>
          <w:bCs/>
          <w:sz w:val="24"/>
          <w:szCs w:val="24"/>
        </w:rPr>
      </w:pPr>
      <w:r w:rsidRPr="000A641C">
        <w:rPr>
          <w:rFonts w:ascii="Garamond" w:eastAsia="Times New Roman" w:hAnsi="Garamond" w:cs="Times New Roman"/>
          <w:bCs/>
          <w:sz w:val="24"/>
          <w:szCs w:val="24"/>
        </w:rPr>
        <w:t>22. Brenda 30 ditë</w:t>
      </w:r>
      <w:r w:rsidR="003D2A80" w:rsidRPr="000A641C">
        <w:rPr>
          <w:rFonts w:ascii="Garamond" w:eastAsia="Times New Roman" w:hAnsi="Garamond" w:cs="Times New Roman"/>
          <w:bCs/>
          <w:sz w:val="24"/>
          <w:szCs w:val="24"/>
        </w:rPr>
        <w:t>ve</w:t>
      </w:r>
      <w:r w:rsidRPr="000A641C">
        <w:rPr>
          <w:rFonts w:ascii="Garamond" w:eastAsia="Times New Roman" w:hAnsi="Garamond" w:cs="Times New Roman"/>
          <w:bCs/>
          <w:sz w:val="24"/>
          <w:szCs w:val="24"/>
        </w:rPr>
        <w:t xml:space="preserve"> nga miratimi i rezolutës, të hartojë dhe</w:t>
      </w:r>
      <w:r w:rsidR="003D2A80" w:rsidRPr="000A641C">
        <w:rPr>
          <w:rFonts w:ascii="Garamond" w:eastAsia="Times New Roman" w:hAnsi="Garamond" w:cs="Times New Roman"/>
          <w:bCs/>
          <w:sz w:val="24"/>
          <w:szCs w:val="24"/>
        </w:rPr>
        <w:t xml:space="preserve"> të</w:t>
      </w:r>
      <w:r w:rsidR="007D540C">
        <w:rPr>
          <w:rFonts w:ascii="Garamond" w:eastAsia="Times New Roman" w:hAnsi="Garamond" w:cs="Times New Roman"/>
          <w:bCs/>
          <w:sz w:val="24"/>
          <w:szCs w:val="24"/>
        </w:rPr>
        <w:t xml:space="preserve"> publikojë një plan veprimi për</w:t>
      </w:r>
      <w:r w:rsidR="003D2A80" w:rsidRPr="000A641C">
        <w:rPr>
          <w:rFonts w:ascii="Garamond" w:eastAsia="Times New Roman" w:hAnsi="Garamond" w:cs="Times New Roman"/>
          <w:bCs/>
          <w:sz w:val="24"/>
          <w:szCs w:val="24"/>
        </w:rPr>
        <w:t xml:space="preserve"> </w:t>
      </w:r>
      <w:r w:rsidRPr="000A641C">
        <w:rPr>
          <w:rFonts w:ascii="Garamond" w:eastAsia="Times New Roman" w:hAnsi="Garamond" w:cs="Times New Roman"/>
          <w:bCs/>
          <w:sz w:val="24"/>
          <w:szCs w:val="24"/>
        </w:rPr>
        <w:t xml:space="preserve">zbatimin e rekomandimeve, i cili të përcaktojë masat konkrete, afatet e realizimit, strukturat përgjegjëse, treguesit bazë dhe objektivat e synuar, si dhe të raportojë periodikisht </w:t>
      </w:r>
      <w:r w:rsidR="003D2A80" w:rsidRPr="000A641C">
        <w:rPr>
          <w:rFonts w:ascii="Garamond" w:eastAsia="Times New Roman" w:hAnsi="Garamond" w:cs="Times New Roman"/>
          <w:bCs/>
          <w:sz w:val="24"/>
          <w:szCs w:val="24"/>
        </w:rPr>
        <w:t>për</w:t>
      </w:r>
      <w:r w:rsidR="007D540C">
        <w:rPr>
          <w:rFonts w:ascii="Garamond" w:eastAsia="Times New Roman" w:hAnsi="Garamond" w:cs="Times New Roman"/>
          <w:bCs/>
          <w:sz w:val="24"/>
          <w:szCs w:val="24"/>
        </w:rPr>
        <w:t xml:space="preserve"> nivelin e përmbushjes së tyre.</w:t>
      </w:r>
    </w:p>
    <w:p w14:paraId="6B5CB90E" w14:textId="2C202670" w:rsidR="0042060E" w:rsidRPr="000A641C" w:rsidRDefault="0042060E" w:rsidP="000A641C">
      <w:pPr>
        <w:spacing w:after="0" w:line="240" w:lineRule="auto"/>
        <w:ind w:firstLine="284"/>
        <w:jc w:val="both"/>
        <w:rPr>
          <w:rFonts w:ascii="Garamond" w:eastAsia="Times New Roman" w:hAnsi="Garamond" w:cs="Times New Roman"/>
          <w:bCs/>
          <w:sz w:val="24"/>
          <w:szCs w:val="24"/>
        </w:rPr>
      </w:pPr>
    </w:p>
    <w:p w14:paraId="221649EC" w14:textId="3985983C" w:rsidR="00EB62DE" w:rsidRPr="000A641C" w:rsidRDefault="00A755F6" w:rsidP="000A641C">
      <w:pPr>
        <w:spacing w:after="0" w:line="240" w:lineRule="auto"/>
        <w:ind w:firstLine="284"/>
        <w:jc w:val="both"/>
        <w:rPr>
          <w:rFonts w:ascii="Garamond" w:hAnsi="Garamond" w:cs="Times New Roman"/>
          <w:sz w:val="24"/>
          <w:szCs w:val="24"/>
        </w:rPr>
      </w:pPr>
      <w:r w:rsidRPr="000A641C">
        <w:rPr>
          <w:rFonts w:ascii="Garamond" w:hAnsi="Garamond" w:cs="Times New Roman"/>
          <w:sz w:val="24"/>
          <w:szCs w:val="24"/>
        </w:rPr>
        <w:t xml:space="preserve">Miratuar në datën </w:t>
      </w:r>
      <w:r w:rsidR="00BC4FE6" w:rsidRPr="000A641C">
        <w:rPr>
          <w:rFonts w:ascii="Garamond" w:hAnsi="Garamond" w:cs="Times New Roman"/>
          <w:sz w:val="24"/>
          <w:szCs w:val="24"/>
        </w:rPr>
        <w:t>23.7</w:t>
      </w:r>
      <w:r w:rsidR="00181D50" w:rsidRPr="000A641C">
        <w:rPr>
          <w:rFonts w:ascii="Garamond" w:hAnsi="Garamond" w:cs="Times New Roman"/>
          <w:sz w:val="24"/>
          <w:szCs w:val="24"/>
        </w:rPr>
        <w:t>.</w:t>
      </w:r>
      <w:r w:rsidR="003C57D3" w:rsidRPr="000A641C">
        <w:rPr>
          <w:rFonts w:ascii="Garamond" w:hAnsi="Garamond" w:cs="Times New Roman"/>
          <w:sz w:val="24"/>
          <w:szCs w:val="24"/>
        </w:rPr>
        <w:t>202</w:t>
      </w:r>
      <w:r w:rsidR="00275863" w:rsidRPr="000A641C">
        <w:rPr>
          <w:rFonts w:ascii="Garamond" w:hAnsi="Garamond" w:cs="Times New Roman"/>
          <w:sz w:val="24"/>
          <w:szCs w:val="24"/>
        </w:rPr>
        <w:t>6</w:t>
      </w:r>
      <w:r w:rsidR="007D540C">
        <w:rPr>
          <w:rFonts w:ascii="Garamond" w:hAnsi="Garamond" w:cs="Times New Roman"/>
          <w:sz w:val="24"/>
          <w:szCs w:val="24"/>
        </w:rPr>
        <w:t>.</w:t>
      </w:r>
    </w:p>
    <w:p w14:paraId="1B441005" w14:textId="77777777" w:rsidR="00841A15" w:rsidRPr="000A641C" w:rsidRDefault="00841A15" w:rsidP="000A641C">
      <w:pPr>
        <w:spacing w:after="0" w:line="240" w:lineRule="auto"/>
        <w:ind w:firstLine="284"/>
        <w:rPr>
          <w:rFonts w:ascii="Garamond" w:eastAsia="Times New Roman" w:hAnsi="Garamond" w:cs="Times New Roman"/>
          <w:sz w:val="24"/>
          <w:szCs w:val="24"/>
        </w:rPr>
      </w:pPr>
    </w:p>
    <w:p w14:paraId="2877713A" w14:textId="77777777" w:rsidR="000A641C" w:rsidRPr="001D1C40" w:rsidRDefault="000A641C" w:rsidP="000A641C">
      <w:pPr>
        <w:spacing w:after="0" w:line="240" w:lineRule="auto"/>
        <w:ind w:left="6920"/>
        <w:jc w:val="right"/>
        <w:rPr>
          <w:rFonts w:ascii="Garamond" w:hAnsi="Garamond" w:cs="Times New Roman"/>
          <w:bCs/>
          <w:color w:val="000000" w:themeColor="text1"/>
          <w:sz w:val="24"/>
          <w:szCs w:val="24"/>
        </w:rPr>
      </w:pPr>
      <w:r w:rsidRPr="001D1C40">
        <w:rPr>
          <w:rFonts w:ascii="Garamond" w:hAnsi="Garamond" w:cs="Times New Roman"/>
          <w:bCs/>
          <w:color w:val="000000" w:themeColor="text1"/>
          <w:sz w:val="24"/>
          <w:szCs w:val="24"/>
        </w:rPr>
        <w:t xml:space="preserve">KRYETAR </w:t>
      </w:r>
    </w:p>
    <w:p w14:paraId="093F98E3" w14:textId="77777777" w:rsidR="000A641C" w:rsidRPr="001D1C40" w:rsidRDefault="000A641C" w:rsidP="000A641C">
      <w:pPr>
        <w:spacing w:after="0" w:line="240" w:lineRule="auto"/>
        <w:jc w:val="right"/>
        <w:rPr>
          <w:rFonts w:ascii="Garamond" w:hAnsi="Garamond" w:cs="Times New Roman"/>
          <w:b/>
          <w:bCs/>
          <w:color w:val="000000" w:themeColor="text1"/>
          <w:sz w:val="24"/>
          <w:szCs w:val="24"/>
        </w:rPr>
      </w:pPr>
      <w:proofErr w:type="spellStart"/>
      <w:r w:rsidRPr="001D1C40">
        <w:rPr>
          <w:rFonts w:ascii="Garamond" w:hAnsi="Garamond" w:cs="Times New Roman"/>
          <w:b/>
          <w:bCs/>
          <w:color w:val="000000" w:themeColor="text1"/>
          <w:sz w:val="24"/>
          <w:szCs w:val="24"/>
        </w:rPr>
        <w:t>Niko</w:t>
      </w:r>
      <w:proofErr w:type="spellEnd"/>
      <w:r w:rsidRPr="001D1C40">
        <w:rPr>
          <w:rFonts w:ascii="Garamond" w:hAnsi="Garamond" w:cs="Times New Roman"/>
          <w:b/>
          <w:bCs/>
          <w:color w:val="000000" w:themeColor="text1"/>
          <w:sz w:val="24"/>
          <w:szCs w:val="24"/>
        </w:rPr>
        <w:t xml:space="preserve"> </w:t>
      </w:r>
      <w:proofErr w:type="spellStart"/>
      <w:r w:rsidRPr="001D1C40">
        <w:rPr>
          <w:rFonts w:ascii="Garamond" w:hAnsi="Garamond" w:cs="Times New Roman"/>
          <w:b/>
          <w:bCs/>
          <w:color w:val="000000" w:themeColor="text1"/>
          <w:sz w:val="24"/>
          <w:szCs w:val="24"/>
        </w:rPr>
        <w:t>Peleshi</w:t>
      </w:r>
      <w:proofErr w:type="spellEnd"/>
    </w:p>
    <w:p w14:paraId="3E9909DF" w14:textId="77777777" w:rsidR="0079748A" w:rsidRPr="000A641C" w:rsidRDefault="0079748A" w:rsidP="000A641C">
      <w:pPr>
        <w:spacing w:after="0" w:line="240" w:lineRule="auto"/>
        <w:ind w:firstLine="284"/>
        <w:rPr>
          <w:rFonts w:ascii="Garamond" w:eastAsia="Times New Roman" w:hAnsi="Garamond" w:cs="Times New Roman"/>
          <w:sz w:val="24"/>
          <w:szCs w:val="24"/>
        </w:rPr>
      </w:pPr>
    </w:p>
    <w:sectPr w:rsidR="0079748A" w:rsidRPr="000A641C" w:rsidSect="008D54B5">
      <w:footerReference w:type="default" r:id="rId11"/>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4CCF74" w14:textId="77777777" w:rsidR="00AC43D9" w:rsidRDefault="00AC43D9" w:rsidP="00C86383">
      <w:pPr>
        <w:spacing w:after="0" w:line="240" w:lineRule="auto"/>
      </w:pPr>
      <w:r>
        <w:separator/>
      </w:r>
    </w:p>
  </w:endnote>
  <w:endnote w:type="continuationSeparator" w:id="0">
    <w:p w14:paraId="234E44AC" w14:textId="77777777" w:rsidR="00AC43D9" w:rsidRDefault="00AC43D9" w:rsidP="00C86383">
      <w:pPr>
        <w:spacing w:after="0" w:line="240" w:lineRule="auto"/>
      </w:pPr>
      <w:r>
        <w:continuationSeparator/>
      </w:r>
    </w:p>
  </w:endnote>
  <w:endnote w:type="continuationNotice" w:id="1">
    <w:p w14:paraId="7CFA3DB2" w14:textId="77777777" w:rsidR="006B6E29" w:rsidRDefault="006B6E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3D817C67" w:rsidR="00AC43D9" w:rsidRPr="00E7684C" w:rsidRDefault="00AC43D9">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7D540C">
          <w:rPr>
            <w:rFonts w:ascii="Times New Roman" w:hAnsi="Times New Roman" w:cs="Times New Roman"/>
            <w:noProof/>
            <w:sz w:val="24"/>
            <w:szCs w:val="24"/>
          </w:rPr>
          <w:t>3</w:t>
        </w:r>
        <w:r w:rsidRPr="00E7684C">
          <w:rPr>
            <w:rFonts w:ascii="Times New Roman" w:hAnsi="Times New Roman" w:cs="Times New Roman"/>
            <w:noProof/>
            <w:sz w:val="24"/>
            <w:szCs w:val="24"/>
          </w:rPr>
          <w:fldChar w:fldCharType="end"/>
        </w:r>
      </w:p>
    </w:sdtContent>
  </w:sdt>
  <w:p w14:paraId="07261E55" w14:textId="77777777" w:rsidR="00AC43D9" w:rsidRDefault="00AC43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34FB0" w14:textId="77777777" w:rsidR="00AC43D9" w:rsidRDefault="00AC43D9" w:rsidP="00C86383">
      <w:pPr>
        <w:spacing w:after="0" w:line="240" w:lineRule="auto"/>
      </w:pPr>
      <w:r>
        <w:separator/>
      </w:r>
    </w:p>
  </w:footnote>
  <w:footnote w:type="continuationSeparator" w:id="0">
    <w:p w14:paraId="0195F857" w14:textId="77777777" w:rsidR="00AC43D9" w:rsidRDefault="00AC43D9" w:rsidP="00C86383">
      <w:pPr>
        <w:spacing w:after="0" w:line="240" w:lineRule="auto"/>
      </w:pPr>
      <w:r>
        <w:continuationSeparator/>
      </w:r>
    </w:p>
  </w:footnote>
  <w:footnote w:type="continuationNotice" w:id="1">
    <w:p w14:paraId="0AA437B4" w14:textId="77777777" w:rsidR="006B6E29" w:rsidRDefault="006B6E29">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37E73"/>
    <w:rsid w:val="00043F8D"/>
    <w:rsid w:val="00044096"/>
    <w:rsid w:val="00044C1F"/>
    <w:rsid w:val="00051513"/>
    <w:rsid w:val="00055B91"/>
    <w:rsid w:val="0005725B"/>
    <w:rsid w:val="00062B6C"/>
    <w:rsid w:val="00062F7F"/>
    <w:rsid w:val="0007298B"/>
    <w:rsid w:val="00073681"/>
    <w:rsid w:val="000749B2"/>
    <w:rsid w:val="00082B98"/>
    <w:rsid w:val="00083230"/>
    <w:rsid w:val="00091EE7"/>
    <w:rsid w:val="000A08B2"/>
    <w:rsid w:val="000A0B41"/>
    <w:rsid w:val="000A641C"/>
    <w:rsid w:val="000C0CFC"/>
    <w:rsid w:val="000C1BC4"/>
    <w:rsid w:val="000C487E"/>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4DD0"/>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1D50"/>
    <w:rsid w:val="00184409"/>
    <w:rsid w:val="001858C3"/>
    <w:rsid w:val="00191634"/>
    <w:rsid w:val="00191BCC"/>
    <w:rsid w:val="001A79AF"/>
    <w:rsid w:val="001B134B"/>
    <w:rsid w:val="001B6D41"/>
    <w:rsid w:val="001B7CF3"/>
    <w:rsid w:val="001C1147"/>
    <w:rsid w:val="001C6FB2"/>
    <w:rsid w:val="001D2E16"/>
    <w:rsid w:val="001E2085"/>
    <w:rsid w:val="001E3542"/>
    <w:rsid w:val="001F4CD5"/>
    <w:rsid w:val="001F7D20"/>
    <w:rsid w:val="00202011"/>
    <w:rsid w:val="0020553B"/>
    <w:rsid w:val="002063FE"/>
    <w:rsid w:val="00206561"/>
    <w:rsid w:val="002129CF"/>
    <w:rsid w:val="00215C02"/>
    <w:rsid w:val="002176D7"/>
    <w:rsid w:val="002202CB"/>
    <w:rsid w:val="00223BB0"/>
    <w:rsid w:val="0022618D"/>
    <w:rsid w:val="002359AF"/>
    <w:rsid w:val="00237CB2"/>
    <w:rsid w:val="00240C54"/>
    <w:rsid w:val="00240E91"/>
    <w:rsid w:val="00243068"/>
    <w:rsid w:val="00244B19"/>
    <w:rsid w:val="00244D0F"/>
    <w:rsid w:val="002478DA"/>
    <w:rsid w:val="00262768"/>
    <w:rsid w:val="00262C8A"/>
    <w:rsid w:val="00266214"/>
    <w:rsid w:val="00275863"/>
    <w:rsid w:val="00275F33"/>
    <w:rsid w:val="00283031"/>
    <w:rsid w:val="00286E87"/>
    <w:rsid w:val="0029415F"/>
    <w:rsid w:val="002A1841"/>
    <w:rsid w:val="002A4484"/>
    <w:rsid w:val="002A6CBE"/>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134F"/>
    <w:rsid w:val="00343599"/>
    <w:rsid w:val="00343D14"/>
    <w:rsid w:val="0034558C"/>
    <w:rsid w:val="00351908"/>
    <w:rsid w:val="003556E0"/>
    <w:rsid w:val="003557DA"/>
    <w:rsid w:val="00373599"/>
    <w:rsid w:val="00373D67"/>
    <w:rsid w:val="003802C5"/>
    <w:rsid w:val="00380CE5"/>
    <w:rsid w:val="00382072"/>
    <w:rsid w:val="00384791"/>
    <w:rsid w:val="00384A0F"/>
    <w:rsid w:val="00384F4C"/>
    <w:rsid w:val="003918EF"/>
    <w:rsid w:val="00391D0F"/>
    <w:rsid w:val="00393AEF"/>
    <w:rsid w:val="00393D81"/>
    <w:rsid w:val="003962DE"/>
    <w:rsid w:val="00397B89"/>
    <w:rsid w:val="003A2FD5"/>
    <w:rsid w:val="003A3D56"/>
    <w:rsid w:val="003A6F7B"/>
    <w:rsid w:val="003C3B41"/>
    <w:rsid w:val="003C51DC"/>
    <w:rsid w:val="003C57D3"/>
    <w:rsid w:val="003D23B3"/>
    <w:rsid w:val="003D2A80"/>
    <w:rsid w:val="003D6B2B"/>
    <w:rsid w:val="003E08F3"/>
    <w:rsid w:val="003E193B"/>
    <w:rsid w:val="003E3131"/>
    <w:rsid w:val="003E334D"/>
    <w:rsid w:val="003E39E2"/>
    <w:rsid w:val="003E3F68"/>
    <w:rsid w:val="003E53A6"/>
    <w:rsid w:val="003E6C60"/>
    <w:rsid w:val="003F623E"/>
    <w:rsid w:val="003F66F6"/>
    <w:rsid w:val="004029FA"/>
    <w:rsid w:val="00402A6A"/>
    <w:rsid w:val="00413F47"/>
    <w:rsid w:val="0042060E"/>
    <w:rsid w:val="004215B2"/>
    <w:rsid w:val="00430EDA"/>
    <w:rsid w:val="004354FA"/>
    <w:rsid w:val="0043625A"/>
    <w:rsid w:val="00440837"/>
    <w:rsid w:val="00441F4D"/>
    <w:rsid w:val="004530EE"/>
    <w:rsid w:val="0045672F"/>
    <w:rsid w:val="00457EDB"/>
    <w:rsid w:val="004615DB"/>
    <w:rsid w:val="00462270"/>
    <w:rsid w:val="00463738"/>
    <w:rsid w:val="0046513F"/>
    <w:rsid w:val="00470017"/>
    <w:rsid w:val="00471916"/>
    <w:rsid w:val="004767B0"/>
    <w:rsid w:val="00477C33"/>
    <w:rsid w:val="00480E67"/>
    <w:rsid w:val="00480EEA"/>
    <w:rsid w:val="00481209"/>
    <w:rsid w:val="004819A5"/>
    <w:rsid w:val="004847B6"/>
    <w:rsid w:val="00485242"/>
    <w:rsid w:val="00485B35"/>
    <w:rsid w:val="004915B3"/>
    <w:rsid w:val="00493028"/>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0B5A"/>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675CA"/>
    <w:rsid w:val="00595D7E"/>
    <w:rsid w:val="00597F1B"/>
    <w:rsid w:val="005A4BF2"/>
    <w:rsid w:val="005A6A5B"/>
    <w:rsid w:val="005B4F54"/>
    <w:rsid w:val="005C0232"/>
    <w:rsid w:val="005C275E"/>
    <w:rsid w:val="005C77C3"/>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1A98"/>
    <w:rsid w:val="0066462F"/>
    <w:rsid w:val="00664CC2"/>
    <w:rsid w:val="00666637"/>
    <w:rsid w:val="006672E6"/>
    <w:rsid w:val="0067489C"/>
    <w:rsid w:val="0067607A"/>
    <w:rsid w:val="00680190"/>
    <w:rsid w:val="00684857"/>
    <w:rsid w:val="00686471"/>
    <w:rsid w:val="006870DA"/>
    <w:rsid w:val="00695534"/>
    <w:rsid w:val="006A1126"/>
    <w:rsid w:val="006B27CE"/>
    <w:rsid w:val="006B2B4C"/>
    <w:rsid w:val="006B6E29"/>
    <w:rsid w:val="006B790D"/>
    <w:rsid w:val="006C1FF3"/>
    <w:rsid w:val="006C2AEE"/>
    <w:rsid w:val="006D3004"/>
    <w:rsid w:val="006D6CF7"/>
    <w:rsid w:val="006E5794"/>
    <w:rsid w:val="006F2FA3"/>
    <w:rsid w:val="006F6C44"/>
    <w:rsid w:val="00700DFF"/>
    <w:rsid w:val="00702A04"/>
    <w:rsid w:val="0070337B"/>
    <w:rsid w:val="00704D02"/>
    <w:rsid w:val="007064AB"/>
    <w:rsid w:val="00706557"/>
    <w:rsid w:val="00707C51"/>
    <w:rsid w:val="007134F3"/>
    <w:rsid w:val="0071531C"/>
    <w:rsid w:val="00717DD1"/>
    <w:rsid w:val="00721911"/>
    <w:rsid w:val="00721F94"/>
    <w:rsid w:val="00722A76"/>
    <w:rsid w:val="007259CC"/>
    <w:rsid w:val="007312D6"/>
    <w:rsid w:val="007427F3"/>
    <w:rsid w:val="00750776"/>
    <w:rsid w:val="00752319"/>
    <w:rsid w:val="00757B31"/>
    <w:rsid w:val="00761637"/>
    <w:rsid w:val="00761C31"/>
    <w:rsid w:val="00761C60"/>
    <w:rsid w:val="00761F57"/>
    <w:rsid w:val="007667C9"/>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D1B28"/>
    <w:rsid w:val="007D540C"/>
    <w:rsid w:val="007F04D3"/>
    <w:rsid w:val="007F16F8"/>
    <w:rsid w:val="007F1C28"/>
    <w:rsid w:val="007F2061"/>
    <w:rsid w:val="007F43C4"/>
    <w:rsid w:val="007F750C"/>
    <w:rsid w:val="008010B2"/>
    <w:rsid w:val="00802041"/>
    <w:rsid w:val="00802244"/>
    <w:rsid w:val="00803B7B"/>
    <w:rsid w:val="00812096"/>
    <w:rsid w:val="00813AD7"/>
    <w:rsid w:val="00814941"/>
    <w:rsid w:val="00821505"/>
    <w:rsid w:val="0082316D"/>
    <w:rsid w:val="00824042"/>
    <w:rsid w:val="00824A4B"/>
    <w:rsid w:val="008258AB"/>
    <w:rsid w:val="00827BC7"/>
    <w:rsid w:val="00831CD1"/>
    <w:rsid w:val="00833B9B"/>
    <w:rsid w:val="00841A15"/>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044"/>
    <w:rsid w:val="008B6833"/>
    <w:rsid w:val="008B6B1A"/>
    <w:rsid w:val="008B74C4"/>
    <w:rsid w:val="008C2832"/>
    <w:rsid w:val="008C4109"/>
    <w:rsid w:val="008C42CC"/>
    <w:rsid w:val="008C498A"/>
    <w:rsid w:val="008C63A2"/>
    <w:rsid w:val="008C7273"/>
    <w:rsid w:val="008D114F"/>
    <w:rsid w:val="008D3DD2"/>
    <w:rsid w:val="008D41C9"/>
    <w:rsid w:val="008D54B5"/>
    <w:rsid w:val="008D5CDA"/>
    <w:rsid w:val="008D7A71"/>
    <w:rsid w:val="008E13AA"/>
    <w:rsid w:val="008E2C2A"/>
    <w:rsid w:val="008F0F64"/>
    <w:rsid w:val="008F16D6"/>
    <w:rsid w:val="008F3C04"/>
    <w:rsid w:val="008F3C44"/>
    <w:rsid w:val="008F5E9B"/>
    <w:rsid w:val="008F5EF5"/>
    <w:rsid w:val="008F668F"/>
    <w:rsid w:val="008F6781"/>
    <w:rsid w:val="009051F4"/>
    <w:rsid w:val="0090687A"/>
    <w:rsid w:val="0092415F"/>
    <w:rsid w:val="009256DD"/>
    <w:rsid w:val="0094122A"/>
    <w:rsid w:val="00946A54"/>
    <w:rsid w:val="00946C72"/>
    <w:rsid w:val="0095624F"/>
    <w:rsid w:val="009571C2"/>
    <w:rsid w:val="00960704"/>
    <w:rsid w:val="00960B17"/>
    <w:rsid w:val="00961EFD"/>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D7FAC"/>
    <w:rsid w:val="009E1F3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36160"/>
    <w:rsid w:val="00A503B4"/>
    <w:rsid w:val="00A5392D"/>
    <w:rsid w:val="00A558AE"/>
    <w:rsid w:val="00A564E2"/>
    <w:rsid w:val="00A67678"/>
    <w:rsid w:val="00A74915"/>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B5987"/>
    <w:rsid w:val="00AC116E"/>
    <w:rsid w:val="00AC28C6"/>
    <w:rsid w:val="00AC43D9"/>
    <w:rsid w:val="00AC495F"/>
    <w:rsid w:val="00AC5B21"/>
    <w:rsid w:val="00AC764D"/>
    <w:rsid w:val="00AC7D5A"/>
    <w:rsid w:val="00AD526B"/>
    <w:rsid w:val="00AD5761"/>
    <w:rsid w:val="00AD67B1"/>
    <w:rsid w:val="00AD7DFE"/>
    <w:rsid w:val="00AE3363"/>
    <w:rsid w:val="00AE413A"/>
    <w:rsid w:val="00AE5AB4"/>
    <w:rsid w:val="00AE6DAB"/>
    <w:rsid w:val="00AF1850"/>
    <w:rsid w:val="00AF1CA2"/>
    <w:rsid w:val="00AF3890"/>
    <w:rsid w:val="00AF5A5B"/>
    <w:rsid w:val="00AF78C9"/>
    <w:rsid w:val="00B03133"/>
    <w:rsid w:val="00B074F2"/>
    <w:rsid w:val="00B07B19"/>
    <w:rsid w:val="00B1268D"/>
    <w:rsid w:val="00B131E7"/>
    <w:rsid w:val="00B14DA6"/>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C4FE6"/>
    <w:rsid w:val="00BD592D"/>
    <w:rsid w:val="00BD5A4B"/>
    <w:rsid w:val="00BF0A3E"/>
    <w:rsid w:val="00BF1682"/>
    <w:rsid w:val="00BF3D89"/>
    <w:rsid w:val="00C011E1"/>
    <w:rsid w:val="00C01267"/>
    <w:rsid w:val="00C01362"/>
    <w:rsid w:val="00C069D4"/>
    <w:rsid w:val="00C15812"/>
    <w:rsid w:val="00C15B46"/>
    <w:rsid w:val="00C2107A"/>
    <w:rsid w:val="00C22617"/>
    <w:rsid w:val="00C277DC"/>
    <w:rsid w:val="00C310C5"/>
    <w:rsid w:val="00C3396C"/>
    <w:rsid w:val="00C34368"/>
    <w:rsid w:val="00C356CF"/>
    <w:rsid w:val="00C42220"/>
    <w:rsid w:val="00C46623"/>
    <w:rsid w:val="00C50843"/>
    <w:rsid w:val="00C569D5"/>
    <w:rsid w:val="00C65542"/>
    <w:rsid w:val="00C829DC"/>
    <w:rsid w:val="00C86383"/>
    <w:rsid w:val="00C9434B"/>
    <w:rsid w:val="00C96F2B"/>
    <w:rsid w:val="00CA0814"/>
    <w:rsid w:val="00CA0EBE"/>
    <w:rsid w:val="00CA57B6"/>
    <w:rsid w:val="00CB1F79"/>
    <w:rsid w:val="00CC6F24"/>
    <w:rsid w:val="00CD31B5"/>
    <w:rsid w:val="00CD3633"/>
    <w:rsid w:val="00CD48BD"/>
    <w:rsid w:val="00CD7797"/>
    <w:rsid w:val="00CE032B"/>
    <w:rsid w:val="00CE0964"/>
    <w:rsid w:val="00CE0B9A"/>
    <w:rsid w:val="00CE5869"/>
    <w:rsid w:val="00CE6F13"/>
    <w:rsid w:val="00CE7E15"/>
    <w:rsid w:val="00D0469B"/>
    <w:rsid w:val="00D05C90"/>
    <w:rsid w:val="00D0709B"/>
    <w:rsid w:val="00D121EC"/>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76DB5"/>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2DAE"/>
    <w:rsid w:val="00E33AAA"/>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45D4"/>
    <w:rsid w:val="00EA15E5"/>
    <w:rsid w:val="00EA7B60"/>
    <w:rsid w:val="00EB187F"/>
    <w:rsid w:val="00EB31F6"/>
    <w:rsid w:val="00EB4EE4"/>
    <w:rsid w:val="00EB5365"/>
    <w:rsid w:val="00EB62DE"/>
    <w:rsid w:val="00EC0024"/>
    <w:rsid w:val="00ED1AB8"/>
    <w:rsid w:val="00ED4C45"/>
    <w:rsid w:val="00ED5AEE"/>
    <w:rsid w:val="00ED668D"/>
    <w:rsid w:val="00EE1FA6"/>
    <w:rsid w:val="00EE4C8B"/>
    <w:rsid w:val="00EE6A25"/>
    <w:rsid w:val="00EF6235"/>
    <w:rsid w:val="00F05169"/>
    <w:rsid w:val="00F0526E"/>
    <w:rsid w:val="00F05EA7"/>
    <w:rsid w:val="00F142C1"/>
    <w:rsid w:val="00F1525A"/>
    <w:rsid w:val="00F20D71"/>
    <w:rsid w:val="00F261B9"/>
    <w:rsid w:val="00F3246E"/>
    <w:rsid w:val="00F32B61"/>
    <w:rsid w:val="00F37FAF"/>
    <w:rsid w:val="00F4148E"/>
    <w:rsid w:val="00F42E3E"/>
    <w:rsid w:val="00F43580"/>
    <w:rsid w:val="00F454F1"/>
    <w:rsid w:val="00F45BC9"/>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5C79"/>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2026-07-30T06:52:49Z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2026-07-29T00:00:00Z</Date_x0020_protokolli>
    <Titulli xmlns="0e656187-b300-4fb0-8bf4-3a50f872073c">Për vlerësimin e veprimtarisë së Inspektorit të Lartë të Drejtësisë për vitin 2025 dhe rekomandimet për vitin 2026</Titulli>
    <Modifikuesi xmlns="0e656187-b300-4fb0-8bf4-3a50f872073c">ermira.bukaci</Modifikuesi>
    <Nr_x002e__x0020_prot_x0020_QBZ xmlns="0e656187-b300-4fb0-8bf4-3a50f872073c">1736/7</Nr_x002e__x0020_prot_x0020_QBZ>
    <Data_x0020_e_x0020_Modifikimit xmlns="0e656187-b300-4fb0-8bf4-3a50f872073c">2026-07-30T08:15:03Z</Data_x0020_e_x0020_Modifikimit>
    <Dekretuar xmlns="0e656187-b300-4fb0-8bf4-3a50f872073c">false</Dekretuar>
    <Data xmlns="0e656187-b300-4fb0-8bf4-3a50f872073c">2026-07-23T00:00:00Z</Data>
    <Nr_x002e__x0020_protokolli_x0020_i_x0020_aktit xmlns="0e656187-b300-4fb0-8bf4-3a50f872073c">3518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128D497E2444F5EBC049DBF2E4AF9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8E4C6-FA67-41DA-A21E-DBA97E68ACB5}">
  <ds:schemaRefs>
    <ds:schemaRef ds:uri="0e656187-b300-4fb0-8bf4-3a50f872073c"/>
    <ds:schemaRef ds:uri="http://purl.org/dc/elements/1.1/"/>
    <ds:schemaRef ds:uri="http://schemas.openxmlformats.org/package/2006/metadata/core-properties"/>
    <ds:schemaRef ds:uri="http://purl.org/dc/terms/"/>
    <ds:schemaRef ds:uri="http://purl.org/dc/dcmitype/"/>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CD40577-586D-4774-A120-637F389E8D91}">
  <ds:schemaRefs>
    <ds:schemaRef ds:uri="http://schemas.microsoft.com/sharepoint/v3/contenttype/forms"/>
  </ds:schemaRefs>
</ds:datastoreItem>
</file>

<file path=customXml/itemProps3.xml><?xml version="1.0" encoding="utf-8"?>
<ds:datastoreItem xmlns:ds="http://schemas.openxmlformats.org/officeDocument/2006/customXml" ds:itemID="{19166BCD-837F-4FE7-B200-93CD6D0F7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3110636-1079-41BD-9B39-6431E8BB238B}">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588</TotalTime>
  <Pages>3</Pages>
  <Words>1699</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Inspektorit të Lartë të Drejtësisë për vitin 2025 dhe rekomandimet për vitin 2026</dc:title>
  <dc:creator>user</dc:creator>
  <cp:lastModifiedBy>fjora.cahani</cp:lastModifiedBy>
  <cp:revision>208</cp:revision>
  <cp:lastPrinted>2026-07-27T11:33:00Z</cp:lastPrinted>
  <dcterms:created xsi:type="dcterms:W3CDTF">2019-04-04T07:08:00Z</dcterms:created>
  <dcterms:modified xsi:type="dcterms:W3CDTF">2026-07-30T10:29:00Z</dcterms:modified>
</cp:coreProperties>
</file>