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F4E46" w14:textId="77777777" w:rsidR="005E7F66" w:rsidRPr="008F1506" w:rsidRDefault="005E7F66" w:rsidP="005E7F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04DE4615" w14:textId="0A21429A" w:rsidR="005E7F66" w:rsidRPr="008F1506" w:rsidRDefault="005E7F66" w:rsidP="005E7F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Nr. 4, datë 20.10.2020</w:t>
      </w:r>
    </w:p>
    <w:p w14:paraId="5E334DC6" w14:textId="77777777" w:rsidR="005E7F66" w:rsidRPr="008F1506" w:rsidRDefault="005E7F66" w:rsidP="005E7F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362058" w14:textId="0A013231" w:rsidR="005E7F66" w:rsidRPr="008F1506" w:rsidRDefault="005E7F66" w:rsidP="008F15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PËR PAJISJET QË MUND T’U VENDOSEN TRATAVE TËRHEQËSE, TRATAVE TË ZALLI</w:t>
      </w:r>
      <w:r w:rsidR="008F1506" w:rsidRPr="008F1506">
        <w:rPr>
          <w:rFonts w:ascii="Garamond" w:hAnsi="Garamond"/>
          <w:b/>
          <w:sz w:val="24"/>
          <w:szCs w:val="24"/>
          <w:lang w:val="sq-AL"/>
        </w:rPr>
        <w:t>T DHE TRATAVE TË NGJASHME ME TO</w:t>
      </w:r>
    </w:p>
    <w:p w14:paraId="41839953" w14:textId="77777777" w:rsidR="005E7F66" w:rsidRPr="008F1506" w:rsidRDefault="005E7F66" w:rsidP="005E7F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9DD85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80B374" w14:textId="25BBD85E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Në mbështetje të nenit 102, pika 4 të Kushtetutës së Republikës së Shqipërisë, të nenit 19, pika 3, shkronja “e” dhe të nenit 135, pika 2, të </w:t>
      </w:r>
      <w:r w:rsidR="008F1506">
        <w:rPr>
          <w:rFonts w:ascii="Garamond" w:hAnsi="Garamond"/>
          <w:sz w:val="24"/>
          <w:szCs w:val="24"/>
          <w:lang w:val="sq-AL"/>
        </w:rPr>
        <w:t>l</w:t>
      </w:r>
      <w:r w:rsidRPr="008F1506">
        <w:rPr>
          <w:rFonts w:ascii="Garamond" w:hAnsi="Garamond"/>
          <w:sz w:val="24"/>
          <w:szCs w:val="24"/>
          <w:lang w:val="sq-AL"/>
        </w:rPr>
        <w:t xml:space="preserve">igjit nr. 64/2012 “Për peshkimin”, të ndryshuar, ministri i </w:t>
      </w:r>
      <w:r w:rsidR="008F1506" w:rsidRPr="008F1506">
        <w:rPr>
          <w:rFonts w:ascii="Garamond" w:hAnsi="Garamond"/>
          <w:sz w:val="24"/>
          <w:szCs w:val="24"/>
          <w:lang w:val="sq-AL"/>
        </w:rPr>
        <w:t xml:space="preserve">Bujqësisë </w:t>
      </w:r>
      <w:r w:rsidRPr="008F1506">
        <w:rPr>
          <w:rFonts w:ascii="Garamond" w:hAnsi="Garamond"/>
          <w:sz w:val="24"/>
          <w:szCs w:val="24"/>
          <w:lang w:val="sq-AL"/>
        </w:rPr>
        <w:t xml:space="preserve">dhe </w:t>
      </w:r>
      <w:r w:rsidR="008F1506" w:rsidRPr="008F1506">
        <w:rPr>
          <w:rFonts w:ascii="Garamond" w:hAnsi="Garamond"/>
          <w:sz w:val="24"/>
          <w:szCs w:val="24"/>
          <w:lang w:val="sq-AL"/>
        </w:rPr>
        <w:t xml:space="preserve">Zhvillimit Rural </w:t>
      </w:r>
      <w:r w:rsidRPr="008F1506">
        <w:rPr>
          <w:rFonts w:ascii="Garamond" w:hAnsi="Garamond"/>
          <w:sz w:val="24"/>
          <w:szCs w:val="24"/>
          <w:lang w:val="sq-AL"/>
        </w:rPr>
        <w:t xml:space="preserve">miraton rregulloren si më poshtë: </w:t>
      </w:r>
    </w:p>
    <w:p w14:paraId="67451E8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71581C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</w:t>
      </w:r>
    </w:p>
    <w:p w14:paraId="6D4E0475" w14:textId="1C3E05A9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Përkufizimi</w:t>
      </w:r>
    </w:p>
    <w:p w14:paraId="61B0E108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0DF7F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Në kuptim të kësaj rregulloreje, termi “tratë” do të thotë “tratë tërheqëse, tratë zalli ose e ngjashme me to”, sipas ligjit nr. 64/2012 “Për peshkimin”, të ndryshuar.</w:t>
      </w:r>
    </w:p>
    <w:p w14:paraId="59B5CE64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EF6592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2</w:t>
      </w:r>
    </w:p>
    <w:p w14:paraId="721888DF" w14:textId="77777777" w:rsidR="005E7F66" w:rsidRPr="008F1506" w:rsidRDefault="005E7F66" w:rsidP="005E7F66">
      <w:pPr>
        <w:pStyle w:val="Neninr0"/>
        <w:rPr>
          <w:b/>
          <w:lang w:val="sq-AL"/>
        </w:rPr>
      </w:pPr>
      <w:proofErr w:type="spellStart"/>
      <w:r w:rsidRPr="008F1506">
        <w:rPr>
          <w:b/>
          <w:lang w:val="sq-AL"/>
        </w:rPr>
        <w:t>Skarcela</w:t>
      </w:r>
      <w:proofErr w:type="spellEnd"/>
    </w:p>
    <w:p w14:paraId="2EBBAE0B" w14:textId="77777777" w:rsidR="005E7F66" w:rsidRPr="008F1506" w:rsidRDefault="005E7F66" w:rsidP="005E7F66">
      <w:pPr>
        <w:pStyle w:val="Neninr0"/>
        <w:rPr>
          <w:lang w:val="sq-AL"/>
        </w:rPr>
      </w:pPr>
    </w:p>
    <w:p w14:paraId="3247D65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mund të jetë prej cope, rrjete ose nga çfarëdolloj materiali tjetër.</w:t>
      </w:r>
    </w:p>
    <w:p w14:paraId="08F7714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Mund të përdoren në të njëjtën kohë disa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, që mund të mbivendosen. </w:t>
      </w:r>
    </w:p>
    <w:p w14:paraId="17C23D5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mund të lidhen vetëm në pjesën e jashtme të tratës dhe vetëm në gjysmën e poshtme të çfarëdolloj rrjete.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mund të fiksohet në bordin e përparmë ose në bordet anësore.</w:t>
      </w:r>
    </w:p>
    <w:p w14:paraId="5702854D" w14:textId="5CEE9FEB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4. Nëse përdoren këmisha thesi ose gyp lidhës,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mund të fiksohet vetëm jashtë </w:t>
      </w:r>
      <w:r w:rsidR="00B9534F" w:rsidRPr="008F1506">
        <w:rPr>
          <w:rFonts w:ascii="Garamond" w:hAnsi="Garamond"/>
          <w:sz w:val="24"/>
          <w:szCs w:val="24"/>
          <w:lang w:val="sq-AL"/>
        </w:rPr>
        <w:t>k</w:t>
      </w:r>
      <w:r w:rsidR="00B9534F">
        <w:rPr>
          <w:rFonts w:ascii="Garamond" w:hAnsi="Garamond"/>
          <w:sz w:val="24"/>
          <w:szCs w:val="24"/>
          <w:lang w:val="sq-AL"/>
        </w:rPr>
        <w:t>ë</w:t>
      </w:r>
      <w:r w:rsidR="00B9534F" w:rsidRPr="008F1506">
        <w:rPr>
          <w:rFonts w:ascii="Garamond" w:hAnsi="Garamond"/>
          <w:sz w:val="24"/>
          <w:szCs w:val="24"/>
          <w:lang w:val="sq-AL"/>
        </w:rPr>
        <w:t>mishëve</w:t>
      </w:r>
      <w:r w:rsidRPr="008F1506">
        <w:rPr>
          <w:rFonts w:ascii="Garamond" w:hAnsi="Garamond"/>
          <w:sz w:val="24"/>
          <w:szCs w:val="24"/>
          <w:lang w:val="sq-AL"/>
        </w:rPr>
        <w:t xml:space="preserve"> dhe sipas mënyrës së përcaktuar në pikën 3</w:t>
      </w:r>
      <w:r w:rsidR="001A02DC">
        <w:rPr>
          <w:rFonts w:ascii="Garamond" w:hAnsi="Garamond"/>
          <w:sz w:val="24"/>
          <w:szCs w:val="24"/>
          <w:lang w:val="sq-AL"/>
        </w:rPr>
        <w:t>,</w:t>
      </w:r>
      <w:r w:rsidRPr="008F1506">
        <w:rPr>
          <w:rFonts w:ascii="Garamond" w:hAnsi="Garamond"/>
          <w:sz w:val="24"/>
          <w:szCs w:val="24"/>
          <w:lang w:val="sq-AL"/>
        </w:rPr>
        <w:t xml:space="preserve"> të këtij neni.</w:t>
      </w:r>
    </w:p>
    <w:p w14:paraId="71109C0F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C0B45D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3</w:t>
      </w:r>
    </w:p>
    <w:p w14:paraId="79D42202" w14:textId="77EEF213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S</w:t>
      </w:r>
      <w:r w:rsidR="001A02DC">
        <w:rPr>
          <w:b/>
          <w:lang w:val="sq-AL"/>
        </w:rPr>
        <w:t>y</w:t>
      </w:r>
      <w:r w:rsidRPr="008F1506">
        <w:rPr>
          <w:b/>
          <w:lang w:val="sq-AL"/>
        </w:rPr>
        <w:t>prina</w:t>
      </w:r>
    </w:p>
    <w:p w14:paraId="253FD0E7" w14:textId="77777777" w:rsidR="005E7F66" w:rsidRPr="008F1506" w:rsidRDefault="005E7F66" w:rsidP="005E7F66">
      <w:pPr>
        <w:pStyle w:val="Neninr0"/>
        <w:rPr>
          <w:lang w:val="sq-AL"/>
        </w:rPr>
      </w:pPr>
    </w:p>
    <w:p w14:paraId="5A2998D7" w14:textId="6B76F2BE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1. Lejohet përdorimi i secilës prej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>prinave të emëruar të llojit A dhe B.</w:t>
      </w:r>
    </w:p>
    <w:p w14:paraId="08D96286" w14:textId="5E3EEFDB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2.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>prina e llojit A mund të formohet nga çfarëdolloj pjesë rrjete drejtkëndore, madhësia e syzeve të së cilës janë të paktën të barabartë me syzet e thesit. Gjerësia e saj duhet të jetë të paktën sa njëherë e gjysm</w:t>
      </w:r>
      <w:r w:rsidR="00956E7E" w:rsidRPr="008F1506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 xml:space="preserve"> gjerësia e thesit që ajo mbulon, të dyja të matura pingul me aksin gjatësor të thesit. </w:t>
      </w:r>
    </w:p>
    <w:p w14:paraId="16A5702B" w14:textId="0AFFE910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prina mund të lidhet në bordin e përparmë ose në bordet anësore vetëm në gjysmën e sipërme të jashtme të thesit. </w:t>
      </w:r>
    </w:p>
    <w:p w14:paraId="63CCF204" w14:textId="5404A2B3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Nëse thesi është i pajisur me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mbajtëse,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prina fiksohet në mënyrë që të mos zgjatet përpara më shumë se katër syze nga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e pasme. Në rast të kundërt, ajo fiksohet në mënyrë që të mos mbulojë më shumë se një të tretën e fundit të poshtëm të thesit. Në të dyja rastet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>prina duhet të përfundojë katër syze më poshtë se vija e mbylljes.</w:t>
      </w:r>
    </w:p>
    <w:p w14:paraId="486D7FD5" w14:textId="1822B8B4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3.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prina e llojit B mund të jetë prej çfarëdolloj rrjete drejtkëndore, të jetë prodhuar me palë të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njëjtit diametër me atë të thesit dhe të ketë syze me madhësinë dyfish me syzet e thesit. Ajo mund të mbulojë plotësisht gjysmën e sipërme të thesit dhe lidhet vetëm përgjatë bordeve në mënyrë që, në pikat e kapjes, ana e secilës syze të përputhet me dy anë të syzeve të thesit.  </w:t>
      </w:r>
    </w:p>
    <w:p w14:paraId="2BCDFC4D" w14:textId="5552C09F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4. Ndalohet përdorimi i disa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>prinave në të njëjtën kohë.</w:t>
      </w:r>
    </w:p>
    <w:p w14:paraId="1854DB5C" w14:textId="40C628A2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5. Ndalohet përdorimi në të njëjtën kohë i një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prine dhe të një këmishe thesi, me përjashtim të tratave me syze me madhësi më të vogël ose të barabartë me 60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.</w:t>
      </w:r>
    </w:p>
    <w:p w14:paraId="0A70138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AA7B0A" w14:textId="77777777" w:rsidR="005E7F66" w:rsidRPr="008F1506" w:rsidRDefault="005E7F66" w:rsidP="005E7F66">
      <w:pPr>
        <w:pStyle w:val="NeniNr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lastRenderedPageBreak/>
        <w:t>Neni 4</w:t>
      </w:r>
    </w:p>
    <w:p w14:paraId="0F3EE350" w14:textId="77777777" w:rsidR="005E7F66" w:rsidRPr="008F1506" w:rsidRDefault="005E7F66" w:rsidP="005E7F66">
      <w:pPr>
        <w:pStyle w:val="NeniN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Këmisha e thesit</w:t>
      </w:r>
    </w:p>
    <w:p w14:paraId="43C1D87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A31BC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1. Këmisha e thesit është një pjesë rrjete në formë cilindrike që mbështjell plotësisht thesin e tratave dhe mund të kapet me të me intervale. Këmisha e thesit ka madhësi (gjatësi, gjerësi) të paktën të barabartë me pjesët e thesit me të cilat është i lidhur.</w:t>
      </w:r>
    </w:p>
    <w:p w14:paraId="5E6D5F1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Ndalohet përdorimi i më shumë se një këmishe thesi, me përjashtim të rasteve të lidhjes me trata me syze me madhësi të barabartë ose më të vogël se 60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, për të cilat lejohen dy këmisha thesi. </w:t>
      </w:r>
    </w:p>
    <w:p w14:paraId="24E68978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Madhësia e syzes së këmishës së thesit duhet të jetë të paktën dyfishi i madhësisë së syzes së thesit të tratës. Nëse përdoret një këmishë e dytë thesi, madhësia minimale e syzes së saj duhet të jetë 120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.</w:t>
      </w:r>
    </w:p>
    <w:p w14:paraId="68527151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4. Ndalohet lidhja e një këmishe thesi në tratat me syze me madhësi më të madhe se 70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.</w:t>
      </w:r>
    </w:p>
    <w:p w14:paraId="3DD22FA8" w14:textId="641AABE0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5. Ndalohet përdorimi në të njëjtën kohë të një këmishe thesi dhe të një s</w:t>
      </w:r>
      <w:r w:rsidR="001A02DC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prine. </w:t>
      </w:r>
    </w:p>
    <w:p w14:paraId="437B03D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6. Ndalohet përdorimi i një këmishe thesi me syze me madhësi më të vogël se 80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. </w:t>
      </w:r>
    </w:p>
    <w:p w14:paraId="614F37B4" w14:textId="4B232062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7. Ndalohet përdorimi i më shumë se një këmishe thesi, me përjashtim të rasteve të tratave me syze me madhësi më të vogël se 16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, për të cilat lejohen dy këmisha thesi. Si përjashtim i pikës 6, madhësia e syzes e secilës prej këmish</w:t>
      </w:r>
      <w:r w:rsidR="001A02DC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 xml:space="preserve">ve të thesit mund të jetë më i vogël se 80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por jo më i vogël se 35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. </w:t>
      </w:r>
    </w:p>
    <w:p w14:paraId="3718E41C" w14:textId="71E159A2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8. Ndalohet përdorimi i këmish</w:t>
      </w:r>
      <w:r w:rsidR="001A02DC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>ve të thesit që e kalojnë pjesën e përparme të thesit të tratës.</w:t>
      </w:r>
    </w:p>
    <w:p w14:paraId="50F3D95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9. Nëse një këmishë thesi përbëhet nga pjesë rrjetash në formë cilindrike, mbivendosja e pjesëve në  pikat e lidhjes nuk mund jetë më shumë se 4 syze.</w:t>
      </w:r>
    </w:p>
    <w:p w14:paraId="35E5D046" w14:textId="33CFAAC5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10. Në tratat me madhësi  syze më të madhe se 60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, këmish</w:t>
      </w:r>
      <w:r w:rsidR="001A02DC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 xml:space="preserve">t e thesit të lidhura me to, nuk duhet të zgjaten në pjesën e përparme më shumë se dy metra tej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bragës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të poshtme.</w:t>
      </w:r>
    </w:p>
    <w:p w14:paraId="7E9AB13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73D5F6" w14:textId="77777777" w:rsidR="005E7F66" w:rsidRPr="008F1506" w:rsidRDefault="005E7F66" w:rsidP="005E7F66">
      <w:pPr>
        <w:pStyle w:val="NeniNr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Neni 5</w:t>
      </w:r>
    </w:p>
    <w:p w14:paraId="12E4119E" w14:textId="77777777" w:rsidR="005E7F66" w:rsidRPr="008F1506" w:rsidRDefault="005E7F66" w:rsidP="005E7F66">
      <w:pPr>
        <w:pStyle w:val="NeniN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Gypi lidhës</w:t>
      </w:r>
    </w:p>
    <w:p w14:paraId="0F8E40B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84864E" w14:textId="772D610E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1. Gypi lidhës është një pjesë rrjete e shkurtër, me formë cilindrike, e cila ka të njëjtin perimetër me thesin e tratës ose të këmish</w:t>
      </w:r>
      <w:r w:rsidR="003A546A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>ve të thesit, që rrethon thesin e tratës ose këmish</w:t>
      </w:r>
      <w:r w:rsidR="003A546A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 xml:space="preserve">t e thesit në pikat e lidhjes me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bragën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mbajtëse.  </w:t>
      </w:r>
    </w:p>
    <w:p w14:paraId="4121491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Gypi lidhës nuk mund të përdoret nëse nuk ka një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të lidhur me thesin e rrjetës.</w:t>
      </w:r>
    </w:p>
    <w:p w14:paraId="34FE8AC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Ndalohet përdorimi i një gypi lidhës më të gjatë se një metër. </w:t>
      </w:r>
    </w:p>
    <w:p w14:paraId="241F5C7F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4. Gypi lidhës mund të lidhet vetëm përpara dhe mbrapa secilës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mbajtëse. </w:t>
      </w:r>
    </w:p>
    <w:p w14:paraId="622C4A4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5. Syzet e gypit lidhës duhet të kenë madhësi të paktën të barabartë me madhësinë e syzes së thesit të tratës.</w:t>
      </w:r>
    </w:p>
    <w:p w14:paraId="582B67D4" w14:textId="4FAF58C5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6. Perimetri i gypit lidhës dhe ai i thesit të tratës ose eventualisht i këmish</w:t>
      </w:r>
      <w:r w:rsidR="003A546A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>ve të thesit krahasohen duke tërhequr copat me të njëjtën forcë.</w:t>
      </w:r>
    </w:p>
    <w:p w14:paraId="5F56428A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3B1386" w14:textId="77777777" w:rsidR="005E7F66" w:rsidRPr="008F1506" w:rsidRDefault="005E7F66" w:rsidP="005E7F66">
      <w:pPr>
        <w:pStyle w:val="NeniNr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Neni 6</w:t>
      </w:r>
    </w:p>
    <w:p w14:paraId="3968B78C" w14:textId="77777777" w:rsidR="005E7F66" w:rsidRPr="008F1506" w:rsidRDefault="005E7F66" w:rsidP="005E7F66">
      <w:pPr>
        <w:pStyle w:val="NeniNr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Lidhësja e thesit (</w:t>
      </w:r>
      <w:proofErr w:type="spellStart"/>
      <w:r w:rsidRPr="008F1506">
        <w:rPr>
          <w:rFonts w:ascii="Garamond" w:hAnsi="Garamond"/>
          <w:b/>
          <w:sz w:val="24"/>
          <w:szCs w:val="24"/>
          <w:lang w:val="sq-AL"/>
        </w:rPr>
        <w:t>braga</w:t>
      </w:r>
      <w:proofErr w:type="spellEnd"/>
      <w:r w:rsidRPr="008F1506">
        <w:rPr>
          <w:rFonts w:ascii="Garamond" w:hAnsi="Garamond"/>
          <w:b/>
          <w:sz w:val="24"/>
          <w:szCs w:val="24"/>
          <w:lang w:val="sq-AL"/>
        </w:rPr>
        <w:t xml:space="preserve"> e mbylljes)</w:t>
      </w:r>
    </w:p>
    <w:p w14:paraId="0B438499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15654B9" w14:textId="316CCFB2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Lidhësja e thesit është një litar që kryen mbylljen e pjesës fundore të thesit të tratës dhe/ose të gypave lidhës nëpërmjet një nyje lehtësisht të zgjidhshme ose nëpërmjet një pajisjeje mekanike.   </w:t>
      </w:r>
    </w:p>
    <w:p w14:paraId="67FCEF08" w14:textId="10C8F850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Lidhësja e thesit lidhet jo më larg se një metër nga syzet e fundit të thesit të tratës, të cilat mund të palosen brenda thesit të tratës.  Megjithatë, nëse një </w:t>
      </w:r>
      <w:r w:rsidR="003A546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A546A">
        <w:rPr>
          <w:rFonts w:ascii="Garamond" w:hAnsi="Garamond"/>
          <w:i/>
          <w:sz w:val="24"/>
          <w:szCs w:val="24"/>
          <w:lang w:val="sq-AL"/>
        </w:rPr>
        <w:t>torquette</w:t>
      </w:r>
      <w:proofErr w:type="spellEnd"/>
      <w:r w:rsidR="003A546A">
        <w:rPr>
          <w:rFonts w:ascii="Garamond" w:hAnsi="Garamond"/>
          <w:sz w:val="24"/>
          <w:szCs w:val="24"/>
          <w:lang w:val="sq-AL"/>
        </w:rPr>
        <w:t>”</w:t>
      </w:r>
      <w:r w:rsidRPr="008F1506">
        <w:rPr>
          <w:rFonts w:ascii="Garamond" w:hAnsi="Garamond"/>
          <w:sz w:val="24"/>
          <w:szCs w:val="24"/>
          <w:lang w:val="sq-AL"/>
        </w:rPr>
        <w:t xml:space="preserve"> lidhet sipas mënyrës së treguar në nenin 12, lidhësja e thesit do të kalojë nëpërmjet syzeve të fundit të thesit të tratës. </w:t>
      </w:r>
    </w:p>
    <w:p w14:paraId="6D6AFE17" w14:textId="67FDD9ED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lastRenderedPageBreak/>
        <w:t xml:space="preserve">3. Lejohet përdorimi i më shumë se një lidhëseje thesi për tratat. Lidhësja nuk mund të mbyllë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skarcelën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dhe s</w:t>
      </w:r>
      <w:r w:rsidR="003A546A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>prinën.</w:t>
      </w:r>
    </w:p>
    <w:p w14:paraId="3CA2AB2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4. Si përjashtim të pikës 2, në anijet e pajisura me sisteme pompimi ne bord dhe që zhvillojnë aktivitet me trata me syze më të vogla se 70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mm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, lidhësja e thesit mund të lidhet jo më larg se dhjetë metra nga syzet e fundit te thesit të tratës. </w:t>
      </w:r>
    </w:p>
    <w:p w14:paraId="4B9680B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8C8EC5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7</w:t>
      </w:r>
    </w:p>
    <w:p w14:paraId="764DFDB8" w14:textId="77777777" w:rsidR="005E7F66" w:rsidRPr="008F1506" w:rsidRDefault="005E7F66" w:rsidP="005E7F66">
      <w:pPr>
        <w:pStyle w:val="Neninr0"/>
        <w:rPr>
          <w:b/>
          <w:lang w:val="sq-AL"/>
        </w:rPr>
      </w:pPr>
      <w:proofErr w:type="spellStart"/>
      <w:r w:rsidRPr="008F1506">
        <w:rPr>
          <w:b/>
          <w:lang w:val="sq-AL"/>
        </w:rPr>
        <w:t>Braga</w:t>
      </w:r>
      <w:proofErr w:type="spellEnd"/>
      <w:r w:rsidRPr="008F1506">
        <w:rPr>
          <w:b/>
          <w:lang w:val="sq-AL"/>
        </w:rPr>
        <w:t xml:space="preserve"> mbajtëse</w:t>
      </w:r>
    </w:p>
    <w:p w14:paraId="67D583E3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0B7A1A" w14:textId="42BE918C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është një copë litari ose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kavo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çeliku që shtrihet përgjatë perimetrit të thesit ose eventualisht të këmishës së thesit, e lidhur me të nëpërmjet nyj</w:t>
      </w:r>
      <w:r w:rsidR="003A546A">
        <w:rPr>
          <w:rFonts w:ascii="Garamond" w:hAnsi="Garamond"/>
          <w:sz w:val="24"/>
          <w:szCs w:val="24"/>
          <w:lang w:val="sq-AL"/>
        </w:rPr>
        <w:t>a</w:t>
      </w:r>
      <w:r w:rsidRPr="008F1506">
        <w:rPr>
          <w:rFonts w:ascii="Garamond" w:hAnsi="Garamond"/>
          <w:sz w:val="24"/>
          <w:szCs w:val="24"/>
          <w:lang w:val="sq-AL"/>
        </w:rPr>
        <w:t xml:space="preserve">ve ose unazave. Lejohet përdorimi në çdo moment i më shumë se një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mbrojtëse.</w:t>
      </w:r>
    </w:p>
    <w:p w14:paraId="3857ED78" w14:textId="2170F44D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Gjatësia minimale 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bragave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rregullohet nga të njëjtat rregulla të zbatueshme për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bragat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përforcuese, të përcaktuara në nenin 9, me përjashtimin që,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mbajtëse më e afërt me lidhësen e thesit mund të jetë më e </w:t>
      </w:r>
      <w:r w:rsidR="003A546A" w:rsidRPr="008F1506">
        <w:rPr>
          <w:rFonts w:ascii="Garamond" w:hAnsi="Garamond"/>
          <w:sz w:val="24"/>
          <w:szCs w:val="24"/>
          <w:lang w:val="sq-AL"/>
        </w:rPr>
        <w:t>shkurtër</w:t>
      </w:r>
      <w:r w:rsidRPr="008F1506">
        <w:rPr>
          <w:rFonts w:ascii="Garamond" w:hAnsi="Garamond"/>
          <w:sz w:val="24"/>
          <w:szCs w:val="24"/>
          <w:lang w:val="sq-AL"/>
        </w:rPr>
        <w:t>.</w:t>
      </w:r>
    </w:p>
    <w:p w14:paraId="0531824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3DED03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8</w:t>
      </w:r>
    </w:p>
    <w:p w14:paraId="02BA4C75" w14:textId="77777777" w:rsidR="005E7F66" w:rsidRPr="008F1506" w:rsidRDefault="005E7F66" w:rsidP="005E7F66">
      <w:pPr>
        <w:pStyle w:val="Neninr0"/>
        <w:rPr>
          <w:b/>
          <w:lang w:val="sq-AL"/>
        </w:rPr>
      </w:pPr>
      <w:proofErr w:type="spellStart"/>
      <w:r w:rsidRPr="008F1506">
        <w:rPr>
          <w:b/>
          <w:lang w:val="sq-AL"/>
        </w:rPr>
        <w:t>Braga</w:t>
      </w:r>
      <w:proofErr w:type="spellEnd"/>
      <w:r w:rsidRPr="008F1506">
        <w:rPr>
          <w:b/>
          <w:lang w:val="sq-AL"/>
        </w:rPr>
        <w:t xml:space="preserve"> përforcuese</w:t>
      </w:r>
    </w:p>
    <w:p w14:paraId="575F4CA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13D91B" w14:textId="75221F4D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Bragat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përforcuese janë litarë në formë unazash që mbërthejnë thesin e tratës ose këmish</w:t>
      </w:r>
      <w:r w:rsidR="003A546A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>t e thesit me të cilat janë të lidhura në intervale të rregullta.</w:t>
      </w:r>
    </w:p>
    <w:p w14:paraId="547CA7E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Gjatësia e një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përforcuese nuk duhet të jetë më e vogël se 40% e perimetrit thesit të tratës, që llogaritet duke shumëzuar numrin e syzeve të pranishme në perimetrin e thesit me madhësinë efektive të syzes, me përjashtim të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bragës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së fundit përforcuese, të quajtur “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e pasme”, nëse ajo është e lidhur në një distancë jo më të madhe se dy metra nga lidhësja e thesit, distancë që matet me syze të shtrira në mënyrë gjatësore.</w:t>
      </w:r>
    </w:p>
    <w:p w14:paraId="4D42BB4F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Distanca ndërmjet dy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bragave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përforcuese të njëpasnjëshme nuk duhet të jetë më e vogël se një metër.</w:t>
      </w:r>
    </w:p>
    <w:p w14:paraId="1418B6D8" w14:textId="07633CD1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4. Një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bragë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përforcuese mund të mbërthejë këmish</w:t>
      </w:r>
      <w:r w:rsidR="003A546A">
        <w:rPr>
          <w:rFonts w:ascii="Garamond" w:hAnsi="Garamond"/>
          <w:sz w:val="24"/>
          <w:szCs w:val="24"/>
          <w:lang w:val="sq-AL"/>
        </w:rPr>
        <w:t>ë</w:t>
      </w:r>
      <w:r w:rsidRPr="008F1506">
        <w:rPr>
          <w:rFonts w:ascii="Garamond" w:hAnsi="Garamond"/>
          <w:sz w:val="24"/>
          <w:szCs w:val="24"/>
          <w:lang w:val="sq-AL"/>
        </w:rPr>
        <w:t>t e thesit, por jo s</w:t>
      </w:r>
      <w:r w:rsidR="003A546A">
        <w:rPr>
          <w:rFonts w:ascii="Garamond" w:hAnsi="Garamond"/>
          <w:sz w:val="24"/>
          <w:szCs w:val="24"/>
          <w:lang w:val="sq-AL"/>
        </w:rPr>
        <w:t>y</w:t>
      </w:r>
      <w:r w:rsidRPr="008F1506">
        <w:rPr>
          <w:rFonts w:ascii="Garamond" w:hAnsi="Garamond"/>
          <w:sz w:val="24"/>
          <w:szCs w:val="24"/>
          <w:lang w:val="sq-AL"/>
        </w:rPr>
        <w:t xml:space="preserve">prinën ose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skarcelën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.</w:t>
      </w:r>
    </w:p>
    <w:p w14:paraId="7E0BCC33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2B3A96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9</w:t>
      </w:r>
    </w:p>
    <w:p w14:paraId="7C735638" w14:textId="77777777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Perde (llapë)</w:t>
      </w:r>
    </w:p>
    <w:p w14:paraId="25A5A934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BF985A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Perdja është pjesë rrjete me syze të paktën me të njëjtën madhësi si ajo e thesit, e fiksuar në brendësi të tratës në mënyrë që të lejojë që zëniet të kalojnë nga pjesa e përparme te pjesa 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mbrapme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e rrjetës, duke penguar në të njëjtën kohë mundësinë e rikthimit mbrapsht.</w:t>
      </w:r>
    </w:p>
    <w:p w14:paraId="2444B83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2. Perdja lidhet me bordin e sipërm por ajo mund të lidhet edhe me bordet anësore. Lidhja bëhet në pjesën e brendshme të thesit të tratës ose në pjesën e tij të sipërme.</w:t>
      </w:r>
    </w:p>
    <w:p w14:paraId="730B7684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3. Distanca midis pikës së lidhjes së pjesës së përparme të perdes dhe pjesës së poshtme të thesit të tratës duhet të jetë së paku sa trefishi i gjatësisë së perdes.</w:t>
      </w:r>
    </w:p>
    <w:p w14:paraId="5F590049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CEA70F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10</w:t>
      </w:r>
    </w:p>
    <w:p w14:paraId="27EB9CBA" w14:textId="77777777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 xml:space="preserve">Thesi </w:t>
      </w:r>
      <w:proofErr w:type="spellStart"/>
      <w:r w:rsidRPr="008F1506">
        <w:rPr>
          <w:b/>
          <w:lang w:val="sq-AL"/>
        </w:rPr>
        <w:t>selektiv</w:t>
      </w:r>
      <w:proofErr w:type="spellEnd"/>
    </w:p>
    <w:p w14:paraId="746CECE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E860D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Thesi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selektiv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është një pjesë rrjete me syze me madhësi të paktën sa dyfishi i syzes së thesit të tratës.</w:t>
      </w:r>
    </w:p>
    <w:p w14:paraId="31D7E6B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lastRenderedPageBreak/>
        <w:t xml:space="preserve">2. Thesi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selektiv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lidhet në pjesën e brendshme të tratës përpara thesit dhe nuk duhet të zgjatet në thes më shumë se një e treta e gjatësisë së këtij të fundit. Thesi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selektiv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mund të lidhet me tratën në të gjitha anët.</w:t>
      </w:r>
    </w:p>
    <w:p w14:paraId="42BA75F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Mund të përdoren në të njëjtën kohë maksimumi dy thasë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selektivë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, vetëm nëse ata janë të lidhur respektivisht me gjysmën e sipërme dhe gjysmën e poshtme të tratës dhe që nuk mbivendosen në asnjë pikë.</w:t>
      </w:r>
    </w:p>
    <w:p w14:paraId="11C9217A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4D2249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11</w:t>
      </w:r>
    </w:p>
    <w:p w14:paraId="582906E9" w14:textId="77777777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Cimë përforcuese</w:t>
      </w:r>
    </w:p>
    <w:p w14:paraId="6C160AC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B01E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1. Me cimë përforcuese kuptohet çfarëdolloj litari, i ndryshëm nga litari anësor, i lidhur me çfarëdolloj pjese të tratës.</w:t>
      </w:r>
    </w:p>
    <w:p w14:paraId="1085761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2. Ndalohet lidhja e cimave përforcuese në brendësi të thesit të tratës.</w:t>
      </w:r>
    </w:p>
    <w:p w14:paraId="24A85CBF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0FB1B5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12</w:t>
      </w:r>
    </w:p>
    <w:p w14:paraId="542161CA" w14:textId="77777777" w:rsidR="005E7F66" w:rsidRPr="008F1506" w:rsidRDefault="005E7F66" w:rsidP="005E7F66">
      <w:pPr>
        <w:pStyle w:val="Neninr0"/>
        <w:rPr>
          <w:b/>
          <w:lang w:val="sq-AL"/>
        </w:rPr>
      </w:pPr>
      <w:bookmarkStart w:id="0" w:name="OLE_LINK1"/>
      <w:bookmarkStart w:id="1" w:name="OLE_LINK2"/>
      <w:proofErr w:type="spellStart"/>
      <w:r w:rsidRPr="003A546A">
        <w:rPr>
          <w:b/>
          <w:i/>
          <w:lang w:val="sq-AL"/>
        </w:rPr>
        <w:t>Torquette</w:t>
      </w:r>
      <w:bookmarkEnd w:id="0"/>
      <w:bookmarkEnd w:id="1"/>
      <w:proofErr w:type="spellEnd"/>
    </w:p>
    <w:p w14:paraId="69FAC6F4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B17819" w14:textId="69D85255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1. </w:t>
      </w:r>
      <w:r w:rsidR="003A546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A546A">
        <w:rPr>
          <w:rFonts w:ascii="Garamond" w:hAnsi="Garamond"/>
          <w:i/>
          <w:sz w:val="24"/>
          <w:szCs w:val="24"/>
          <w:lang w:val="sq-AL"/>
        </w:rPr>
        <w:t>Torquette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» është një pjesë rrjete e fiksuar në brendësi të thesit të tratës, në pjesën fundore të këtij të fundit.</w:t>
      </w:r>
    </w:p>
    <w:p w14:paraId="76591844" w14:textId="427E0670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2. Madhësia e syzes së </w:t>
      </w:r>
      <w:r w:rsidR="003A546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A546A">
        <w:rPr>
          <w:rFonts w:ascii="Garamond" w:hAnsi="Garamond"/>
          <w:i/>
          <w:sz w:val="24"/>
          <w:szCs w:val="24"/>
          <w:lang w:val="sq-AL"/>
        </w:rPr>
        <w:t>torquette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» nuk duhet të jetë më e vogël se ajo e syzes së thesit.</w:t>
      </w:r>
    </w:p>
    <w:p w14:paraId="5304E9F4" w14:textId="16C44086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3. </w:t>
      </w:r>
      <w:r w:rsidR="003A546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A546A">
        <w:rPr>
          <w:rFonts w:ascii="Garamond" w:hAnsi="Garamond"/>
          <w:i/>
          <w:sz w:val="24"/>
          <w:szCs w:val="24"/>
          <w:lang w:val="sq-AL"/>
        </w:rPr>
        <w:t>Torquette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>» lidhet vetëm me anën e përparme të saj dhe jo më përpara se pesë syzet e fundit të thesit te tratës. Ajo nuk duhet të zgjatet mbrapa më tej se një metër nga syzet e fundit të thesit të tratës.</w:t>
      </w:r>
    </w:p>
    <w:p w14:paraId="54AF67F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901C37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13</w:t>
      </w:r>
    </w:p>
    <w:p w14:paraId="79975D5E" w14:textId="77777777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Qepja përgjatë vijës së mesit të një thesi të palosur</w:t>
      </w:r>
    </w:p>
    <w:p w14:paraId="68353D9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5D4D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Syzet e thesit të një trate tërheqëse mund të qepen bashkë, duke lidhur në mënyrë gjatësore gjysmën e sipërme dhe gjysmën e poshtme, për të formuar një thes të palosur.</w:t>
      </w:r>
    </w:p>
    <w:p w14:paraId="1223E38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DD53B8" w14:textId="77777777" w:rsidR="005E7F66" w:rsidRPr="008F1506" w:rsidRDefault="005E7F66" w:rsidP="005E7F66">
      <w:pPr>
        <w:pStyle w:val="Neninr0"/>
        <w:rPr>
          <w:lang w:val="sq-AL"/>
        </w:rPr>
      </w:pPr>
      <w:r w:rsidRPr="008F1506">
        <w:rPr>
          <w:lang w:val="sq-AL"/>
        </w:rPr>
        <w:t>Neni 14</w:t>
      </w:r>
    </w:p>
    <w:p w14:paraId="16E175DD" w14:textId="77777777" w:rsidR="005E7F66" w:rsidRPr="008F1506" w:rsidRDefault="005E7F66" w:rsidP="005E7F66">
      <w:pPr>
        <w:pStyle w:val="Neninr0"/>
        <w:rPr>
          <w:b/>
          <w:lang w:val="sq-AL"/>
        </w:rPr>
      </w:pPr>
      <w:r w:rsidRPr="008F1506">
        <w:rPr>
          <w:b/>
          <w:lang w:val="sq-AL"/>
        </w:rPr>
        <w:t>Hyrja në fuqi</w:t>
      </w:r>
    </w:p>
    <w:p w14:paraId="5D8873D0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27365B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Kjo rregullore hyn në fuqi 15 ditë pas botimit në Fletoren Zyrtare.</w:t>
      </w:r>
    </w:p>
    <w:p w14:paraId="001213C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6D4FB" w14:textId="77777777" w:rsidR="005E7F66" w:rsidRPr="008F1506" w:rsidRDefault="005E7F66" w:rsidP="005E7F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508E2551" w14:textId="119583CB" w:rsidR="005E7F66" w:rsidRPr="008F1506" w:rsidRDefault="005E7F66" w:rsidP="005E7F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ZHVILLIMIT RURAL</w:t>
      </w:r>
    </w:p>
    <w:p w14:paraId="759C3AE3" w14:textId="7F94AE03" w:rsidR="005E7F66" w:rsidRPr="008F1506" w:rsidRDefault="005E7F66" w:rsidP="005E7F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F1506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7F5FE36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3A7C48" w14:textId="01EC1E0A" w:rsidR="005E7F66" w:rsidRPr="008F1506" w:rsidRDefault="005E7F66" w:rsidP="003A54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ANEKS</w:t>
      </w:r>
    </w:p>
    <w:p w14:paraId="03BEC28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89B5D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Përkufizimi i disa termave teknikë dhe i disa pajisjeve ose punimeve që zakonisht përbëjnë pjesë integrale të një trate ose që mund të përdoren së bashku me një tratë.</w:t>
      </w:r>
    </w:p>
    <w:p w14:paraId="3EAD2A1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Thesi i tratës:</w:t>
      </w:r>
    </w:p>
    <w:p w14:paraId="143445AB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Thesi është pjesa e skaji fundor i tratës, me formë cilindrike, pra me perimetër të njëjtë në çdo pjesë të tij, ose me formë të konike.</w:t>
      </w:r>
    </w:p>
    <w:p w14:paraId="3461630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Thesi i tratës mund të përfshijë thesin në kuptimin e vërtetë të fjalës dhe eventualisht grykën. </w:t>
      </w:r>
    </w:p>
    <w:p w14:paraId="1720B5F9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Thesi i rrjetës së tratave koçe (fundore) në kuptimin e vërtetë të fjalës:</w:t>
      </w:r>
    </w:p>
    <w:p w14:paraId="5CF1CE4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lastRenderedPageBreak/>
        <w:t xml:space="preserve">Thesi në kuptimin e vërtetë të fjalës është i formuar nga një copë rrjete, me syze me të njëjtën madhësi, të qepura me njëra-tjetrën përgjatë anëve të rrjetës, së cilës mund t’i lidhet edhe një litar anësor. </w:t>
      </w:r>
    </w:p>
    <w:p w14:paraId="43842655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Gryka e thesit:</w:t>
      </w:r>
    </w:p>
    <w:p w14:paraId="3FBF53DC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Gryka e thesit përbëhet nga një ose më shumë pjesë rrjetash të ndodhura menjëherë përpara thesit ne kuptimin e vërtetë të fjalës.</w:t>
      </w:r>
      <w:bookmarkStart w:id="2" w:name="_GoBack"/>
      <w:bookmarkEnd w:id="2"/>
    </w:p>
    <w:p w14:paraId="2A00F59E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Qepje përforcuese:</w:t>
      </w:r>
    </w:p>
    <w:p w14:paraId="01DB67F3" w14:textId="01222F28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Qepja përforcuese bashkon dy copa rrjetash dhe përbëhet nga rreshta syzesh të qepura së bashku për të përforcuar rrjetën.</w:t>
      </w:r>
    </w:p>
    <w:p w14:paraId="592F759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Litari anësor:</w:t>
      </w:r>
    </w:p>
    <w:p w14:paraId="0CBE46E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Litar anësor përcaktohet si një litar që shtrihet në pjesën gjatësore të rrjetës dhe është i lidhur me këtë të fundit përgjatë qepjes anësore në drejtimin e aksit të rrjetës.</w:t>
      </w:r>
    </w:p>
    <w:p w14:paraId="7AB29C66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F1506">
        <w:rPr>
          <w:rFonts w:ascii="Garamond" w:hAnsi="Garamond"/>
          <w:sz w:val="24"/>
          <w:szCs w:val="24"/>
          <w:lang w:val="sq-AL"/>
        </w:rPr>
        <w:t>Galexhanti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(poçet e tratës):</w:t>
      </w:r>
    </w:p>
    <w:p w14:paraId="3126F3C2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F1506">
        <w:rPr>
          <w:rFonts w:ascii="Garamond" w:hAnsi="Garamond"/>
          <w:sz w:val="24"/>
          <w:szCs w:val="24"/>
          <w:lang w:val="sq-AL"/>
        </w:rPr>
        <w:t>Galexhanti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është një pajisje që shërben për t’i dhënë një forcë ngritjeje tratës ose për të sinjalizuar pozicionin e tratës apo të dyja së bashku.</w:t>
      </w:r>
    </w:p>
    <w:p w14:paraId="3E62394F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Paneli ngritës:</w:t>
      </w:r>
    </w:p>
    <w:p w14:paraId="593D71C0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Paneli ngritës është një pajisje e përdorur për t’i dhënë forcë ngritëse tratës.</w:t>
      </w:r>
    </w:p>
    <w:p w14:paraId="2541BBBA" w14:textId="4DADF7CB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>Pajisje elektromekanike:</w:t>
      </w:r>
    </w:p>
    <w:p w14:paraId="65CB9467" w14:textId="77777777" w:rsidR="005E7F66" w:rsidRPr="008F1506" w:rsidRDefault="005E7F66" w:rsidP="005E7F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1506">
        <w:rPr>
          <w:rFonts w:ascii="Garamond" w:hAnsi="Garamond"/>
          <w:sz w:val="24"/>
          <w:szCs w:val="24"/>
          <w:lang w:val="sq-AL"/>
        </w:rPr>
        <w:t xml:space="preserve">Pajisje, sikurse </w:t>
      </w:r>
      <w:proofErr w:type="spellStart"/>
      <w:r w:rsidRPr="008F1506">
        <w:rPr>
          <w:rFonts w:ascii="Garamond" w:hAnsi="Garamond"/>
          <w:sz w:val="24"/>
          <w:szCs w:val="24"/>
          <w:lang w:val="sq-AL"/>
        </w:rPr>
        <w:t>transduktorët</w:t>
      </w:r>
      <w:proofErr w:type="spellEnd"/>
      <w:r w:rsidRPr="008F1506">
        <w:rPr>
          <w:rFonts w:ascii="Garamond" w:hAnsi="Garamond"/>
          <w:sz w:val="24"/>
          <w:szCs w:val="24"/>
          <w:lang w:val="sq-AL"/>
        </w:rPr>
        <w:t xml:space="preserve"> (vibratorët), të përdorura për të marrë informacione mbi pozicionimin e tratës në ujë dhe mbi sasinë e peshqve të zënë.</w:t>
      </w:r>
    </w:p>
    <w:p w14:paraId="39E5F9E3" w14:textId="77777777" w:rsidR="005E7F66" w:rsidRPr="008F1506" w:rsidRDefault="005E7F66">
      <w:pPr>
        <w:rPr>
          <w:lang w:val="sq-AL"/>
        </w:rPr>
      </w:pPr>
    </w:p>
    <w:sectPr w:rsidR="005E7F66" w:rsidRPr="008F1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A82"/>
    <w:rsid w:val="001A02DC"/>
    <w:rsid w:val="002264AC"/>
    <w:rsid w:val="002B1537"/>
    <w:rsid w:val="0038204C"/>
    <w:rsid w:val="003A546A"/>
    <w:rsid w:val="005E7F66"/>
    <w:rsid w:val="008F1506"/>
    <w:rsid w:val="00956E7E"/>
    <w:rsid w:val="00A85B8B"/>
    <w:rsid w:val="00B9534F"/>
    <w:rsid w:val="00BB0957"/>
    <w:rsid w:val="00BD1A82"/>
    <w:rsid w:val="00F6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AD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E7F6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5E7F66"/>
    <w:pPr>
      <w:keepNext/>
      <w:widowControl w:val="0"/>
      <w:spacing w:after="0" w:line="240" w:lineRule="auto"/>
      <w:ind w:firstLine="720"/>
      <w:jc w:val="both"/>
    </w:pPr>
    <w:rPr>
      <w:rFonts w:ascii="CG Times" w:eastAsia="Batang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5E7F66"/>
    <w:pPr>
      <w:keepNext/>
      <w:widowControl w:val="0"/>
      <w:spacing w:after="0" w:line="240" w:lineRule="auto"/>
      <w:jc w:val="center"/>
    </w:pPr>
    <w:rPr>
      <w:rFonts w:ascii="CG Times" w:eastAsia="Batang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5E7F66"/>
    <w:pPr>
      <w:keepNext/>
      <w:widowControl w:val="0"/>
      <w:spacing w:after="0" w:line="240" w:lineRule="auto"/>
      <w:jc w:val="center"/>
      <w:outlineLvl w:val="2"/>
    </w:pPr>
    <w:rPr>
      <w:rFonts w:ascii="CG Times" w:eastAsia="Batang" w:hAnsi="CG Times" w:cs="Times New Roman"/>
      <w:b/>
      <w:szCs w:val="20"/>
      <w:lang w:val="en-GB"/>
    </w:rPr>
  </w:style>
  <w:style w:type="paragraph" w:customStyle="1" w:styleId="Paragrafi">
    <w:name w:val="Paragrafi"/>
    <w:rsid w:val="005E7F66"/>
    <w:pPr>
      <w:widowControl w:val="0"/>
      <w:spacing w:after="0" w:line="240" w:lineRule="auto"/>
      <w:ind w:firstLine="720"/>
      <w:jc w:val="both"/>
    </w:pPr>
    <w:rPr>
      <w:rFonts w:ascii="CG Times" w:eastAsia="Batang" w:hAnsi="CG Times" w:cs="Times New Roman"/>
      <w:szCs w:val="20"/>
    </w:rPr>
  </w:style>
  <w:style w:type="paragraph" w:customStyle="1" w:styleId="TitulliTitull">
    <w:name w:val="Titulli_Titull"/>
    <w:rsid w:val="005E7F6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caps/>
      <w:lang w:val="en-GB"/>
    </w:rPr>
  </w:style>
  <w:style w:type="paragraph" w:customStyle="1" w:styleId="Neninr0">
    <w:name w:val="Neni nr."/>
    <w:basedOn w:val="Normal"/>
    <w:qFormat/>
    <w:rsid w:val="005E7F66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E7F6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5E7F66"/>
    <w:pPr>
      <w:keepNext/>
      <w:widowControl w:val="0"/>
      <w:spacing w:after="0" w:line="240" w:lineRule="auto"/>
      <w:ind w:firstLine="720"/>
      <w:jc w:val="both"/>
    </w:pPr>
    <w:rPr>
      <w:rFonts w:ascii="CG Times" w:eastAsia="Batang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5E7F66"/>
    <w:pPr>
      <w:keepNext/>
      <w:widowControl w:val="0"/>
      <w:spacing w:after="0" w:line="240" w:lineRule="auto"/>
      <w:jc w:val="center"/>
    </w:pPr>
    <w:rPr>
      <w:rFonts w:ascii="CG Times" w:eastAsia="Batang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5E7F66"/>
    <w:pPr>
      <w:keepNext/>
      <w:widowControl w:val="0"/>
      <w:spacing w:after="0" w:line="240" w:lineRule="auto"/>
      <w:jc w:val="center"/>
      <w:outlineLvl w:val="2"/>
    </w:pPr>
    <w:rPr>
      <w:rFonts w:ascii="CG Times" w:eastAsia="Batang" w:hAnsi="CG Times" w:cs="Times New Roman"/>
      <w:b/>
      <w:szCs w:val="20"/>
      <w:lang w:val="en-GB"/>
    </w:rPr>
  </w:style>
  <w:style w:type="paragraph" w:customStyle="1" w:styleId="Paragrafi">
    <w:name w:val="Paragrafi"/>
    <w:rsid w:val="005E7F66"/>
    <w:pPr>
      <w:widowControl w:val="0"/>
      <w:spacing w:after="0" w:line="240" w:lineRule="auto"/>
      <w:ind w:firstLine="720"/>
      <w:jc w:val="both"/>
    </w:pPr>
    <w:rPr>
      <w:rFonts w:ascii="CG Times" w:eastAsia="Batang" w:hAnsi="CG Times" w:cs="Times New Roman"/>
      <w:szCs w:val="20"/>
    </w:rPr>
  </w:style>
  <w:style w:type="paragraph" w:customStyle="1" w:styleId="TitulliTitull">
    <w:name w:val="Titulli_Titull"/>
    <w:rsid w:val="005E7F66"/>
    <w:pPr>
      <w:keepNext/>
      <w:widowControl w:val="0"/>
      <w:spacing w:after="0" w:line="240" w:lineRule="auto"/>
      <w:jc w:val="center"/>
      <w:outlineLvl w:val="0"/>
    </w:pPr>
    <w:rPr>
      <w:rFonts w:ascii="CG Times" w:eastAsia="Batang" w:hAnsi="CG Times" w:cs="Times New Roman"/>
      <w:caps/>
      <w:lang w:val="en-GB"/>
    </w:rPr>
  </w:style>
  <w:style w:type="paragraph" w:customStyle="1" w:styleId="Neninr0">
    <w:name w:val="Neni nr."/>
    <w:basedOn w:val="Normal"/>
    <w:qFormat/>
    <w:rsid w:val="005E7F66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2020-10-22T10:36:47Z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pajisjet që mund tu vendosen tratave tërheqëse, tratave të zallit dhe tratave të ngjashme me to </Titulli>
    <Modifikuesi xmlns="0e656187-b300-4fb0-8bf4-3a50f872073c">vjollca.pacrami</Modifikuesi>
    <Nr_x002e__x0020_prot_x0020_QBZ xmlns="0e656187-b300-4fb0-8bf4-3a50f872073c">1545/1</Nr_x002e__x0020_prot_x0020_QBZ>
    <Data_x0020_e_x0020_Modifikimit xmlns="0e656187-b300-4fb0-8bf4-3a50f872073c">2020-10-22T10:52:42Z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7746/1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918A8523224F55BD5DE886BCC8C6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6739D-8E76-4CA2-AFF7-90EACCF908F9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2DB7FD-BA70-49D6-A71B-92E80AF85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0E07B-E691-493C-94C5-70F56D8AC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3C3E55-451D-4425-956C-1561E390B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pajisjet që mund tu vendosen tratave tërheqëse, tratave të zallit dhe tratave të ngjashme me to</dc:title>
  <dc:creator>Entela Suli</dc:creator>
  <cp:lastModifiedBy>Jorina Kryeziu</cp:lastModifiedBy>
  <cp:revision>12</cp:revision>
  <dcterms:created xsi:type="dcterms:W3CDTF">2020-10-22T10:38:00Z</dcterms:created>
  <dcterms:modified xsi:type="dcterms:W3CDTF">2020-10-23T08:15:00Z</dcterms:modified>
</cp:coreProperties>
</file>