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DC1" w:rsidRPr="00F55FA8" w:rsidRDefault="007E3DC1" w:rsidP="007E3DC1">
      <w:pPr>
        <w:pStyle w:val="Akti"/>
        <w:keepNext w:val="0"/>
      </w:pPr>
      <w:bookmarkStart w:id="0" w:name="_GoBack"/>
      <w:bookmarkEnd w:id="0"/>
      <w:r>
        <w:t>RREGULLOR</w:t>
      </w:r>
      <w:r w:rsidRPr="00F55FA8">
        <w:t>E</w:t>
      </w:r>
    </w:p>
    <w:p w:rsidR="007E3DC1" w:rsidRPr="00F55FA8" w:rsidRDefault="007E3DC1" w:rsidP="007E3DC1">
      <w:pPr>
        <w:pStyle w:val="NumriData"/>
        <w:keepNext w:val="0"/>
      </w:pPr>
      <w:r>
        <w:t>Nr.</w:t>
      </w:r>
      <w:r w:rsidRPr="00F55FA8">
        <w:t>4</w:t>
      </w:r>
      <w:r>
        <w:t>,</w:t>
      </w:r>
      <w:r w:rsidRPr="00F55FA8">
        <w:t xml:space="preserve">  datë 24.10.2008</w:t>
      </w:r>
    </w:p>
    <w:p w:rsidR="007E3DC1" w:rsidRPr="00F55FA8" w:rsidRDefault="007E3DC1" w:rsidP="007E3DC1">
      <w:pPr>
        <w:pStyle w:val="Paragrafi"/>
      </w:pPr>
    </w:p>
    <w:p w:rsidR="007E3DC1" w:rsidRDefault="007E3DC1" w:rsidP="007E3DC1">
      <w:pPr>
        <w:pStyle w:val="Titulli"/>
        <w:keepNext w:val="0"/>
      </w:pPr>
      <w:r w:rsidRPr="00F55FA8">
        <w:t>Për pajisjet që mund t</w:t>
      </w:r>
      <w:r>
        <w:t>’u</w:t>
      </w:r>
      <w:r w:rsidRPr="00F55FA8">
        <w:t xml:space="preserve"> vendosen tratave tërheqëse, tratave të zallit dhe tratave të ngjashme me to</w:t>
      </w:r>
    </w:p>
    <w:p w:rsidR="007E3DC1" w:rsidRPr="00F55FA8" w:rsidRDefault="007E3DC1" w:rsidP="007E3DC1">
      <w:pPr>
        <w:pStyle w:val="Paragrafi"/>
      </w:pPr>
    </w:p>
    <w:p w:rsidR="007E3DC1" w:rsidRDefault="007E3DC1" w:rsidP="007E3DC1">
      <w:pPr>
        <w:pStyle w:val="BazLigjPropozues"/>
        <w:keepNext w:val="0"/>
      </w:pPr>
      <w:r>
        <w:t>Në mbështetje të nenit 102</w:t>
      </w:r>
      <w:r w:rsidRPr="00F55FA8">
        <w:t xml:space="preserve"> pika 4 të Kushtetutës së Shqipërisë, të neneve 24, pika </w:t>
      </w:r>
      <w:r>
        <w:t>“</w:t>
      </w:r>
      <w:r w:rsidRPr="00F55FA8">
        <w:t>a</w:t>
      </w:r>
      <w:r>
        <w:t>”</w:t>
      </w:r>
      <w:r w:rsidRPr="00F55FA8">
        <w:t xml:space="preserve"> dhe 32 pika </w:t>
      </w:r>
      <w:r>
        <w:t>“</w:t>
      </w:r>
      <w:r w:rsidRPr="00F55FA8">
        <w:t>h</w:t>
      </w:r>
      <w:r>
        <w:t>” të l</w:t>
      </w:r>
      <w:r w:rsidRPr="00F55FA8">
        <w:t xml:space="preserve">igjit </w:t>
      </w:r>
      <w:r>
        <w:t>nr.</w:t>
      </w:r>
      <w:r w:rsidRPr="00F55FA8">
        <w:t>7908</w:t>
      </w:r>
      <w:r>
        <w:t>,</w:t>
      </w:r>
      <w:r w:rsidRPr="00F55FA8">
        <w:t xml:space="preserve"> datë</w:t>
      </w:r>
      <w:r>
        <w:t xml:space="preserve"> 5.4.1995 “Për peshkimin dhe a</w:t>
      </w:r>
      <w:r w:rsidRPr="00F55FA8">
        <w:t>kuakulturën”</w:t>
      </w:r>
      <w:r>
        <w:t>,</w:t>
      </w:r>
      <w:r w:rsidRPr="00F55FA8">
        <w:t xml:space="preserve"> i ndryshuar, me propozim të Drejtorisë së Politikave të  Peshkimit, Ministri i Mjedisit, Pyjeve dhe A</w:t>
      </w:r>
      <w:r>
        <w:t>dministrimit të Ujërave miraton, r</w:t>
      </w:r>
      <w:r w:rsidRPr="00F55FA8">
        <w:t xml:space="preserve">regulloren si më poshtë: </w:t>
      </w:r>
    </w:p>
    <w:p w:rsidR="007E3DC1" w:rsidRPr="00F55FA8" w:rsidRDefault="007E3DC1" w:rsidP="007E3DC1">
      <w:pPr>
        <w:pStyle w:val="BazLigjPropozues"/>
        <w:keepNext w:val="0"/>
      </w:pPr>
      <w:r w:rsidRPr="00F55FA8">
        <w:tab/>
        <w:t xml:space="preserve">     </w:t>
      </w:r>
    </w:p>
    <w:p w:rsidR="007E3DC1" w:rsidRPr="00F55FA8" w:rsidRDefault="007E3DC1" w:rsidP="007E3DC1">
      <w:pPr>
        <w:pStyle w:val="NeniNr"/>
        <w:keepNext w:val="0"/>
      </w:pPr>
      <w:r w:rsidRPr="00F55FA8">
        <w:t>Neni 1</w:t>
      </w:r>
    </w:p>
    <w:p w:rsidR="007E3DC1" w:rsidRPr="00F55FA8" w:rsidRDefault="007E3DC1" w:rsidP="007E3DC1">
      <w:pPr>
        <w:pStyle w:val="Paragrafi"/>
      </w:pPr>
    </w:p>
    <w:p w:rsidR="007E3DC1" w:rsidRDefault="007E3DC1" w:rsidP="007E3DC1">
      <w:pPr>
        <w:pStyle w:val="Paragrafi"/>
      </w:pPr>
      <w:r>
        <w:t>Në kuptim të kë</w:t>
      </w:r>
      <w:r w:rsidRPr="00F55FA8">
        <w:t>saj rregulloreje</w:t>
      </w:r>
      <w:r>
        <w:t>,</w:t>
      </w:r>
      <w:r w:rsidRPr="00F55FA8">
        <w:t xml:space="preserve"> termi “tratë” do të thotë “tratë tërheqëse, tr</w:t>
      </w:r>
      <w:r>
        <w:t>atë zalli ose e ngjashme me to</w:t>
      </w:r>
      <w:r w:rsidRPr="00F55FA8">
        <w:t>”</w:t>
      </w:r>
      <w:r>
        <w:t>.</w:t>
      </w:r>
    </w:p>
    <w:p w:rsidR="007E3DC1" w:rsidRPr="00F55FA8" w:rsidRDefault="007E3DC1" w:rsidP="007E3DC1">
      <w:pPr>
        <w:pStyle w:val="Paragrafi"/>
      </w:pPr>
      <w:r w:rsidRPr="00F55FA8">
        <w:t xml:space="preserve"> </w:t>
      </w:r>
    </w:p>
    <w:p w:rsidR="007E3DC1" w:rsidRPr="00F55FA8" w:rsidRDefault="007E3DC1" w:rsidP="007E3DC1">
      <w:pPr>
        <w:pStyle w:val="NeniNr"/>
        <w:keepNext w:val="0"/>
      </w:pPr>
      <w:r w:rsidRPr="00F55FA8">
        <w:t>Neni 2</w:t>
      </w:r>
    </w:p>
    <w:p w:rsidR="007E3DC1" w:rsidRPr="00F55FA8" w:rsidRDefault="007E3DC1" w:rsidP="007E3DC1">
      <w:pPr>
        <w:pStyle w:val="Paragrafi"/>
      </w:pPr>
    </w:p>
    <w:p w:rsidR="007E3DC1" w:rsidRPr="00F55FA8" w:rsidRDefault="007E3DC1" w:rsidP="007E3DC1">
      <w:pPr>
        <w:pStyle w:val="Paragrafi"/>
      </w:pPr>
      <w:r w:rsidRPr="00F55FA8">
        <w:t>Në aneks janë përcaktuar termat teknikë të përdorur në këtë rregullore që përshkruajnë disa nga pjesët ose punimet që janë zakonisht pjesë përbërëse e një trate tërheqëse ose mund të përdoren së bashku me një tratë.</w:t>
      </w:r>
    </w:p>
    <w:p w:rsidR="007E3DC1" w:rsidRPr="00F55FA8" w:rsidRDefault="007E3DC1" w:rsidP="007E3DC1">
      <w:pPr>
        <w:pStyle w:val="Paragrafi"/>
      </w:pPr>
    </w:p>
    <w:p w:rsidR="007E3DC1" w:rsidRPr="00F55FA8" w:rsidRDefault="007E3DC1" w:rsidP="007E3DC1">
      <w:pPr>
        <w:pStyle w:val="NeniNr"/>
        <w:keepNext w:val="0"/>
      </w:pPr>
      <w:r w:rsidRPr="00F55FA8">
        <w:t>Neni 3</w:t>
      </w:r>
    </w:p>
    <w:p w:rsidR="007E3DC1" w:rsidRPr="00F55FA8" w:rsidRDefault="007E3DC1" w:rsidP="007E3DC1">
      <w:pPr>
        <w:pStyle w:val="Paragrafi"/>
      </w:pPr>
    </w:p>
    <w:p w:rsidR="007E3DC1" w:rsidRPr="00F55FA8" w:rsidRDefault="007E3DC1" w:rsidP="007E3DC1">
      <w:pPr>
        <w:pStyle w:val="Paragrafi"/>
      </w:pPr>
      <w:r w:rsidRPr="00F55FA8">
        <w:t>Nenet nga 4 deri në 15 përmbajnë përkufizime të disa pajisjeve që mund t’u lidhen tratave</w:t>
      </w:r>
      <w:r>
        <w:t>,</w:t>
      </w:r>
      <w:r w:rsidRPr="00F55FA8">
        <w:t xml:space="preserve"> të cilat mund të bllokojnë syzet e një pjesë çfarëdo të rrjetës ose të reduktojnë madhë</w:t>
      </w:r>
      <w:r>
        <w:t>si</w:t>
      </w:r>
      <w:r w:rsidRPr="00F55FA8">
        <w:t xml:space="preserve">në </w:t>
      </w:r>
      <w:r>
        <w:t xml:space="preserve">e </w:t>
      </w:r>
      <w:r w:rsidRPr="00F55FA8">
        <w:t>syzeve, sikurse kushtet e përdorimit  të tyre.</w:t>
      </w:r>
    </w:p>
    <w:p w:rsidR="007E3DC1" w:rsidRPr="00F55FA8" w:rsidRDefault="007E3DC1" w:rsidP="007E3DC1">
      <w:pPr>
        <w:pStyle w:val="Paragrafi"/>
      </w:pPr>
    </w:p>
    <w:p w:rsidR="007E3DC1" w:rsidRPr="00F55FA8" w:rsidRDefault="007E3DC1" w:rsidP="007E3DC1">
      <w:pPr>
        <w:pStyle w:val="NeniNr"/>
        <w:keepNext w:val="0"/>
      </w:pPr>
      <w:r w:rsidRPr="00F55FA8">
        <w:t>Neni 4</w:t>
      </w:r>
    </w:p>
    <w:p w:rsidR="007E3DC1" w:rsidRPr="00F55FA8" w:rsidRDefault="007E3DC1" w:rsidP="007E3DC1">
      <w:pPr>
        <w:pStyle w:val="NeniTitull"/>
        <w:keepNext w:val="0"/>
      </w:pPr>
      <w:r w:rsidRPr="00F55FA8">
        <w:t xml:space="preserve">Skarcela </w:t>
      </w:r>
    </w:p>
    <w:p w:rsidR="007E3DC1" w:rsidRPr="00F55FA8" w:rsidRDefault="007E3DC1" w:rsidP="007E3DC1">
      <w:pPr>
        <w:pStyle w:val="Paragrafi"/>
      </w:pPr>
    </w:p>
    <w:p w:rsidR="007E3DC1" w:rsidRPr="00F55FA8" w:rsidRDefault="007E3DC1" w:rsidP="007E3DC1">
      <w:pPr>
        <w:pStyle w:val="Paragrafi"/>
      </w:pPr>
      <w:r w:rsidRPr="00F55FA8">
        <w:t>1. Skarcela mund të jetë prej cope, rrjete ose nga çfarëdolloj materiali tjetër.</w:t>
      </w:r>
    </w:p>
    <w:p w:rsidR="007E3DC1" w:rsidRPr="00F55FA8" w:rsidRDefault="007E3DC1" w:rsidP="007E3DC1">
      <w:pPr>
        <w:pStyle w:val="Paragrafi"/>
      </w:pPr>
      <w:r w:rsidRPr="00F55FA8">
        <w:t xml:space="preserve">2. Mund të përdoren në të njëjtën kohë disa skarcela, që mund të mbivendosen. </w:t>
      </w:r>
    </w:p>
    <w:p w:rsidR="007E3DC1" w:rsidRPr="00F55FA8" w:rsidRDefault="007E3DC1" w:rsidP="007E3DC1">
      <w:pPr>
        <w:pStyle w:val="Paragrafi"/>
      </w:pPr>
      <w:r w:rsidRPr="00F55FA8">
        <w:t>3. Skarcela mund të lidhen vetëm në pjesën e jashtme të tratës dhe</w:t>
      </w:r>
      <w:r>
        <w:t xml:space="preserve"> vetëm në gjysmën e poshtme të ç</w:t>
      </w:r>
      <w:r w:rsidRPr="00F55FA8">
        <w:t>farëdolloj rrjete. Skarcela mund të fiksohet në bordin e përparmë ose në bordet anësore.</w:t>
      </w:r>
    </w:p>
    <w:p w:rsidR="007E3DC1" w:rsidRPr="00F55FA8" w:rsidRDefault="007E3DC1" w:rsidP="007E3DC1">
      <w:pPr>
        <w:pStyle w:val="Paragrafi"/>
      </w:pPr>
      <w:r w:rsidRPr="00F55FA8">
        <w:t>4. Nëse përdoren këmisha thesi ose gyp lidhës, skarcela mund të fiksohet vetëm jashtë kemishave dhe sipas mënyrës së përca</w:t>
      </w:r>
      <w:r>
        <w:t>ktuar në pikë</w:t>
      </w:r>
      <w:r w:rsidRPr="00F55FA8">
        <w:t>n 3 të këtij neni.</w:t>
      </w:r>
    </w:p>
    <w:p w:rsidR="007E3DC1" w:rsidRPr="00F55FA8" w:rsidRDefault="007E3DC1" w:rsidP="007E3DC1">
      <w:pPr>
        <w:pStyle w:val="Paragrafi"/>
      </w:pPr>
    </w:p>
    <w:p w:rsidR="007E3DC1" w:rsidRPr="00F55FA8" w:rsidRDefault="007E3DC1" w:rsidP="007E3DC1">
      <w:pPr>
        <w:pStyle w:val="NeniNr"/>
        <w:keepNext w:val="0"/>
      </w:pPr>
      <w:r w:rsidRPr="00F55FA8">
        <w:t>Neni 5</w:t>
      </w:r>
    </w:p>
    <w:p w:rsidR="007E3DC1" w:rsidRPr="00F55FA8" w:rsidRDefault="007E3DC1" w:rsidP="007E3DC1">
      <w:pPr>
        <w:pStyle w:val="NeniTitull"/>
        <w:keepNext w:val="0"/>
      </w:pPr>
      <w:r w:rsidRPr="00F55FA8">
        <w:t xml:space="preserve">Suprina </w:t>
      </w:r>
    </w:p>
    <w:p w:rsidR="007E3DC1" w:rsidRPr="00F55FA8" w:rsidRDefault="007E3DC1" w:rsidP="007E3DC1">
      <w:pPr>
        <w:pStyle w:val="Paragrafi"/>
      </w:pPr>
    </w:p>
    <w:p w:rsidR="007E3DC1" w:rsidRPr="00F55FA8" w:rsidRDefault="007E3DC1" w:rsidP="007E3DC1">
      <w:pPr>
        <w:pStyle w:val="Paragrafi"/>
      </w:pPr>
      <w:r w:rsidRPr="00F55FA8">
        <w:t>1. Lejohet përdorimi i secilës prej suprinave të emëruar të llojit A dhe B.</w:t>
      </w:r>
    </w:p>
    <w:p w:rsidR="007E3DC1" w:rsidRPr="00F55FA8" w:rsidRDefault="007E3DC1" w:rsidP="007E3DC1">
      <w:pPr>
        <w:pStyle w:val="Paragrafi"/>
      </w:pPr>
      <w:r w:rsidRPr="00F55FA8">
        <w:t xml:space="preserve">2. Suprina e llojit A mund të formohet nga çfarëdolloj pjesë rrjete drejtkëndore, madhësia e syzeve të së cilës janë të paktën të barabartë me syzet e thesit. Gjerësia e saj duhet të jetë të paktën sa njëherë e gjysëm gjerësia e thesit që ajo mbulon, të dyja të matura pingul me aksin gjatësor të thesit. </w:t>
      </w:r>
    </w:p>
    <w:p w:rsidR="007E3DC1" w:rsidRDefault="007E3DC1" w:rsidP="007E3DC1">
      <w:pPr>
        <w:pStyle w:val="Paragrafi"/>
      </w:pPr>
      <w:r w:rsidRPr="00F55FA8">
        <w:t>Suprina mund të lidhet në bordin e përparmë ose në bordet anësore vetëm në gjysm</w:t>
      </w:r>
      <w:r>
        <w:t>ën e sipërme të jashtme të</w:t>
      </w:r>
      <w:r w:rsidRPr="00F55FA8">
        <w:t xml:space="preserve"> thesit. </w:t>
      </w:r>
    </w:p>
    <w:p w:rsidR="007E3DC1" w:rsidRDefault="007E3DC1" w:rsidP="007E3DC1">
      <w:pPr>
        <w:pStyle w:val="Paragrafi"/>
      </w:pPr>
    </w:p>
    <w:p w:rsidR="007E3DC1" w:rsidRDefault="007E3DC1" w:rsidP="007E3DC1">
      <w:pPr>
        <w:pStyle w:val="Paragrafi"/>
      </w:pPr>
    </w:p>
    <w:p w:rsidR="007E3DC1" w:rsidRDefault="007E3DC1" w:rsidP="007E3DC1">
      <w:pPr>
        <w:pStyle w:val="Paragrafi"/>
      </w:pPr>
    </w:p>
    <w:p w:rsidR="007E3DC1" w:rsidRPr="00F55FA8" w:rsidRDefault="007E3DC1" w:rsidP="007E3DC1">
      <w:pPr>
        <w:pStyle w:val="Paragrafi"/>
      </w:pPr>
    </w:p>
    <w:p w:rsidR="007E3DC1" w:rsidRPr="00F55FA8" w:rsidRDefault="007E3DC1" w:rsidP="007E3DC1">
      <w:pPr>
        <w:pStyle w:val="Paragrafi"/>
      </w:pPr>
      <w:r w:rsidRPr="00F55FA8">
        <w:t>Nëse thesi është i pa</w:t>
      </w:r>
      <w:r>
        <w:t>j</w:t>
      </w:r>
      <w:r w:rsidRPr="00F55FA8">
        <w:t xml:space="preserve">isur me bragë mbajtëse, suprina fiksohet në mënyrë që të mos zgjatet përpara më shumë se katër syze nga </w:t>
      </w:r>
      <w:smartTag w:uri="urn:schemas-microsoft-com:office:smarttags" w:element="place">
        <w:smartTag w:uri="urn:schemas-microsoft-com:office:smarttags" w:element="City">
          <w:r w:rsidRPr="00F55FA8">
            <w:t>braga</w:t>
          </w:r>
        </w:smartTag>
      </w:smartTag>
      <w:r w:rsidRPr="00F55FA8">
        <w:t xml:space="preserve"> mbajtëse e pasme; në rast të kundërt, ajo fiksohet në mënyrë që të mos mbulojë më shumë se një të tretën e fundit të poshtëm të thesit. Në të dyja rastet suprina duhet të përfundojë katër syze më poshtë se vija e mbylljes.</w:t>
      </w:r>
    </w:p>
    <w:p w:rsidR="007E3DC1" w:rsidRPr="00F55FA8" w:rsidRDefault="007E3DC1" w:rsidP="007E3DC1">
      <w:pPr>
        <w:pStyle w:val="Paragrafi"/>
      </w:pPr>
      <w:r w:rsidRPr="00F55FA8">
        <w:t xml:space="preserve">3. Suprina e llojit B mund të jetë prej çfarëdolloj rrjete drejtkëndore, të jetë prodhuar me palë të të njëjtit diametër me atë të thesit dhe të ketë syze me madhësinë dyfish me syzet e thesit. Ajo mund të mbulojë plotësisht gjysmën e sipërme të thesit dhe lidhet vetëm përgjatë bordeve në mënyrë që, në pikat e kapjes, ana e secilës syze të përputhet me dy anë të syzeve të thesit.  </w:t>
      </w:r>
    </w:p>
    <w:p w:rsidR="007E3DC1" w:rsidRPr="00F55FA8" w:rsidRDefault="007E3DC1" w:rsidP="007E3DC1">
      <w:pPr>
        <w:pStyle w:val="Paragrafi"/>
      </w:pPr>
      <w:r>
        <w:t>4. Ndalohet përdorimi i disa s</w:t>
      </w:r>
      <w:r w:rsidRPr="00F55FA8">
        <w:t>uprinave në të njëjtën kohë.</w:t>
      </w:r>
    </w:p>
    <w:p w:rsidR="007E3DC1" w:rsidRPr="00F55FA8" w:rsidRDefault="007E3DC1" w:rsidP="007E3DC1">
      <w:pPr>
        <w:pStyle w:val="Paragrafi"/>
      </w:pPr>
      <w:r w:rsidRPr="00F55FA8">
        <w:t>5. Ndalohet përd</w:t>
      </w:r>
      <w:r>
        <w:t>orimi në të njëjtën kohë i një suprine dhe të një</w:t>
      </w:r>
      <w:r w:rsidRPr="00F55FA8">
        <w:t xml:space="preserve"> këmishe thesi, me përjashtim të tratave me syze me madhësi më të vogël ose të barabartë me  60 mm.</w:t>
      </w:r>
    </w:p>
    <w:p w:rsidR="007E3DC1" w:rsidRPr="00F55FA8" w:rsidRDefault="007E3DC1" w:rsidP="007E3DC1">
      <w:pPr>
        <w:pStyle w:val="Paragrafi"/>
      </w:pPr>
    </w:p>
    <w:p w:rsidR="007E3DC1" w:rsidRPr="00F55FA8" w:rsidRDefault="007E3DC1" w:rsidP="007E3DC1">
      <w:pPr>
        <w:pStyle w:val="NeniNr"/>
        <w:keepNext w:val="0"/>
      </w:pPr>
      <w:r w:rsidRPr="00F55FA8">
        <w:t>Neni 6</w:t>
      </w:r>
    </w:p>
    <w:p w:rsidR="007E3DC1" w:rsidRPr="00F55FA8" w:rsidRDefault="007E3DC1" w:rsidP="007E3DC1">
      <w:pPr>
        <w:pStyle w:val="NeniTitull"/>
        <w:keepNext w:val="0"/>
      </w:pPr>
      <w:r w:rsidRPr="00F55FA8">
        <w:t xml:space="preserve">Këmisha e thesit </w:t>
      </w:r>
    </w:p>
    <w:p w:rsidR="007E3DC1" w:rsidRPr="00F55FA8" w:rsidRDefault="007E3DC1" w:rsidP="007E3DC1">
      <w:pPr>
        <w:pStyle w:val="Paragrafi"/>
      </w:pPr>
    </w:p>
    <w:p w:rsidR="007E3DC1" w:rsidRPr="00F55FA8" w:rsidRDefault="007E3DC1" w:rsidP="007E3DC1">
      <w:pPr>
        <w:pStyle w:val="Paragrafi"/>
      </w:pPr>
      <w:r w:rsidRPr="00F55FA8">
        <w:t>1. Këmisha e thesit është një pjesë rrjete në formë cilindrike që mbështjell plotësisht thesin e tratave dhe mund të kapet me të me intervale. Këmisha e thesit ka madhësi (gjatësi, gjerësi) të paktën të barabartë me pjesët e thesit me të cilat është i lidhur.</w:t>
      </w:r>
    </w:p>
    <w:p w:rsidR="007E3DC1" w:rsidRPr="00F55FA8" w:rsidRDefault="007E3DC1" w:rsidP="007E3DC1">
      <w:pPr>
        <w:pStyle w:val="Paragrafi"/>
      </w:pPr>
      <w:r w:rsidRPr="00F55FA8">
        <w:t xml:space="preserve">2. Ndalohet përdorimi i më shumë se një këmishe thesi, me përjashtim të rasteve të lidhjes me trata me syze me madhësi të barabartë ose më të vogël se 60 mm, për të cilat lejohen dy këmisha thesi. </w:t>
      </w:r>
    </w:p>
    <w:p w:rsidR="007E3DC1" w:rsidRPr="00F55FA8" w:rsidRDefault="007E3DC1" w:rsidP="007E3DC1">
      <w:pPr>
        <w:pStyle w:val="Paragrafi"/>
      </w:pPr>
      <w:r w:rsidRPr="00F55FA8">
        <w:t>3. Madhësia e syzes së këmishës së thesit duhet të jetë të paktën dyfishi i madhësisë së syzes së thesit të tratës. Nëse përdoret një këmishë e dytë thesi, madhësia minimale e syzes së saj duhet të jetë 120 mm.</w:t>
      </w:r>
    </w:p>
    <w:p w:rsidR="007E3DC1" w:rsidRPr="00F55FA8" w:rsidRDefault="007E3DC1" w:rsidP="007E3DC1">
      <w:pPr>
        <w:pStyle w:val="Paragrafi"/>
      </w:pPr>
      <w:r w:rsidRPr="00F55FA8">
        <w:t>4. Ndalohet lidhja e një këmishe thesi në tratat me syze me madhësi më të madhe se 70 mm.</w:t>
      </w:r>
    </w:p>
    <w:p w:rsidR="007E3DC1" w:rsidRPr="00F55FA8" w:rsidRDefault="007E3DC1" w:rsidP="007E3DC1">
      <w:pPr>
        <w:pStyle w:val="Paragrafi"/>
      </w:pPr>
      <w:r w:rsidRPr="00F55FA8">
        <w:t xml:space="preserve">5. Ndalohet përdorimi në të njëjtën kohë të një këmishe thesi dhe të një suprine. </w:t>
      </w:r>
    </w:p>
    <w:p w:rsidR="007E3DC1" w:rsidRPr="00F55FA8" w:rsidRDefault="007E3DC1" w:rsidP="007E3DC1">
      <w:pPr>
        <w:pStyle w:val="Paragrafi"/>
      </w:pPr>
      <w:r w:rsidRPr="00F55FA8">
        <w:t xml:space="preserve">6. Ndalohet përdorimi i një këmishe thesi me syze me madhësi më të vogël se 80 mm. </w:t>
      </w:r>
    </w:p>
    <w:p w:rsidR="007E3DC1" w:rsidRPr="00F55FA8" w:rsidRDefault="007E3DC1" w:rsidP="007E3DC1">
      <w:pPr>
        <w:pStyle w:val="Paragrafi"/>
      </w:pPr>
      <w:r w:rsidRPr="00F55FA8">
        <w:t>7. Ndalohet përdorimi i më shumë se një këmishe thesi, me përjashtim të rasteve të tratave me syze me madhësi më të vogël se 16 mm, për të cilat</w:t>
      </w:r>
      <w:r>
        <w:t xml:space="preserve"> lejohen dy këmisha thesi. Si pë</w:t>
      </w:r>
      <w:r w:rsidRPr="00F55FA8">
        <w:t>rjashtim i pikës 6</w:t>
      </w:r>
      <w:r>
        <w:t>,</w:t>
      </w:r>
      <w:r w:rsidRPr="00F55FA8">
        <w:t xml:space="preserve"> madhësia e syzes e secilës prej këmishave të thesit mund të jetë më i vogël se 80 mm por jo më i vogël se 35 mm. </w:t>
      </w:r>
    </w:p>
    <w:p w:rsidR="007E3DC1" w:rsidRPr="00F55FA8" w:rsidRDefault="007E3DC1" w:rsidP="007E3DC1">
      <w:pPr>
        <w:pStyle w:val="Paragrafi"/>
      </w:pPr>
      <w:r w:rsidRPr="00F55FA8">
        <w:t>8. Ndalohet përdorimi i këmishave të thesit që e kalojnë pjesën e përparme të thesit të tratës.</w:t>
      </w:r>
    </w:p>
    <w:p w:rsidR="007E3DC1" w:rsidRPr="00F55FA8" w:rsidRDefault="007E3DC1" w:rsidP="007E3DC1">
      <w:pPr>
        <w:pStyle w:val="Paragrafi"/>
      </w:pPr>
      <w:r w:rsidRPr="00F55FA8">
        <w:t>9. Nëse një këmishë thesi përbëhet nga pjesë rrjetash në formë cilindrike, mbivendosja e pjesëve në  pikat e lidhjes nuk mund jetë më shumë se 4 syze.</w:t>
      </w:r>
    </w:p>
    <w:p w:rsidR="007E3DC1" w:rsidRPr="00F55FA8" w:rsidRDefault="007E3DC1" w:rsidP="007E3DC1">
      <w:pPr>
        <w:pStyle w:val="Paragrafi"/>
      </w:pPr>
      <w:r>
        <w:t>10. Në</w:t>
      </w:r>
      <w:r w:rsidRPr="00F55FA8">
        <w:t xml:space="preserve"> tratat me madhësi  syze më të madhe se 60 mm, këmishat e thesit të lidhura me to, nuk duhet të zgjaten në pjesën e përparme më shumë se dy metra tej bragës mbajtëse të poshtme.</w:t>
      </w:r>
    </w:p>
    <w:p w:rsidR="007E3DC1" w:rsidRPr="00F55FA8" w:rsidRDefault="007E3DC1" w:rsidP="007E3DC1">
      <w:pPr>
        <w:pStyle w:val="Paragrafi"/>
      </w:pPr>
    </w:p>
    <w:p w:rsidR="007E3DC1" w:rsidRPr="00F55FA8" w:rsidRDefault="007E3DC1" w:rsidP="007E3DC1">
      <w:pPr>
        <w:pStyle w:val="NeniNr"/>
        <w:keepNext w:val="0"/>
      </w:pPr>
      <w:r w:rsidRPr="00F55FA8">
        <w:t>Neni 7</w:t>
      </w:r>
    </w:p>
    <w:p w:rsidR="007E3DC1" w:rsidRPr="00F55FA8" w:rsidRDefault="007E3DC1" w:rsidP="007E3DC1">
      <w:pPr>
        <w:pStyle w:val="NeniTitull"/>
        <w:keepNext w:val="0"/>
      </w:pPr>
      <w:r w:rsidRPr="00F55FA8">
        <w:t xml:space="preserve">Gypi lidhës </w:t>
      </w:r>
    </w:p>
    <w:p w:rsidR="007E3DC1" w:rsidRPr="00F55FA8" w:rsidRDefault="007E3DC1" w:rsidP="007E3DC1">
      <w:pPr>
        <w:pStyle w:val="Paragrafi"/>
      </w:pPr>
    </w:p>
    <w:p w:rsidR="007E3DC1" w:rsidRPr="00F55FA8" w:rsidRDefault="007E3DC1" w:rsidP="007E3DC1">
      <w:pPr>
        <w:pStyle w:val="Paragrafi"/>
      </w:pPr>
      <w:r w:rsidRPr="00F55FA8">
        <w:t xml:space="preserve">1. Gypi lidhës është një pjesë rrjete e shkurtër, me formë cilindrike, e cila ka të njëjtin perimetër me thesin e tratës ose të këmishave të thesit, që rrethon thesin e tratës ose këmishat e thesit në pikat e lidhjes me bragën mbajtëse.  </w:t>
      </w:r>
    </w:p>
    <w:p w:rsidR="007E3DC1" w:rsidRPr="00F55FA8" w:rsidRDefault="007E3DC1" w:rsidP="007E3DC1">
      <w:pPr>
        <w:pStyle w:val="Paragrafi"/>
      </w:pPr>
      <w:r w:rsidRPr="00F55FA8">
        <w:t>2. Gypi lidhës nuk mund të përdoret nëse nuk ka një bragë mbajtëse të lidhur me thesin e rrjetës.</w:t>
      </w:r>
    </w:p>
    <w:p w:rsidR="007E3DC1" w:rsidRPr="00F55FA8" w:rsidRDefault="007E3DC1" w:rsidP="007E3DC1">
      <w:pPr>
        <w:pStyle w:val="Paragrafi"/>
      </w:pPr>
      <w:r w:rsidRPr="00F55FA8">
        <w:t xml:space="preserve">3. Ndalohet përdorimi i një gypi lidhës më të gjatë se një metër. </w:t>
      </w:r>
    </w:p>
    <w:p w:rsidR="007E3DC1" w:rsidRDefault="007E3DC1" w:rsidP="007E3DC1">
      <w:pPr>
        <w:pStyle w:val="Paragrafi"/>
      </w:pPr>
      <w:r w:rsidRPr="00F55FA8">
        <w:t xml:space="preserve">4. Gypi lidhës mund të lidhet vetëm përpara dhe mbrapa secilës bragë mbajtëse. </w:t>
      </w:r>
    </w:p>
    <w:p w:rsidR="007E3DC1" w:rsidRPr="00F55FA8" w:rsidRDefault="007E3DC1" w:rsidP="007E3DC1">
      <w:pPr>
        <w:pStyle w:val="Paragrafi"/>
      </w:pPr>
    </w:p>
    <w:p w:rsidR="007E3DC1" w:rsidRPr="00F55FA8" w:rsidRDefault="007E3DC1" w:rsidP="007E3DC1">
      <w:pPr>
        <w:pStyle w:val="Paragrafi"/>
      </w:pPr>
      <w:r w:rsidRPr="00F55FA8">
        <w:t>5. Syzet e gypit lidhës duhet të ken</w:t>
      </w:r>
      <w:r>
        <w:t>ë madhësi të paktën të barabartë</w:t>
      </w:r>
      <w:r w:rsidRPr="00F55FA8">
        <w:t xml:space="preserve"> me madhësinë e syzes së thesit të tratës.</w:t>
      </w:r>
    </w:p>
    <w:p w:rsidR="007E3DC1" w:rsidRPr="00F55FA8" w:rsidRDefault="007E3DC1" w:rsidP="007E3DC1">
      <w:pPr>
        <w:pStyle w:val="Paragrafi"/>
      </w:pPr>
      <w:r w:rsidRPr="00F55FA8">
        <w:t>6. Perimetri i gypit lidhës dhe ai i thesit të tratës ose eventualisht i këmishave të thesit krahasohen duke tërhequr copat me të njëjtën forcë.</w:t>
      </w:r>
    </w:p>
    <w:p w:rsidR="007E3DC1" w:rsidRPr="00F55FA8" w:rsidRDefault="007E3DC1" w:rsidP="007E3DC1">
      <w:pPr>
        <w:pStyle w:val="Paragrafi"/>
      </w:pPr>
    </w:p>
    <w:p w:rsidR="007E3DC1" w:rsidRPr="00F55FA8" w:rsidRDefault="007E3DC1" w:rsidP="007E3DC1">
      <w:pPr>
        <w:pStyle w:val="NeniNr"/>
        <w:keepNext w:val="0"/>
      </w:pPr>
      <w:r w:rsidRPr="00F55FA8">
        <w:t>Neni 8</w:t>
      </w:r>
    </w:p>
    <w:p w:rsidR="007E3DC1" w:rsidRPr="00F55FA8" w:rsidRDefault="007E3DC1" w:rsidP="007E3DC1">
      <w:pPr>
        <w:pStyle w:val="NeniTitull"/>
        <w:keepNext w:val="0"/>
      </w:pPr>
      <w:r w:rsidRPr="00F55FA8">
        <w:t>Lidhësja e thesit (</w:t>
      </w:r>
      <w:smartTag w:uri="urn:schemas-microsoft-com:office:smarttags" w:element="place">
        <w:smartTag w:uri="urn:schemas-microsoft-com:office:smarttags" w:element="City">
          <w:r w:rsidRPr="00F55FA8">
            <w:t>braga</w:t>
          </w:r>
        </w:smartTag>
      </w:smartTag>
      <w:r w:rsidRPr="00F55FA8">
        <w:t xml:space="preserve"> e mbylljes) </w:t>
      </w:r>
    </w:p>
    <w:p w:rsidR="007E3DC1" w:rsidRPr="00F55FA8" w:rsidRDefault="007E3DC1" w:rsidP="007E3DC1">
      <w:pPr>
        <w:pStyle w:val="Paragrafi"/>
      </w:pPr>
    </w:p>
    <w:p w:rsidR="007E3DC1" w:rsidRPr="00F55FA8" w:rsidRDefault="007E3DC1" w:rsidP="007E3DC1">
      <w:pPr>
        <w:pStyle w:val="Paragrafi"/>
      </w:pPr>
      <w:r w:rsidRPr="00F55FA8">
        <w:t xml:space="preserve">1. Lidhësja e thesit është një litar që kryen mbylljen e pjesës së fundore të thesit të tratës dhe/ose të gypave lidhës nëpërmjet një nyjeje lehtësisht të zgjidhshme ose nëpërmjet një pajisjeje mekanike.   </w:t>
      </w:r>
    </w:p>
    <w:p w:rsidR="007E3DC1" w:rsidRPr="00F55FA8" w:rsidRDefault="007E3DC1" w:rsidP="007E3DC1">
      <w:pPr>
        <w:pStyle w:val="Paragrafi"/>
      </w:pPr>
      <w:r w:rsidRPr="00F55FA8">
        <w:t>2. Lidhësja e thesit lidhet jo më larg se një metër nga syzet e fundit të thesit të tratës, të cilat mund të palosen brenda thesit të tratës.  Megjithatë, nëse një «torquette» lidh</w:t>
      </w:r>
      <w:r>
        <w:t>et sipas mënyrës së treguar në n</w:t>
      </w:r>
      <w:r w:rsidRPr="00F55FA8">
        <w:t xml:space="preserve">enin 14, lidhësja e thesit do të kalojë nëpërmjet syzeve të fundit të thesit të tratës. </w:t>
      </w:r>
    </w:p>
    <w:p w:rsidR="007E3DC1" w:rsidRPr="00F55FA8" w:rsidRDefault="007E3DC1" w:rsidP="007E3DC1">
      <w:pPr>
        <w:pStyle w:val="Paragrafi"/>
      </w:pPr>
      <w:r w:rsidRPr="00F55FA8">
        <w:t>3. Lejohet përdorimi i më shumë se një lidhëseje thesi për tratat. Lidhësja nuk mund të mbyllë skarcelën dhe suprinën.</w:t>
      </w:r>
    </w:p>
    <w:p w:rsidR="007E3DC1" w:rsidRPr="00F55FA8" w:rsidRDefault="007E3DC1" w:rsidP="007E3DC1">
      <w:pPr>
        <w:pStyle w:val="Paragrafi"/>
      </w:pPr>
      <w:r w:rsidRPr="00F55FA8">
        <w:t xml:space="preserve">4. Si përjashtim të pikës 2, në anijet e pajisura me sisteme pompimi ne bord dhe që zhvillojnë aktivitet me trata me syze më të vogla se 70 mm, lidhësja e thesit mund të lidhet jo më larg se dhjetë metra nga syzet e fundit te thesit të tratës. </w:t>
      </w:r>
    </w:p>
    <w:p w:rsidR="007E3DC1" w:rsidRPr="00F55FA8" w:rsidRDefault="007E3DC1" w:rsidP="007E3DC1">
      <w:pPr>
        <w:pStyle w:val="Paragrafi"/>
      </w:pPr>
    </w:p>
    <w:p w:rsidR="007E3DC1" w:rsidRPr="00F55FA8" w:rsidRDefault="007E3DC1" w:rsidP="007E3DC1">
      <w:pPr>
        <w:pStyle w:val="NeniNr"/>
        <w:keepNext w:val="0"/>
      </w:pPr>
      <w:r w:rsidRPr="00F55FA8">
        <w:t>Neni 9</w:t>
      </w:r>
    </w:p>
    <w:p w:rsidR="007E3DC1" w:rsidRPr="00F55FA8" w:rsidRDefault="007E3DC1" w:rsidP="007E3DC1">
      <w:pPr>
        <w:pStyle w:val="NeniTitull"/>
        <w:keepNext w:val="0"/>
      </w:pPr>
      <w:smartTag w:uri="urn:schemas-microsoft-com:office:smarttags" w:element="place">
        <w:smartTag w:uri="urn:schemas-microsoft-com:office:smarttags" w:element="City">
          <w:r w:rsidRPr="00F55FA8">
            <w:t>Braga</w:t>
          </w:r>
        </w:smartTag>
      </w:smartTag>
      <w:r w:rsidRPr="00F55FA8">
        <w:t xml:space="preserve"> mbajtëse </w:t>
      </w:r>
    </w:p>
    <w:p w:rsidR="007E3DC1" w:rsidRPr="00F55FA8" w:rsidRDefault="007E3DC1" w:rsidP="007E3DC1">
      <w:pPr>
        <w:pStyle w:val="Paragrafi"/>
      </w:pPr>
    </w:p>
    <w:p w:rsidR="007E3DC1" w:rsidRPr="00F55FA8" w:rsidRDefault="007E3DC1" w:rsidP="007E3DC1">
      <w:pPr>
        <w:pStyle w:val="Paragrafi"/>
      </w:pPr>
      <w:r w:rsidRPr="00F55FA8">
        <w:t xml:space="preserve">1. </w:t>
      </w:r>
      <w:smartTag w:uri="urn:schemas-microsoft-com:office:smarttags" w:element="place">
        <w:smartTag w:uri="urn:schemas-microsoft-com:office:smarttags" w:element="City">
          <w:r w:rsidRPr="00F55FA8">
            <w:t>Braga</w:t>
          </w:r>
        </w:smartTag>
      </w:smartTag>
      <w:r w:rsidRPr="00F55FA8">
        <w:t xml:space="preserve"> mbajtëse është një copë litari ose kavo çeliku që shtrihet përgjatë perimetrit të thesit ose eventualisht të këmishës së thesit, e lidhur me të nëpërmjet nyjeve ose unazave. Lejohet përdorimi në çdo moment i më shumë se një brage mbrojtëse.</w:t>
      </w:r>
    </w:p>
    <w:p w:rsidR="007E3DC1" w:rsidRPr="00F55FA8" w:rsidRDefault="007E3DC1" w:rsidP="007E3DC1">
      <w:pPr>
        <w:pStyle w:val="Paragrafi"/>
      </w:pPr>
      <w:r w:rsidRPr="00F55FA8">
        <w:t xml:space="preserve">2. Gjatësia minimale e bragave mbajtëse rregullohet nga të njëjtat rregulla të zbatueshme për bragat </w:t>
      </w:r>
      <w:r>
        <w:t>përforcuese, të përcaktuara në nenin 10</w:t>
      </w:r>
      <w:r w:rsidRPr="00F55FA8">
        <w:t xml:space="preserve">, me përjashtimin që, </w:t>
      </w:r>
      <w:smartTag w:uri="urn:schemas-microsoft-com:office:smarttags" w:element="place">
        <w:smartTag w:uri="urn:schemas-microsoft-com:office:smarttags" w:element="City">
          <w:r w:rsidRPr="00F55FA8">
            <w:t>braga</w:t>
          </w:r>
        </w:smartTag>
      </w:smartTag>
      <w:r w:rsidRPr="00F55FA8">
        <w:t xml:space="preserve"> mbajtëse më e afërt me lidhësen e thesit mund të jetë më e shkutër.</w:t>
      </w:r>
    </w:p>
    <w:p w:rsidR="007E3DC1" w:rsidRPr="00F55FA8" w:rsidRDefault="007E3DC1" w:rsidP="007E3DC1">
      <w:pPr>
        <w:pStyle w:val="Paragrafi"/>
      </w:pPr>
    </w:p>
    <w:p w:rsidR="007E3DC1" w:rsidRPr="00F55FA8" w:rsidRDefault="007E3DC1" w:rsidP="007E3DC1">
      <w:pPr>
        <w:pStyle w:val="NeniNr"/>
        <w:keepNext w:val="0"/>
      </w:pPr>
      <w:r w:rsidRPr="00F55FA8">
        <w:t>Neni 10</w:t>
      </w:r>
    </w:p>
    <w:p w:rsidR="007E3DC1" w:rsidRPr="00F55FA8" w:rsidRDefault="007E3DC1" w:rsidP="007E3DC1">
      <w:pPr>
        <w:pStyle w:val="NeniTitull"/>
        <w:keepNext w:val="0"/>
      </w:pPr>
      <w:smartTag w:uri="urn:schemas-microsoft-com:office:smarttags" w:element="place">
        <w:smartTag w:uri="urn:schemas-microsoft-com:office:smarttags" w:element="City">
          <w:r w:rsidRPr="00F55FA8">
            <w:t>Braga</w:t>
          </w:r>
        </w:smartTag>
      </w:smartTag>
      <w:r w:rsidRPr="00F55FA8">
        <w:t xml:space="preserve"> përforcuese </w:t>
      </w:r>
    </w:p>
    <w:p w:rsidR="007E3DC1" w:rsidRPr="00F55FA8" w:rsidRDefault="007E3DC1" w:rsidP="007E3DC1">
      <w:pPr>
        <w:pStyle w:val="Paragrafi"/>
      </w:pPr>
    </w:p>
    <w:p w:rsidR="007E3DC1" w:rsidRPr="00F55FA8" w:rsidRDefault="007E3DC1" w:rsidP="007E3DC1">
      <w:pPr>
        <w:pStyle w:val="Paragrafi"/>
      </w:pPr>
      <w:r w:rsidRPr="00F55FA8">
        <w:t>1. Bragat përforcuese janë litarë në formë unazash që mbërthejnë thesin e tratës ose këmishat e thesit me të cilat janë të lidhura në intervale të rregullta.</w:t>
      </w:r>
    </w:p>
    <w:p w:rsidR="007E3DC1" w:rsidRPr="00F55FA8" w:rsidRDefault="007E3DC1" w:rsidP="007E3DC1">
      <w:pPr>
        <w:pStyle w:val="Paragrafi"/>
      </w:pPr>
      <w:r w:rsidRPr="00F55FA8">
        <w:t>2. Gjatësia e një brage përforcuese nuk duhet të jetë më e vogël se 40% e perimetrit thesit të tratës, që llogaritet duke shumëzuar numrin e syzeve të pranishme në perimetrin e thesit me madhësinë efektive të syzes, me përjashtim të bragës së fundit përforcuese, të quajtur “braga e pasme”, nëse ajo është e lidhur në një distancë jo më të madhe se dy metra nga lidhësja e thesit, distancë që matet me syze të shtrira në mënyrë gjatësore.</w:t>
      </w:r>
    </w:p>
    <w:p w:rsidR="007E3DC1" w:rsidRPr="00F55FA8" w:rsidRDefault="007E3DC1" w:rsidP="007E3DC1">
      <w:pPr>
        <w:pStyle w:val="Paragrafi"/>
      </w:pPr>
      <w:r w:rsidRPr="00F55FA8">
        <w:t>3. Distanca ndërmjet dy bragave përforcuese të njëpasnjëshme nuk duhet të jetë më e vogël se një metër.</w:t>
      </w:r>
    </w:p>
    <w:p w:rsidR="007E3DC1" w:rsidRPr="00F55FA8" w:rsidRDefault="007E3DC1" w:rsidP="007E3DC1">
      <w:pPr>
        <w:pStyle w:val="Paragrafi"/>
      </w:pPr>
      <w:r w:rsidRPr="00F55FA8">
        <w:t>4. Një bragë përforcuese mund të mbërthejë këmishat e thesit, por jo suprinën ose skarcelën.</w:t>
      </w:r>
    </w:p>
    <w:p w:rsidR="007E3DC1" w:rsidRPr="00F55FA8" w:rsidRDefault="007E3DC1" w:rsidP="007E3DC1">
      <w:pPr>
        <w:pStyle w:val="Paragrafi"/>
      </w:pPr>
    </w:p>
    <w:p w:rsidR="007E3DC1" w:rsidRPr="00F55FA8" w:rsidRDefault="007E3DC1" w:rsidP="007E3DC1">
      <w:pPr>
        <w:pStyle w:val="NeniNr"/>
        <w:keepNext w:val="0"/>
      </w:pPr>
      <w:r w:rsidRPr="00F55FA8">
        <w:t>Neni 11</w:t>
      </w:r>
    </w:p>
    <w:p w:rsidR="007E3DC1" w:rsidRPr="00F55FA8" w:rsidRDefault="007E3DC1" w:rsidP="007E3DC1">
      <w:pPr>
        <w:pStyle w:val="NeniTitull"/>
        <w:keepNext w:val="0"/>
      </w:pPr>
      <w:r>
        <w:t>Perde (l</w:t>
      </w:r>
      <w:r w:rsidRPr="00F55FA8">
        <w:t xml:space="preserve">lapë) </w:t>
      </w:r>
    </w:p>
    <w:p w:rsidR="007E3DC1" w:rsidRPr="00F55FA8" w:rsidRDefault="007E3DC1" w:rsidP="007E3DC1">
      <w:pPr>
        <w:pStyle w:val="Paragrafi"/>
      </w:pPr>
    </w:p>
    <w:p w:rsidR="007E3DC1" w:rsidRDefault="007E3DC1" w:rsidP="007E3DC1">
      <w:pPr>
        <w:pStyle w:val="Paragrafi"/>
      </w:pPr>
      <w:r w:rsidRPr="00F55FA8">
        <w:t>1. Perdja është pjesë rrjete me syze të paktën me të njëjtën madhësi si ajo e thesit, e fiksuar në brendësi të tratës në mënyrë që të lejojë që zëniet të kalojnë nga pjesa e përparme te pjesa e mbrapme e rrjetës, duke penguar në të njëjtën kohë mundësinë e rikthimit mbrapsht.</w:t>
      </w:r>
    </w:p>
    <w:p w:rsidR="007E3DC1" w:rsidRPr="00F55FA8" w:rsidRDefault="007E3DC1" w:rsidP="007E3DC1">
      <w:pPr>
        <w:pStyle w:val="Paragrafi"/>
      </w:pPr>
    </w:p>
    <w:p w:rsidR="007E3DC1" w:rsidRPr="00F55FA8" w:rsidRDefault="007E3DC1" w:rsidP="007E3DC1">
      <w:pPr>
        <w:pStyle w:val="Paragrafi"/>
      </w:pPr>
      <w:r w:rsidRPr="00F55FA8">
        <w:t>2. Perdja lidhet me bordin e sipërm; ajo mund të lidhet edhe me bordet anësore. Lidhja bëhet në pjesën e brendshme të thesit të tratës ose në pjesën e tij të sipërme.</w:t>
      </w:r>
    </w:p>
    <w:p w:rsidR="007E3DC1" w:rsidRPr="00F55FA8" w:rsidRDefault="007E3DC1" w:rsidP="007E3DC1">
      <w:pPr>
        <w:pStyle w:val="Paragrafi"/>
      </w:pPr>
      <w:r w:rsidRPr="00F55FA8">
        <w:t>3. Distanca midis pikës së lidhjes së pjesës së përparme të perdes dhe pjesës së poshtme të thesit të tratës duhet të jetë së paku sa trefishi i gjatësisë së perdes.</w:t>
      </w:r>
    </w:p>
    <w:p w:rsidR="007E3DC1" w:rsidRPr="00F55FA8" w:rsidRDefault="007E3DC1" w:rsidP="007E3DC1">
      <w:pPr>
        <w:pStyle w:val="Paragrafi"/>
      </w:pPr>
    </w:p>
    <w:p w:rsidR="007E3DC1" w:rsidRPr="00F55FA8" w:rsidRDefault="007E3DC1" w:rsidP="007E3DC1">
      <w:pPr>
        <w:pStyle w:val="NeniNr"/>
        <w:keepNext w:val="0"/>
      </w:pPr>
      <w:r w:rsidRPr="00F55FA8">
        <w:t>Neni 12</w:t>
      </w:r>
    </w:p>
    <w:p w:rsidR="007E3DC1" w:rsidRPr="00F55FA8" w:rsidRDefault="007E3DC1" w:rsidP="007E3DC1">
      <w:pPr>
        <w:pStyle w:val="NeniTitull"/>
        <w:keepNext w:val="0"/>
      </w:pPr>
      <w:r w:rsidRPr="00F55FA8">
        <w:t xml:space="preserve">Thesi selektiv </w:t>
      </w:r>
    </w:p>
    <w:p w:rsidR="007E3DC1" w:rsidRPr="00F55FA8" w:rsidRDefault="007E3DC1" w:rsidP="007E3DC1">
      <w:pPr>
        <w:pStyle w:val="Paragrafi"/>
      </w:pPr>
    </w:p>
    <w:p w:rsidR="007E3DC1" w:rsidRPr="00F55FA8" w:rsidRDefault="007E3DC1" w:rsidP="007E3DC1">
      <w:pPr>
        <w:pStyle w:val="Paragrafi"/>
      </w:pPr>
      <w:r w:rsidRPr="00F55FA8">
        <w:t>1. Thesi selektiv është një pjesë rrjete me syze me madhësi të paktën sa dyfishi i syzes së thesit të tratës.</w:t>
      </w:r>
    </w:p>
    <w:p w:rsidR="007E3DC1" w:rsidRPr="00F55FA8" w:rsidRDefault="007E3DC1" w:rsidP="007E3DC1">
      <w:pPr>
        <w:pStyle w:val="Paragrafi"/>
      </w:pPr>
      <w:r w:rsidRPr="00F55FA8">
        <w:t>2. Thesi selektiv lidhet në pjesën e brendshme të tratës përpara thesit dhe nuk duhet të zgjatet në thes më shumë se një e treta e gjatësisë së këtij të fundit. Thesi selektiv mund të lidhet me tratën në të gjitha anët.</w:t>
      </w:r>
    </w:p>
    <w:p w:rsidR="007E3DC1" w:rsidRPr="00F55FA8" w:rsidRDefault="007E3DC1" w:rsidP="007E3DC1">
      <w:pPr>
        <w:pStyle w:val="Paragrafi"/>
      </w:pPr>
      <w:r w:rsidRPr="00F55FA8">
        <w:t>3. Mund të përdoren në të njëjtën kohë maksimumi dy thasë selektivë, vetëm nëse ata janë të lidhur respektivisht me gjysmën e sipërme dhe gjysmën e poshtme të tratës dhe që nuk mbivendosen në asnjë pikë.</w:t>
      </w:r>
    </w:p>
    <w:p w:rsidR="007E3DC1" w:rsidRPr="00F55FA8" w:rsidRDefault="007E3DC1" w:rsidP="007E3DC1">
      <w:pPr>
        <w:pStyle w:val="Paragrafi"/>
      </w:pPr>
    </w:p>
    <w:p w:rsidR="007E3DC1" w:rsidRPr="00F55FA8" w:rsidRDefault="007E3DC1" w:rsidP="007E3DC1">
      <w:pPr>
        <w:pStyle w:val="NeniNr"/>
        <w:keepNext w:val="0"/>
      </w:pPr>
      <w:r w:rsidRPr="00F55FA8">
        <w:t>Neni 13</w:t>
      </w:r>
    </w:p>
    <w:p w:rsidR="007E3DC1" w:rsidRPr="00F55FA8" w:rsidRDefault="007E3DC1" w:rsidP="007E3DC1">
      <w:pPr>
        <w:pStyle w:val="NeniTitull"/>
        <w:keepNext w:val="0"/>
      </w:pPr>
      <w:r w:rsidRPr="00F55FA8">
        <w:t xml:space="preserve">Cimë përforcuese </w:t>
      </w:r>
    </w:p>
    <w:p w:rsidR="007E3DC1" w:rsidRPr="00F55FA8" w:rsidRDefault="007E3DC1" w:rsidP="007E3DC1">
      <w:pPr>
        <w:pStyle w:val="Paragrafi"/>
      </w:pPr>
    </w:p>
    <w:p w:rsidR="007E3DC1" w:rsidRPr="00F55FA8" w:rsidRDefault="007E3DC1" w:rsidP="007E3DC1">
      <w:pPr>
        <w:pStyle w:val="Paragrafi"/>
      </w:pPr>
      <w:r w:rsidRPr="00F55FA8">
        <w:t xml:space="preserve">1. Me cimë përforcuese kuptohet çfarëdolloj litari, i ndryshëm </w:t>
      </w:r>
      <w:r>
        <w:t>nga litari anësor, i lidhur me ç</w:t>
      </w:r>
      <w:r w:rsidRPr="00F55FA8">
        <w:t>farëdolloj pjese të tratës.</w:t>
      </w:r>
    </w:p>
    <w:p w:rsidR="007E3DC1" w:rsidRPr="00F55FA8" w:rsidRDefault="007E3DC1" w:rsidP="007E3DC1">
      <w:pPr>
        <w:pStyle w:val="Paragrafi"/>
      </w:pPr>
      <w:r w:rsidRPr="00F55FA8">
        <w:t>2. Ndalohet lidhja e cimave përforcuese në brendësi të thesit të tratës.</w:t>
      </w:r>
    </w:p>
    <w:p w:rsidR="007E3DC1" w:rsidRPr="00F55FA8" w:rsidRDefault="007E3DC1" w:rsidP="007E3DC1">
      <w:pPr>
        <w:pStyle w:val="Paragrafi"/>
      </w:pPr>
    </w:p>
    <w:p w:rsidR="007E3DC1" w:rsidRPr="00F55FA8" w:rsidRDefault="007E3DC1" w:rsidP="007E3DC1">
      <w:pPr>
        <w:pStyle w:val="NeniNr"/>
        <w:keepNext w:val="0"/>
      </w:pPr>
      <w:r w:rsidRPr="00F55FA8">
        <w:t>Neni 14</w:t>
      </w:r>
    </w:p>
    <w:p w:rsidR="007E3DC1" w:rsidRPr="00F55FA8" w:rsidRDefault="007E3DC1" w:rsidP="007E3DC1">
      <w:pPr>
        <w:pStyle w:val="NeniTitull"/>
        <w:keepNext w:val="0"/>
      </w:pPr>
      <w:bookmarkStart w:id="1" w:name="OLE_LINK1"/>
      <w:bookmarkStart w:id="2" w:name="OLE_LINK2"/>
      <w:r w:rsidRPr="00F55FA8">
        <w:t>Torquette</w:t>
      </w:r>
    </w:p>
    <w:bookmarkEnd w:id="1"/>
    <w:bookmarkEnd w:id="2"/>
    <w:p w:rsidR="007E3DC1" w:rsidRPr="00F55FA8" w:rsidRDefault="007E3DC1" w:rsidP="007E3DC1">
      <w:pPr>
        <w:pStyle w:val="Paragrafi"/>
      </w:pPr>
    </w:p>
    <w:p w:rsidR="007E3DC1" w:rsidRPr="00F55FA8" w:rsidRDefault="007E3DC1" w:rsidP="007E3DC1">
      <w:pPr>
        <w:pStyle w:val="Paragrafi"/>
      </w:pPr>
      <w:r>
        <w:t>1. «T</w:t>
      </w:r>
      <w:r w:rsidRPr="00F55FA8">
        <w:t>orquette» është një pjesë rrjete e fiksuar në brendësi të thesit të tratës, në pjesën fundore të këtij të fundit.</w:t>
      </w:r>
    </w:p>
    <w:p w:rsidR="007E3DC1" w:rsidRPr="00F55FA8" w:rsidRDefault="007E3DC1" w:rsidP="007E3DC1">
      <w:pPr>
        <w:pStyle w:val="Paragrafi"/>
      </w:pPr>
      <w:r w:rsidRPr="00F55FA8">
        <w:t>2. Madhësia e syzes së «torquette» nuk duhet të jetë më e vogël se ajo e syzes së thesit.</w:t>
      </w:r>
    </w:p>
    <w:p w:rsidR="007E3DC1" w:rsidRPr="00F55FA8" w:rsidRDefault="007E3DC1" w:rsidP="007E3DC1">
      <w:pPr>
        <w:pStyle w:val="Paragrafi"/>
      </w:pPr>
      <w:r>
        <w:t>3. «T</w:t>
      </w:r>
      <w:r w:rsidRPr="00F55FA8">
        <w:t>orquette» lidhet vetëm me anën e përparme të saj dhe jo më përpara se pesë syzet e fundit të thesit te tratës; ajo nuk duhet të zgjatet mbrapa më tej se një metër nga syzet e fundit të thesit të tratës.</w:t>
      </w:r>
    </w:p>
    <w:p w:rsidR="007E3DC1" w:rsidRPr="00F55FA8" w:rsidRDefault="007E3DC1" w:rsidP="007E3DC1">
      <w:pPr>
        <w:pStyle w:val="Paragrafi"/>
      </w:pPr>
    </w:p>
    <w:p w:rsidR="007E3DC1" w:rsidRPr="00F55FA8" w:rsidRDefault="007E3DC1" w:rsidP="007E3DC1">
      <w:pPr>
        <w:pStyle w:val="NeniNr"/>
        <w:keepNext w:val="0"/>
      </w:pPr>
      <w:r w:rsidRPr="00F55FA8">
        <w:t>Neni 15</w:t>
      </w:r>
    </w:p>
    <w:p w:rsidR="007E3DC1" w:rsidRPr="00F55FA8" w:rsidRDefault="007E3DC1" w:rsidP="007E3DC1">
      <w:pPr>
        <w:pStyle w:val="NeniTitull"/>
        <w:keepNext w:val="0"/>
      </w:pPr>
      <w:r w:rsidRPr="00F55FA8">
        <w:t>Qepja përgjatë vijës së mesit të një thesi të palosur</w:t>
      </w:r>
    </w:p>
    <w:p w:rsidR="007E3DC1" w:rsidRPr="00F55FA8" w:rsidRDefault="007E3DC1" w:rsidP="007E3DC1">
      <w:pPr>
        <w:pStyle w:val="Paragrafi"/>
      </w:pPr>
    </w:p>
    <w:p w:rsidR="007E3DC1" w:rsidRPr="00F55FA8" w:rsidRDefault="007E3DC1" w:rsidP="007E3DC1">
      <w:pPr>
        <w:pStyle w:val="Paragrafi"/>
      </w:pPr>
      <w:r w:rsidRPr="00F55FA8">
        <w:t>Syzet e thesit të një trate tërheqëse mund të qepen bashkë, duke lidhur në mënyrë gjatësore gjysmën e sipërme dhe gjysmën e poshtme, për të formuar një thes të palosur.</w:t>
      </w:r>
    </w:p>
    <w:p w:rsidR="007E3DC1" w:rsidRPr="00F55FA8" w:rsidRDefault="007E3DC1" w:rsidP="007E3DC1">
      <w:pPr>
        <w:pStyle w:val="Paragrafi"/>
      </w:pPr>
    </w:p>
    <w:p w:rsidR="007E3DC1" w:rsidRPr="00F55FA8" w:rsidRDefault="007E3DC1" w:rsidP="007E3DC1">
      <w:pPr>
        <w:pStyle w:val="NeniNr"/>
        <w:keepNext w:val="0"/>
      </w:pPr>
      <w:r w:rsidRPr="00F55FA8">
        <w:t>Neni 16</w:t>
      </w:r>
    </w:p>
    <w:p w:rsidR="007E3DC1" w:rsidRPr="00F55FA8" w:rsidRDefault="007E3DC1" w:rsidP="007E3DC1">
      <w:pPr>
        <w:pStyle w:val="Paragrafi"/>
      </w:pPr>
    </w:p>
    <w:p w:rsidR="007E3DC1" w:rsidRDefault="007E3DC1" w:rsidP="007E3DC1">
      <w:pPr>
        <w:pStyle w:val="Paragrafi"/>
      </w:pPr>
      <w:r w:rsidRPr="00F55FA8">
        <w:t>Kjo rregullore hyn</w:t>
      </w:r>
      <w:r>
        <w:t xml:space="preserve"> në fuqi 15 ditë pas botimit në Fletoren Z</w:t>
      </w:r>
      <w:r w:rsidRPr="00F55FA8">
        <w:t>yrtare.</w:t>
      </w:r>
    </w:p>
    <w:p w:rsidR="007E3DC1" w:rsidRPr="00F55FA8" w:rsidRDefault="007E3DC1" w:rsidP="007E3DC1">
      <w:pPr>
        <w:pStyle w:val="Paragrafi"/>
      </w:pPr>
      <w:r w:rsidRPr="00F55FA8">
        <w:t xml:space="preserve"> </w:t>
      </w:r>
    </w:p>
    <w:p w:rsidR="007E3DC1" w:rsidRDefault="007E3DC1" w:rsidP="007E3DC1">
      <w:pPr>
        <w:pStyle w:val="Autoriteti"/>
      </w:pPr>
      <w:r w:rsidRPr="00F55FA8">
        <w:t>MINISTRI</w:t>
      </w:r>
      <w:r>
        <w:t xml:space="preserve"> I MJEDISIT, PYJEVE </w:t>
      </w:r>
    </w:p>
    <w:p w:rsidR="007E3DC1" w:rsidRPr="00F55FA8" w:rsidRDefault="007E3DC1" w:rsidP="007E3DC1">
      <w:pPr>
        <w:pStyle w:val="Autoriteti"/>
      </w:pPr>
      <w:r>
        <w:t>DHE ADMINISTRIMIT TË UJËRAVE</w:t>
      </w:r>
    </w:p>
    <w:p w:rsidR="007E3DC1" w:rsidRPr="00F55FA8" w:rsidRDefault="007E3DC1" w:rsidP="007E3DC1">
      <w:pPr>
        <w:pStyle w:val="AutoritetiEmer"/>
      </w:pPr>
      <w:r>
        <w:t>Lufter X</w:t>
      </w:r>
      <w:r w:rsidRPr="00F55FA8">
        <w:t>huveli</w:t>
      </w:r>
    </w:p>
    <w:p w:rsidR="007E3DC1" w:rsidRPr="00F55FA8" w:rsidRDefault="007E3DC1" w:rsidP="007E3DC1">
      <w:pPr>
        <w:pStyle w:val="Paragrafi"/>
      </w:pPr>
    </w:p>
    <w:p w:rsidR="007E3DC1" w:rsidRDefault="007E3DC1" w:rsidP="007E3DC1">
      <w:pPr>
        <w:pStyle w:val="Paragrafi"/>
      </w:pPr>
    </w:p>
    <w:p w:rsidR="007E3DC1" w:rsidRPr="00F55FA8" w:rsidRDefault="007E3DC1" w:rsidP="007E3DC1">
      <w:pPr>
        <w:pStyle w:val="TitulliTitull"/>
      </w:pPr>
      <w:r w:rsidRPr="00F55FA8">
        <w:t>SHTOJCË</w:t>
      </w:r>
    </w:p>
    <w:p w:rsidR="007E3DC1" w:rsidRPr="00F55FA8" w:rsidRDefault="007E3DC1" w:rsidP="007E3DC1">
      <w:pPr>
        <w:pStyle w:val="Paragrafi"/>
      </w:pPr>
    </w:p>
    <w:p w:rsidR="007E3DC1" w:rsidRPr="00F55FA8" w:rsidRDefault="007E3DC1" w:rsidP="007E3DC1">
      <w:pPr>
        <w:pStyle w:val="Paragrafi"/>
      </w:pPr>
      <w:r w:rsidRPr="00F55FA8">
        <w:t>Përkufizimi i disa termave teknikë dhe i disa pa</w:t>
      </w:r>
      <w:r>
        <w:t>j</w:t>
      </w:r>
      <w:r w:rsidRPr="00F55FA8">
        <w:t>isjeve ose punimeve që zakonisht përbë</w:t>
      </w:r>
      <w:r>
        <w:t>jnë pjesë integrale të një trate</w:t>
      </w:r>
      <w:r w:rsidRPr="00F55FA8">
        <w:t xml:space="preserve"> ose që mund të përdoren së bashku me një tratë.</w:t>
      </w:r>
    </w:p>
    <w:p w:rsidR="007E3DC1" w:rsidRPr="00F55FA8" w:rsidRDefault="007E3DC1" w:rsidP="007E3DC1">
      <w:pPr>
        <w:pStyle w:val="Paragrafi"/>
      </w:pPr>
      <w:r w:rsidRPr="00F55FA8">
        <w:t>Thesi i tratës:</w:t>
      </w:r>
    </w:p>
    <w:p w:rsidR="007E3DC1" w:rsidRPr="00F55FA8" w:rsidRDefault="007E3DC1" w:rsidP="007E3DC1">
      <w:pPr>
        <w:pStyle w:val="Paragrafi"/>
      </w:pPr>
      <w:r w:rsidRPr="00F55FA8">
        <w:t>Thesi është pjesa e skaji fundor i tratës, me formë cilindrike, pra me perimetër të njëjtë në çdo pjesë të tij, ose me formë të konike.</w:t>
      </w:r>
    </w:p>
    <w:p w:rsidR="007E3DC1" w:rsidRPr="00F55FA8" w:rsidRDefault="007E3DC1" w:rsidP="007E3DC1">
      <w:pPr>
        <w:pStyle w:val="Paragrafi"/>
      </w:pPr>
      <w:r w:rsidRPr="00F55FA8">
        <w:t xml:space="preserve">Thesi i tratës mund të përfshijë thesin në kuptimin e vërtetë të fjalës dhe eventualisht grykën. </w:t>
      </w:r>
    </w:p>
    <w:p w:rsidR="007E3DC1" w:rsidRPr="00F55FA8" w:rsidRDefault="007E3DC1" w:rsidP="007E3DC1">
      <w:pPr>
        <w:pStyle w:val="Paragrafi"/>
      </w:pPr>
      <w:r w:rsidRPr="00F55FA8">
        <w:t>Thesi i rrjetës së tratave koçe (fundore) në kuptimin e vërtetë të fjalës:</w:t>
      </w:r>
    </w:p>
    <w:p w:rsidR="007E3DC1" w:rsidRPr="00F55FA8" w:rsidRDefault="007E3DC1" w:rsidP="007E3DC1">
      <w:pPr>
        <w:pStyle w:val="Paragrafi"/>
      </w:pPr>
      <w:r w:rsidRPr="00F55FA8">
        <w:t>Thesi në kuptimin e vërtetë të fjalës është i formuar nga një copë rrjete, me syze me të njëjtën madhësi, të qepura me njëra</w:t>
      </w:r>
      <w:r>
        <w:t>-</w:t>
      </w:r>
      <w:r w:rsidRPr="00F55FA8">
        <w:t xml:space="preserve">tjetrën përgjatë anëve të rrjetës, së cilës mund t’i lidhet edhe një litar anësor. </w:t>
      </w:r>
    </w:p>
    <w:p w:rsidR="007E3DC1" w:rsidRPr="00F55FA8" w:rsidRDefault="007E3DC1" w:rsidP="007E3DC1">
      <w:pPr>
        <w:pStyle w:val="Paragrafi"/>
      </w:pPr>
      <w:r w:rsidRPr="00F55FA8">
        <w:t>Gryka e thesit:</w:t>
      </w:r>
    </w:p>
    <w:p w:rsidR="007E3DC1" w:rsidRPr="00F55FA8" w:rsidRDefault="007E3DC1" w:rsidP="007E3DC1">
      <w:pPr>
        <w:pStyle w:val="Paragrafi"/>
      </w:pPr>
      <w:r w:rsidRPr="00F55FA8">
        <w:t>Gryka e thesit përbëhet nga një ose më shumë pjesë rrjetash të ndodhura menjëherë përpara thesit ne kuptimin e vërtetë të fjalës.</w:t>
      </w:r>
    </w:p>
    <w:p w:rsidR="007E3DC1" w:rsidRPr="00F55FA8" w:rsidRDefault="007E3DC1" w:rsidP="007E3DC1">
      <w:pPr>
        <w:pStyle w:val="Paragrafi"/>
      </w:pPr>
      <w:r w:rsidRPr="00F55FA8">
        <w:t>Qepje përforcuese:</w:t>
      </w:r>
    </w:p>
    <w:p w:rsidR="007E3DC1" w:rsidRPr="00F55FA8" w:rsidRDefault="007E3DC1" w:rsidP="007E3DC1">
      <w:pPr>
        <w:pStyle w:val="Paragrafi"/>
      </w:pPr>
      <w:r w:rsidRPr="00F55FA8">
        <w:t>Qepja përforcuese bashkon dy copa rrjetash dhe përbëhet nga rrjeshta syzesh të qepura së bashku për të përforcuar rrjetën.</w:t>
      </w:r>
    </w:p>
    <w:p w:rsidR="007E3DC1" w:rsidRPr="00F55FA8" w:rsidRDefault="007E3DC1" w:rsidP="007E3DC1">
      <w:pPr>
        <w:pStyle w:val="Paragrafi"/>
      </w:pPr>
      <w:r w:rsidRPr="00F55FA8">
        <w:t>Litari anësor:</w:t>
      </w:r>
    </w:p>
    <w:p w:rsidR="007E3DC1" w:rsidRPr="00F55FA8" w:rsidRDefault="007E3DC1" w:rsidP="007E3DC1">
      <w:pPr>
        <w:pStyle w:val="Paragrafi"/>
      </w:pPr>
      <w:r w:rsidRPr="00F55FA8">
        <w:t>Litar anësor përcaktohet si një litar që shtrihet në pjesën gjatësore të rrjetës dhe është i lidhur me këtë të fundit përgjatë qepjes anësore në drejtimin e aksit të rrjetës.</w:t>
      </w:r>
    </w:p>
    <w:p w:rsidR="007E3DC1" w:rsidRPr="00F55FA8" w:rsidRDefault="007E3DC1" w:rsidP="007E3DC1">
      <w:pPr>
        <w:pStyle w:val="Paragrafi"/>
      </w:pPr>
      <w:r w:rsidRPr="00F55FA8">
        <w:t>Galexhanti (poçet e tratës):</w:t>
      </w:r>
    </w:p>
    <w:p w:rsidR="007E3DC1" w:rsidRPr="00F55FA8" w:rsidRDefault="007E3DC1" w:rsidP="007E3DC1">
      <w:pPr>
        <w:pStyle w:val="Paragrafi"/>
      </w:pPr>
      <w:r w:rsidRPr="00F55FA8">
        <w:t>Galexhanti është një pajisje që shërben për t’i dhënë një forcë ngritjeje tratës ose për të sinjalizuar pozicionin e tratës apo të dyja së bashku.</w:t>
      </w:r>
    </w:p>
    <w:p w:rsidR="007E3DC1" w:rsidRPr="00F55FA8" w:rsidRDefault="007E3DC1" w:rsidP="007E3DC1">
      <w:pPr>
        <w:pStyle w:val="Paragrafi"/>
      </w:pPr>
      <w:r w:rsidRPr="00F55FA8">
        <w:t>Paneli ngritës:</w:t>
      </w:r>
    </w:p>
    <w:p w:rsidR="007E3DC1" w:rsidRPr="00F55FA8" w:rsidRDefault="007E3DC1" w:rsidP="007E3DC1">
      <w:pPr>
        <w:pStyle w:val="Paragrafi"/>
      </w:pPr>
      <w:r w:rsidRPr="00F55FA8">
        <w:t>Paneli ngritës është një pajisje e përdorur për t’i dhënë forcë ngritëse tratës.</w:t>
      </w:r>
    </w:p>
    <w:p w:rsidR="007E3DC1" w:rsidRPr="00F55FA8" w:rsidRDefault="007E3DC1" w:rsidP="007E3DC1">
      <w:pPr>
        <w:pStyle w:val="Paragrafi"/>
      </w:pPr>
      <w:r w:rsidRPr="00F55FA8">
        <w:t>Pajisje  elektromekanike:</w:t>
      </w:r>
    </w:p>
    <w:p w:rsidR="007E3DC1" w:rsidRPr="00F55FA8" w:rsidRDefault="007E3DC1" w:rsidP="007E3DC1">
      <w:pPr>
        <w:pStyle w:val="Paragrafi"/>
      </w:pPr>
      <w:r w:rsidRPr="00F55FA8">
        <w:t>Pajisje, sikurse transduktorët (vibratorët), të përdorura për të marrë informacione mbi pozicionimin e tratës në ujë dhe mbi sasinë e peshqve të zënë.</w:t>
      </w:r>
    </w:p>
    <w:sectPr w:rsidR="007E3DC1" w:rsidRPr="00F55FA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E3DC1"/>
    <w:rsid w:val="00153448"/>
    <w:rsid w:val="007E3DC1"/>
    <w:rsid w:val="00C529B9"/>
    <w:rsid w:val="00F1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C2CEFB70-128A-4DF2-B775-3082D8F72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DC1"/>
    <w:rPr>
      <w:rFonts w:eastAsia="Batang"/>
      <w:sz w:val="24"/>
      <w:szCs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7E3DC1"/>
    <w:pPr>
      <w:keepNext/>
      <w:widowControl w:val="0"/>
      <w:jc w:val="center"/>
      <w:outlineLvl w:val="0"/>
    </w:pPr>
    <w:rPr>
      <w:rFonts w:ascii="CG Times" w:eastAsia="Batang" w:hAnsi="CG Times"/>
      <w:b/>
      <w:caps/>
      <w:color w:val="000000"/>
      <w:sz w:val="22"/>
      <w:szCs w:val="22"/>
      <w:lang w:eastAsia="en-US"/>
    </w:rPr>
  </w:style>
  <w:style w:type="paragraph" w:customStyle="1" w:styleId="Autoriteti">
    <w:name w:val="Autoriteti"/>
    <w:next w:val="Normal"/>
    <w:rsid w:val="007E3DC1"/>
    <w:pPr>
      <w:keepNext/>
      <w:widowControl w:val="0"/>
      <w:jc w:val="right"/>
    </w:pPr>
    <w:rPr>
      <w:rFonts w:ascii="CG Times" w:eastAsia="Batang" w:hAnsi="CG Times"/>
      <w:caps/>
      <w:sz w:val="22"/>
      <w:szCs w:val="22"/>
      <w:lang w:eastAsia="en-US"/>
    </w:rPr>
  </w:style>
  <w:style w:type="paragraph" w:customStyle="1" w:styleId="AutoritetiEmer">
    <w:name w:val="Autoriteti_Emer"/>
    <w:next w:val="Normal"/>
    <w:link w:val="AutoritetiEmerChar"/>
    <w:rsid w:val="007E3DC1"/>
    <w:pPr>
      <w:widowControl w:val="0"/>
      <w:jc w:val="right"/>
    </w:pPr>
    <w:rPr>
      <w:rFonts w:ascii="CG Times" w:eastAsia="Batang" w:hAnsi="CG Times"/>
      <w:b/>
      <w:sz w:val="22"/>
      <w:szCs w:val="22"/>
      <w:lang w:eastAsia="en-US"/>
    </w:rPr>
  </w:style>
  <w:style w:type="paragraph" w:customStyle="1" w:styleId="BazLigjPropozues">
    <w:name w:val="Baz_Ligj_Propozues"/>
    <w:rsid w:val="007E3DC1"/>
    <w:pPr>
      <w:keepNext/>
      <w:widowControl w:val="0"/>
      <w:ind w:firstLine="720"/>
      <w:jc w:val="both"/>
    </w:pPr>
    <w:rPr>
      <w:rFonts w:ascii="CG Times" w:eastAsia="Batang" w:hAnsi="CG Times"/>
      <w:color w:val="000000"/>
      <w:sz w:val="22"/>
      <w:szCs w:val="22"/>
      <w:lang w:eastAsia="en-US"/>
    </w:rPr>
  </w:style>
  <w:style w:type="paragraph" w:customStyle="1" w:styleId="NeniNr">
    <w:name w:val="Neni_Nr"/>
    <w:next w:val="Normal"/>
    <w:rsid w:val="007E3DC1"/>
    <w:pPr>
      <w:keepNext/>
      <w:widowControl w:val="0"/>
      <w:jc w:val="center"/>
    </w:pPr>
    <w:rPr>
      <w:rFonts w:ascii="CG Times" w:eastAsia="Batang" w:hAnsi="CG Times"/>
      <w:sz w:val="22"/>
      <w:lang w:eastAsia="en-US"/>
    </w:rPr>
  </w:style>
  <w:style w:type="paragraph" w:customStyle="1" w:styleId="NeniTitull">
    <w:name w:val="Neni_Titull"/>
    <w:next w:val="Normal"/>
    <w:rsid w:val="007E3DC1"/>
    <w:pPr>
      <w:keepNext/>
      <w:widowControl w:val="0"/>
      <w:jc w:val="center"/>
      <w:outlineLvl w:val="2"/>
    </w:pPr>
    <w:rPr>
      <w:rFonts w:ascii="CG Times" w:eastAsia="Batang" w:hAnsi="CG Times"/>
      <w:b/>
      <w:sz w:val="22"/>
      <w:lang w:eastAsia="en-US"/>
    </w:rPr>
  </w:style>
  <w:style w:type="paragraph" w:customStyle="1" w:styleId="NumriData">
    <w:name w:val="Numri_Data"/>
    <w:next w:val="Normal"/>
    <w:rsid w:val="007E3DC1"/>
    <w:pPr>
      <w:keepNext/>
      <w:widowControl w:val="0"/>
      <w:jc w:val="center"/>
      <w:outlineLvl w:val="0"/>
    </w:pPr>
    <w:rPr>
      <w:rFonts w:ascii="CG Times" w:eastAsia="Batang" w:hAnsi="CG Times"/>
      <w:b/>
      <w:sz w:val="22"/>
      <w:lang w:eastAsia="en-US"/>
    </w:rPr>
  </w:style>
  <w:style w:type="paragraph" w:customStyle="1" w:styleId="Paragrafi">
    <w:name w:val="Paragrafi"/>
    <w:rsid w:val="007E3DC1"/>
    <w:pPr>
      <w:widowControl w:val="0"/>
      <w:ind w:firstLine="720"/>
      <w:jc w:val="both"/>
    </w:pPr>
    <w:rPr>
      <w:rFonts w:ascii="CG Times" w:eastAsia="Batang" w:hAnsi="CG Times"/>
      <w:sz w:val="22"/>
      <w:lang w:val="en-US" w:eastAsia="en-US"/>
    </w:rPr>
  </w:style>
  <w:style w:type="paragraph" w:customStyle="1" w:styleId="Titulli">
    <w:name w:val="Titulli"/>
    <w:next w:val="Normal"/>
    <w:link w:val="TitulliChar"/>
    <w:rsid w:val="007E3DC1"/>
    <w:pPr>
      <w:keepNext/>
      <w:widowControl w:val="0"/>
      <w:jc w:val="center"/>
      <w:outlineLvl w:val="1"/>
    </w:pPr>
    <w:rPr>
      <w:rFonts w:ascii="CG Times" w:eastAsia="Batang" w:hAnsi="CG Times"/>
      <w:b/>
      <w:caps/>
      <w:sz w:val="22"/>
      <w:szCs w:val="22"/>
      <w:lang w:eastAsia="en-US"/>
    </w:rPr>
  </w:style>
  <w:style w:type="paragraph" w:customStyle="1" w:styleId="TitulliTitull">
    <w:name w:val="Titulli_Titull"/>
    <w:rsid w:val="007E3DC1"/>
    <w:pPr>
      <w:keepNext/>
      <w:widowControl w:val="0"/>
      <w:jc w:val="center"/>
      <w:outlineLvl w:val="0"/>
    </w:pPr>
    <w:rPr>
      <w:rFonts w:ascii="CG Times" w:eastAsia="Batang" w:hAnsi="CG Times"/>
      <w:caps/>
      <w:sz w:val="22"/>
      <w:szCs w:val="22"/>
      <w:lang w:eastAsia="en-US"/>
    </w:rPr>
  </w:style>
  <w:style w:type="character" w:customStyle="1" w:styleId="AutoritetiEmerChar">
    <w:name w:val="Autoriteti_Emer Char"/>
    <w:basedOn w:val="DefaultParagraphFont"/>
    <w:link w:val="AutoritetiEmer"/>
    <w:rsid w:val="007E3DC1"/>
    <w:rPr>
      <w:rFonts w:ascii="CG Times" w:eastAsia="Batang" w:hAnsi="CG Times"/>
      <w:b/>
      <w:sz w:val="22"/>
      <w:szCs w:val="22"/>
      <w:lang w:val="en-GB" w:eastAsia="en-US" w:bidi="ar-SA"/>
    </w:rPr>
  </w:style>
  <w:style w:type="character" w:customStyle="1" w:styleId="TitulliChar">
    <w:name w:val="Titulli Char"/>
    <w:basedOn w:val="DefaultParagraphFont"/>
    <w:link w:val="Titulli"/>
    <w:rsid w:val="007E3DC1"/>
    <w:rPr>
      <w:rFonts w:ascii="CG Times" w:eastAsia="Batang"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1740</Words>
  <Characters>9920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RREGULLORE</vt:lpstr>
    </vt:vector>
  </TitlesOfParts>
  <Company/>
  <LinksUpToDate>false</LinksUpToDate>
  <CharactersWithSpaces>11637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RREGULLORE</dc:title>
  <dc:subject/>
  <dc:creator>NEC</dc:creator>
  <cp:keywords/>
  <dc:description/>
  <cp:lastModifiedBy>Inida Noga</cp:lastModifiedBy>
  <cp:revision>2</cp:revision>
  <dcterms:created xsi:type="dcterms:W3CDTF">2019-03-16T19:58:00Z</dcterms:created>
  <dcterms:modified xsi:type="dcterms:W3CDTF">2019-03-16T19:58:00Z</dcterms:modified>
</cp:coreProperties>
</file>