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61F" w:rsidRPr="00DB2FB6" w:rsidRDefault="00B0361F" w:rsidP="00B0361F">
      <w:pPr>
        <w:pStyle w:val="NeniTitull"/>
        <w:rPr>
          <w:spacing w:val="-4"/>
          <w:lang w:val="sq-AL"/>
        </w:rPr>
      </w:pPr>
      <w:bookmarkStart w:id="0" w:name="_GoBack"/>
      <w:bookmarkEnd w:id="0"/>
      <w:r w:rsidRPr="00DB2FB6">
        <w:rPr>
          <w:spacing w:val="-4"/>
          <w:lang w:val="sq-AL"/>
        </w:rPr>
        <w:t>UDHËZIM</w:t>
      </w:r>
    </w:p>
    <w:p w:rsidR="00B0361F" w:rsidRPr="00DB2FB6" w:rsidRDefault="00B0361F" w:rsidP="00B0361F">
      <w:pPr>
        <w:pStyle w:val="NeniTitull"/>
        <w:rPr>
          <w:spacing w:val="-4"/>
          <w:lang w:val="sq-AL"/>
        </w:rPr>
      </w:pPr>
      <w:r w:rsidRPr="00DB2FB6">
        <w:rPr>
          <w:spacing w:val="-4"/>
          <w:lang w:val="sq-AL"/>
        </w:rPr>
        <w:t>Nr. 1451, datë 22.9.2016</w:t>
      </w:r>
    </w:p>
    <w:p w:rsidR="00B0361F" w:rsidRPr="00DB2FB6" w:rsidRDefault="00B0361F" w:rsidP="00B0361F">
      <w:pPr>
        <w:pStyle w:val="Hapesira7"/>
        <w:rPr>
          <w:spacing w:val="-4"/>
          <w:lang w:val="sq-AL"/>
        </w:rPr>
      </w:pPr>
    </w:p>
    <w:p w:rsidR="00B0361F" w:rsidRPr="00DB2FB6" w:rsidRDefault="00B0361F" w:rsidP="00B0361F">
      <w:pPr>
        <w:pStyle w:val="NeniTitull"/>
        <w:rPr>
          <w:spacing w:val="-4"/>
          <w:lang w:val="sq-AL"/>
        </w:rPr>
      </w:pPr>
      <w:r w:rsidRPr="00DB2FB6">
        <w:rPr>
          <w:spacing w:val="-4"/>
          <w:lang w:val="sq-AL"/>
        </w:rPr>
        <w:t xml:space="preserve">PËR PËRCAKTIMIN E PROCEDURAVE TË HARTIMIT TË PROPOZIMIT, PËR KALIMIN E </w:t>
      </w:r>
      <w:r>
        <w:rPr>
          <w:spacing w:val="-4"/>
          <w:lang w:val="sq-AL"/>
        </w:rPr>
        <w:t>S</w:t>
      </w:r>
      <w:r w:rsidRPr="00DB2FB6">
        <w:rPr>
          <w:spacing w:val="-4"/>
          <w:lang w:val="sq-AL"/>
        </w:rPr>
        <w:t>Ë DREJTËS SË PRONËSISË MBI PARCELËN NDËRTIMORE DHE MIRATIMIN E MASËS DHE VLERËS SË KOMPENSIMIT FINANCIAR</w:t>
      </w:r>
    </w:p>
    <w:p w:rsidR="00B0361F" w:rsidRPr="00DB2FB6" w:rsidRDefault="00B0361F" w:rsidP="00B0361F">
      <w:pPr>
        <w:pStyle w:val="Hapesira7"/>
        <w:rPr>
          <w:spacing w:val="-4"/>
          <w:lang w:val="sq-AL"/>
        </w:rPr>
      </w:pP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Në mbështetje të nenit 4, pika 2, germa “ç”, të ligjit nr. 9482, datë 3.4.2006, “Për legalizimin, urbanizimin dhe integrimin e ndërtimeve pa leje”</w:t>
      </w:r>
      <w:r>
        <w:rPr>
          <w:spacing w:val="-4"/>
          <w:lang w:val="sq-AL"/>
        </w:rPr>
        <w:t>,</w:t>
      </w:r>
      <w:r w:rsidRPr="00DB2FB6">
        <w:rPr>
          <w:spacing w:val="-4"/>
          <w:lang w:val="sq-AL"/>
        </w:rPr>
        <w:t xml:space="preserve"> të ndryshuar</w:t>
      </w:r>
      <w:r>
        <w:rPr>
          <w:spacing w:val="-4"/>
          <w:lang w:val="sq-AL"/>
        </w:rPr>
        <w:t>,</w:t>
      </w:r>
      <w:r w:rsidRPr="00DB2FB6">
        <w:rPr>
          <w:spacing w:val="-4"/>
          <w:lang w:val="sq-AL"/>
        </w:rPr>
        <w:t xml:space="preserve"> dhe në zbatim të pikës 4</w:t>
      </w:r>
      <w:r>
        <w:rPr>
          <w:spacing w:val="-4"/>
          <w:lang w:val="sq-AL"/>
        </w:rPr>
        <w:t>,</w:t>
      </w:r>
      <w:r w:rsidRPr="00DB2FB6">
        <w:rPr>
          <w:spacing w:val="-4"/>
          <w:lang w:val="sq-AL"/>
        </w:rPr>
        <w:t xml:space="preserve"> të vendimit nr. 465, datë 22.6.2016, të Këshillit të Ministrave, “Për përcaktimin e procedurave dhe rregullave për kalimin e së drejtës së pronësisë mbi parcelën ndërtimore të objekteve informale”, </w:t>
      </w:r>
    </w:p>
    <w:p w:rsidR="00B0361F" w:rsidRPr="00DB2FB6" w:rsidRDefault="00B0361F" w:rsidP="00B0361F">
      <w:pPr>
        <w:pStyle w:val="Hapesira7"/>
        <w:rPr>
          <w:spacing w:val="-4"/>
          <w:lang w:val="sq-AL"/>
        </w:rPr>
      </w:pPr>
    </w:p>
    <w:p w:rsidR="00B0361F" w:rsidRPr="00DB2FB6" w:rsidRDefault="00B0361F" w:rsidP="00B0361F">
      <w:pPr>
        <w:pStyle w:val="NeniNr"/>
        <w:rPr>
          <w:spacing w:val="-4"/>
          <w:lang w:val="sq-AL"/>
        </w:rPr>
      </w:pPr>
      <w:r w:rsidRPr="00DB2FB6">
        <w:rPr>
          <w:spacing w:val="-4"/>
          <w:lang w:val="sq-AL"/>
        </w:rPr>
        <w:t>UDHËZOJ:</w:t>
      </w:r>
    </w:p>
    <w:p w:rsidR="00B0361F" w:rsidRPr="00DB2FB6" w:rsidRDefault="00B0361F" w:rsidP="00B0361F">
      <w:pPr>
        <w:pStyle w:val="Hapesira7"/>
        <w:rPr>
          <w:spacing w:val="-4"/>
          <w:lang w:val="sq-AL"/>
        </w:rPr>
      </w:pPr>
    </w:p>
    <w:p w:rsidR="00B0361F" w:rsidRPr="00DB2FB6" w:rsidRDefault="00B0361F" w:rsidP="00B0361F">
      <w:pPr>
        <w:pStyle w:val="NeniNr"/>
        <w:jc w:val="left"/>
        <w:rPr>
          <w:spacing w:val="-4"/>
          <w:lang w:val="sq-AL"/>
        </w:rPr>
      </w:pPr>
      <w:r w:rsidRPr="00DB2FB6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ab/>
      </w:r>
      <w:r w:rsidRPr="00DB2FB6">
        <w:rPr>
          <w:spacing w:val="-4"/>
          <w:lang w:val="sq-AL"/>
        </w:rPr>
        <w:t>I. TË PËRGJITHSHME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1. Dokumentacioni për propozimin e kalimit të së drejtës së pronësisë dhe miratimit të masës dhe vlerës së kompensimit financiar, nga drejtoritë e varësisë të ALUIZNI-t, hartohet duke organizuar,</w:t>
      </w:r>
      <w:r>
        <w:rPr>
          <w:spacing w:val="-4"/>
          <w:lang w:val="sq-AL"/>
        </w:rPr>
        <w:t xml:space="preserve"> si rregull, në mënyrë të ndarë: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a) parcelat ndërtimore që gjendjen juridike të pronësisë e kanë “shtet” (nuk kanë nevojë për kompe</w:t>
      </w:r>
      <w:r>
        <w:rPr>
          <w:spacing w:val="-4"/>
          <w:lang w:val="sq-AL"/>
        </w:rPr>
        <w:t>nsim);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b) parcelat ndërtimore që rezultojnë (tërësisht ose pjesërisht) në pasuri të të tretëve, ku lista e emërore e kalimit të pronësisë shoqërohet gjithmonë me të dhë</w:t>
      </w:r>
      <w:r>
        <w:rPr>
          <w:spacing w:val="-4"/>
          <w:lang w:val="sq-AL"/>
        </w:rPr>
        <w:t>nat për kompensimin e pronarëve;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c) parcelat ndërtimore që gjenden në kushtet e pikave 7, 8, 12 deri 17 dhe 19</w:t>
      </w:r>
      <w:r>
        <w:rPr>
          <w:spacing w:val="-4"/>
          <w:lang w:val="sq-AL"/>
        </w:rPr>
        <w:t>,</w:t>
      </w:r>
      <w:r w:rsidRPr="00DB2FB6">
        <w:rPr>
          <w:spacing w:val="-4"/>
          <w:lang w:val="sq-AL"/>
        </w:rPr>
        <w:t xml:space="preserve"> të VKM-së nr. 465, datë 22.6.2016, “Për përcaktimin e procedurave dhe rregullave për kalimin e së drejtës së pronësisë mbi parcelën ndë</w:t>
      </w:r>
      <w:r>
        <w:rPr>
          <w:spacing w:val="-4"/>
          <w:lang w:val="sq-AL"/>
        </w:rPr>
        <w:t>rtimore të objekteve informale”.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2. Në përputhje me pikën 4</w:t>
      </w:r>
      <w:r>
        <w:rPr>
          <w:spacing w:val="-4"/>
          <w:lang w:val="sq-AL"/>
        </w:rPr>
        <w:t>,</w:t>
      </w:r>
      <w:r w:rsidRPr="00DB2FB6">
        <w:rPr>
          <w:spacing w:val="-4"/>
          <w:lang w:val="sq-AL"/>
        </w:rPr>
        <w:t xml:space="preserve"> të VKM-së nr. 465, datë 22.6.2016, “Për përcaktimin e procedurave dhe rregullave për kalimin e së drejtës së pronësisë mbi parcelën ndërtimore të objekteve informale”, drejtoritë e varësisë së ALUIZNI-t përga</w:t>
      </w:r>
      <w:r>
        <w:rPr>
          <w:spacing w:val="-4"/>
          <w:lang w:val="sq-AL"/>
        </w:rPr>
        <w:t>titin propozimin për kalimin e s</w:t>
      </w:r>
      <w:r w:rsidRPr="00DB2FB6">
        <w:rPr>
          <w:spacing w:val="-4"/>
          <w:lang w:val="sq-AL"/>
        </w:rPr>
        <w:t xml:space="preserve">ë drejtës së pronësisë dhe miratimin e masës dhe vlerës së kompensimit financiar, pasi të jetë miratuar leja e legalizimit. 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Në rastet e parcelave ndërtimore</w:t>
      </w:r>
      <w:r>
        <w:rPr>
          <w:spacing w:val="-4"/>
          <w:lang w:val="sq-AL"/>
        </w:rPr>
        <w:t>,</w:t>
      </w:r>
      <w:r w:rsidRPr="00DB2FB6">
        <w:rPr>
          <w:spacing w:val="-4"/>
          <w:lang w:val="sq-AL"/>
        </w:rPr>
        <w:t xml:space="preserve"> që shtrihen në prona të të tretëve, lista e subjekteve përfituese të kalimit të pronësisë shoqërohet gjithmonë me të dhënat për kompensimin e pronarëve joposedues, në përputhje me pikën 2 të VKM-së </w:t>
      </w:r>
      <w:r>
        <w:rPr>
          <w:spacing w:val="-4"/>
          <w:lang w:val="sq-AL"/>
        </w:rPr>
        <w:t>s</w:t>
      </w:r>
      <w:r w:rsidRPr="00DB2FB6">
        <w:rPr>
          <w:spacing w:val="-4"/>
          <w:lang w:val="sq-AL"/>
        </w:rPr>
        <w:t>ë sipërpërmendur.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II. HARTIMI I PROPOZIMIT, DOKUMEN</w:t>
      </w:r>
      <w:r>
        <w:rPr>
          <w:spacing w:val="-4"/>
          <w:lang w:val="sq-AL"/>
        </w:rPr>
        <w:t>-</w:t>
      </w:r>
      <w:r w:rsidRPr="00DB2FB6">
        <w:rPr>
          <w:spacing w:val="-4"/>
          <w:lang w:val="sq-AL"/>
        </w:rPr>
        <w:t>TACIONI DHE MËNYRA E PARAQITJES SË TË DHËNAVE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3. Propozimi që hartohet nga drejtoritë e varësisë, për kalimin e së drejtës së pronësisë dhe miratimit të masës dhe vlerës së kompensimit financiar përbëhet nga: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 xml:space="preserve">a) </w:t>
      </w:r>
      <w:r>
        <w:rPr>
          <w:spacing w:val="-4"/>
          <w:lang w:val="sq-AL"/>
        </w:rPr>
        <w:t>h</w:t>
      </w:r>
      <w:r w:rsidRPr="00DB2FB6">
        <w:rPr>
          <w:spacing w:val="-4"/>
          <w:lang w:val="sq-AL"/>
        </w:rPr>
        <w:t>arta vektoriale (genplani) sipas pikës 4 të këtij udhëzimi;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 xml:space="preserve">b) </w:t>
      </w:r>
      <w:r>
        <w:rPr>
          <w:spacing w:val="-4"/>
          <w:lang w:val="sq-AL"/>
        </w:rPr>
        <w:t>l</w:t>
      </w:r>
      <w:r w:rsidRPr="00DB2FB6">
        <w:rPr>
          <w:spacing w:val="-4"/>
          <w:lang w:val="sq-AL"/>
        </w:rPr>
        <w:t>ista e subjekteve përfituese sipas shtojcës 1 që i bashkëlidhet këtij udhëzimi;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 xml:space="preserve">c) </w:t>
      </w:r>
      <w:r>
        <w:rPr>
          <w:spacing w:val="-4"/>
          <w:lang w:val="sq-AL"/>
        </w:rPr>
        <w:t>r</w:t>
      </w:r>
      <w:r w:rsidRPr="00DB2FB6">
        <w:rPr>
          <w:spacing w:val="-4"/>
          <w:lang w:val="sq-AL"/>
        </w:rPr>
        <w:t>elacion shpjegues i propozimit sipas shtojcës 2 që i bashkëlidhet këtij udhëzimi;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ç)</w:t>
      </w:r>
      <w:r w:rsidRPr="00DB2FB6">
        <w:rPr>
          <w:spacing w:val="-4"/>
          <w:lang w:val="sq-AL"/>
        </w:rPr>
        <w:tab/>
      </w:r>
      <w:r>
        <w:rPr>
          <w:spacing w:val="-4"/>
          <w:lang w:val="sq-AL"/>
        </w:rPr>
        <w:t>d</w:t>
      </w:r>
      <w:r w:rsidRPr="00DB2FB6">
        <w:rPr>
          <w:spacing w:val="-4"/>
          <w:lang w:val="sq-AL"/>
        </w:rPr>
        <w:t>okumentacioni i vënë në dispozicion nga ZVRPP-ja për gjendjen juridike të parcelës ndërtimore, si dhe çdo dokumentacion shtesë, nëse është rasti;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d)</w:t>
      </w:r>
      <w:r w:rsidRPr="00DB2FB6">
        <w:rPr>
          <w:spacing w:val="-4"/>
          <w:lang w:val="sq-AL"/>
        </w:rPr>
        <w:tab/>
      </w:r>
      <w:r>
        <w:rPr>
          <w:spacing w:val="-4"/>
          <w:lang w:val="sq-AL"/>
        </w:rPr>
        <w:t>k</w:t>
      </w:r>
      <w:r w:rsidRPr="00DB2FB6">
        <w:rPr>
          <w:spacing w:val="-4"/>
          <w:lang w:val="sq-AL"/>
        </w:rPr>
        <w:t>opjet e lejeve të legalizimit, të lëshuara për subjektet përfitues</w:t>
      </w:r>
      <w:r>
        <w:rPr>
          <w:spacing w:val="-4"/>
          <w:lang w:val="sq-AL"/>
        </w:rPr>
        <w:t>e</w:t>
      </w:r>
      <w:r w:rsidRPr="00DB2FB6">
        <w:rPr>
          <w:spacing w:val="-4"/>
          <w:lang w:val="sq-AL"/>
        </w:rPr>
        <w:t xml:space="preserve">. 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Propozimi dërgohet pranë Drejtorisë së Përgjithshme të ALUIZNI-t në tr</w:t>
      </w:r>
      <w:r>
        <w:rPr>
          <w:spacing w:val="-4"/>
          <w:lang w:val="sq-AL"/>
        </w:rPr>
        <w:t>i</w:t>
      </w:r>
      <w:r w:rsidRPr="00DB2FB6">
        <w:rPr>
          <w:spacing w:val="-4"/>
          <w:lang w:val="sq-AL"/>
        </w:rPr>
        <w:t xml:space="preserve"> kopje me vlerë të njëjtë dhe dokumentacioni i parashikuar në germat “a”, “b”, “c” dhe “ç” të kësaj pike përcillet edhe në format elektronik. 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4. Harta vektoriale si pjesë e propozimit përgatitet si rregull, për një numër të caktuar parcelash ndërtimore “fqinje”, duke pasqyruar qartë të dhënat e hartës treguese (kadastrale) të vënë në dispozicion nga ZVRPP-ja, ku të konturohen në mënyrë të dallueshme pasuritë ku shtrihet parcela ndërtimore dhe duke bërë të dukshme sipërfaqen në pronësi shtetërore apo pasuri e të tretëve (që kompensohet).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Harta vektoriale plotësohet edhe me element</w:t>
      </w:r>
      <w:r>
        <w:rPr>
          <w:spacing w:val="-4"/>
          <w:lang w:val="sq-AL"/>
        </w:rPr>
        <w:t>e</w:t>
      </w:r>
      <w:r w:rsidRPr="00DB2FB6">
        <w:rPr>
          <w:spacing w:val="-4"/>
          <w:lang w:val="sq-AL"/>
        </w:rPr>
        <w:t>t e tjer</w:t>
      </w:r>
      <w:r>
        <w:rPr>
          <w:spacing w:val="-4"/>
          <w:lang w:val="sq-AL"/>
        </w:rPr>
        <w:t>a</w:t>
      </w:r>
      <w:r w:rsidRPr="00DB2FB6">
        <w:rPr>
          <w:spacing w:val="-4"/>
          <w:lang w:val="sq-AL"/>
        </w:rPr>
        <w:t>, si: përfituesi i ndërtimit të legalizuar, pronarët e pasurive që preken nga parcela, numri i pasurisë etj.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Si rregull, paraqitja dhe llogaritja e sipërfaqeve të parcelave për të cilat do të kryhet kalimi i pronësisë dhe/ose kompensimi i pronarëve joposedues, bëhet duke përputhur hartën dixhitale të ZVRPP-së dhe hartën vektoriale nëpërmjet kopjimit me koordinata.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 xml:space="preserve">Nëse ZVRPP-ja nuk e disponon hartën kadastrale në formën e sipërpërmendur dhe është në pamundësi për ta realizuar atë, atëherë kryhet përputhja nga punonjësit e ALUIZNI-t, duke paraqitur në hartën </w:t>
      </w:r>
      <w:r w:rsidRPr="00DB2FB6">
        <w:rPr>
          <w:spacing w:val="-4"/>
          <w:lang w:val="sq-AL"/>
        </w:rPr>
        <w:lastRenderedPageBreak/>
        <w:t>vektoriale në mënyrë qartë dhe të dukshme pikat e referimit të përputhjes për objektin/objektet, që janë marrë si referues.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 xml:space="preserve">Përjashtimisht, për rastet e parashikuara në pikën 6 të VKM-së nr. 1095, datë 28.12.2015, “Për përcaktimin e rregullave të bashkërendimit të punës, </w:t>
      </w:r>
      <w:r>
        <w:rPr>
          <w:spacing w:val="-4"/>
          <w:lang w:val="sq-AL"/>
        </w:rPr>
        <w:t>ndërmjet ALUIZNI-t dhe ZQRPP-së</w:t>
      </w:r>
      <w:r w:rsidRPr="00DB2FB6">
        <w:rPr>
          <w:spacing w:val="-4"/>
          <w:lang w:val="sq-AL"/>
        </w:rPr>
        <w:t xml:space="preserve"> dhe të procedurave apo kufizimeve që zbatohen për efekt të regjistrimit të pasurive të legali</w:t>
      </w:r>
      <w:r>
        <w:rPr>
          <w:spacing w:val="-4"/>
          <w:lang w:val="sq-AL"/>
        </w:rPr>
        <w:t>zuara” përputhja nuk realizohet</w:t>
      </w:r>
      <w:r w:rsidRPr="00DB2FB6">
        <w:rPr>
          <w:spacing w:val="-4"/>
          <w:lang w:val="sq-AL"/>
        </w:rPr>
        <w:t xml:space="preserve"> duke pasqyruar në hartë vetëm pozicionimin e parcelës ndërtimore.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5. Lista e përfituesve që plotësohet sipas tabelës model (shtojca 1), ndahet sipas ZVRPP-së përkatëse dhe sipas zonave kadastrale (çdo ZVRPP-je i korrespondojnë tabelat sipas zonave kadastrale në kompetencën e saj). Të dhënat që plotësohen nga drejtoritë e varësisë të ALUIZNI-t</w:t>
      </w:r>
      <w:r>
        <w:rPr>
          <w:spacing w:val="-4"/>
          <w:lang w:val="sq-AL"/>
        </w:rPr>
        <w:t>,</w:t>
      </w:r>
      <w:r w:rsidRPr="00DB2FB6">
        <w:rPr>
          <w:spacing w:val="-4"/>
          <w:lang w:val="sq-AL"/>
        </w:rPr>
        <w:t xml:space="preserve"> janë: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a) Gjeneralitetet e përfituesit, numri dhe data e lejes së legalizimit.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b) Gjendja juridike e parcelës ndërtimore duke plotësuar sipas rastit: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i) “shtetërore”;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ii) “e të tretëve”;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iii) “shtetërore dhe e të tretëve”;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iv) “bashkëpronësi me poseduesin” (në rastet sipas pikës 7 të VKM-së nr. 465, datë 22.6.2016);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v) “mbivendosje”. (në rastet e pikës 16 të VKM-së nr. 465/2016);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c) Sipërfaqen e përgjithshme për të cilën propozohet kalimi i të drejtës së pronësisë.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d)</w:t>
      </w:r>
      <w:r w:rsidRPr="00DB2FB6">
        <w:rPr>
          <w:spacing w:val="-4"/>
          <w:lang w:val="sq-AL"/>
        </w:rPr>
        <w:tab/>
        <w:t xml:space="preserve"> Gjeneralitetet e pronarëve jo posedues që kompensohen, sipërfaqen që kompensohet, çmimin për m² dhe shumën e kompensimit.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dh) Seksioni i veçantë, që plotësohet vetëm në rastet e përcaktuara në pikat 12 deri në 17 të VKM-së nr. 465, datë 22.6.2016, “Për përcaktimin e procedurave dhe rregullave për kalimin e së drejtës së pronësisë mbi parcelën ndërtimore të objekteve informale”, duke shënuar sipas rastit, të dhënat që kanë të bëjnë me hipotekën, të drejtat</w:t>
      </w:r>
      <w:r>
        <w:rPr>
          <w:spacing w:val="-4"/>
          <w:lang w:val="sq-AL"/>
        </w:rPr>
        <w:t xml:space="preserve"> e tjera, kufizimet, sekuestron</w:t>
      </w:r>
      <w:r w:rsidRPr="00DB2FB6">
        <w:rPr>
          <w:spacing w:val="-4"/>
          <w:lang w:val="sq-AL"/>
        </w:rPr>
        <w:t xml:space="preserve"> apo mbivendosjen që rëndojnë mbi parcelën ndërtimo</w:t>
      </w:r>
      <w:r>
        <w:rPr>
          <w:spacing w:val="-4"/>
          <w:lang w:val="sq-AL"/>
        </w:rPr>
        <w:t>re</w:t>
      </w:r>
      <w:r w:rsidRPr="00DB2FB6">
        <w:rPr>
          <w:spacing w:val="-4"/>
          <w:lang w:val="sq-AL"/>
        </w:rPr>
        <w:t xml:space="preserve"> ose të dhënat për ndryshimin/shuarjen e përgjegjësisë së administrimit mbi pronën shtetërore (në rastet e pikës 17 të VKM-së të sipërpërmendur).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Pjesa takuese në m² e përfituesit të lejes, e llogaritur në parcelën ndërtimore, plotësohet vetëm për rastet e përcaktuara në pikën 7 të VKM-së nr. 465, datë 22.6.2015, “Për përcaktimin e procedurave dhe rregullave për kalimin e së drejtës së pronësisë mbi parcelën ndërtimore të objekteve informale”.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6. Në relacionin shpjegues, që dërgohet nga drejtoritë e varësisë, sqarohen në mënyrë sintetike të dhënat e parcelave ndërtimore për të cilat propozohet miratimi i kalimit të së drejtës së pronësisë dhe kompensimit, për gjendjen juridike të pronësisë, argumentimi teknik për sipërfaqen e parcelave të propozuara, argumentimi ligjor (bazuar në dokumentacionin shoqërues) në raport me përcaktimet e neneve 15/1 dhe 17, të ligjit nr. 9482, datë 3.4.2006, “Për legalizimin, urbanizimin dhe integrimin e ndërtimeve pa leje”</w:t>
      </w:r>
      <w:r>
        <w:rPr>
          <w:spacing w:val="-4"/>
          <w:lang w:val="sq-AL"/>
        </w:rPr>
        <w:t>,</w:t>
      </w:r>
      <w:r w:rsidRPr="00DB2FB6">
        <w:rPr>
          <w:spacing w:val="-4"/>
          <w:lang w:val="sq-AL"/>
        </w:rPr>
        <w:t xml:space="preserve"> i ndryshuar</w:t>
      </w:r>
      <w:r>
        <w:rPr>
          <w:spacing w:val="-4"/>
          <w:lang w:val="sq-AL"/>
        </w:rPr>
        <w:t>,</w:t>
      </w:r>
      <w:r w:rsidRPr="00DB2FB6">
        <w:rPr>
          <w:spacing w:val="-4"/>
          <w:lang w:val="sq-AL"/>
        </w:rPr>
        <w:t xml:space="preserve"> dhe të VKM-së nr. 465, datë 22.6.2016, “Për përcaktimin e procedurave dhe rregullave për kalimin e së drejtës së pronësisë mbi parcelën ndërtimore të objekteve informale”.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Për procedurat e kryera nga drejtoritë e varësisë të ALUIZNI-t, që lidhen me pjesët takuese ideale, (pikat 7, 8 dhe 22, të VKM-së nr. 465/2016) dhe që nuk mund të pasqyrohen grafikisht, paraqitet shpjegimi përkatës në relacion, duke sqaruar veprimet konkrete.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Për rastet e pikave 17, 18 dhe 19 të VKM-së nr. 465/2016, pjesë e propozimit duhet të jetë edhe kopje e korespondencës së mbajtur me institucionet përkatëse.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Relacioni shpjegues paraqitet sipas modelit të shtojcës 2 dhe nënshkruhet nga specialisti/ët dhe përgjegjësi i strukturës së ngarkuar me çështjet e pronësisë.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7. Në zbatim të pikës 27</w:t>
      </w:r>
      <w:r>
        <w:rPr>
          <w:spacing w:val="-4"/>
          <w:lang w:val="sq-AL"/>
        </w:rPr>
        <w:t>,</w:t>
      </w:r>
      <w:r w:rsidRPr="00DB2FB6">
        <w:rPr>
          <w:spacing w:val="-4"/>
          <w:lang w:val="sq-AL"/>
        </w:rPr>
        <w:t xml:space="preserve"> të VKM</w:t>
      </w:r>
      <w:r>
        <w:rPr>
          <w:spacing w:val="-4"/>
          <w:lang w:val="sq-AL"/>
        </w:rPr>
        <w:t>-së</w:t>
      </w:r>
      <w:r w:rsidRPr="00DB2FB6">
        <w:rPr>
          <w:spacing w:val="-4"/>
          <w:lang w:val="sq-AL"/>
        </w:rPr>
        <w:t xml:space="preserve"> nr. 465, datë 22.6.2016, “Për përcaktimin e procedurave dhe rregullave për kalimin e së drejtës së pronësisë mbi parcelën ndërtimore të objekteve informale”, për parcelat që ndodhen në toka bujqësore të fituara me AMTP-në, drejtoritë e varësisë së ALUIZNI-t do të përgatitin propozimet për projekvendim vetëm pasi të jenë plotësuar kushtet e përcaktuara në këtë dispozitë. Për këtë qëllim, pjesë e dokumentacionit të propozimit do të jetë edhe kopja e korrespondencës së mbajtur me ZVRPP</w:t>
      </w:r>
      <w:r>
        <w:rPr>
          <w:spacing w:val="-4"/>
          <w:lang w:val="sq-AL"/>
        </w:rPr>
        <w:t>-në</w:t>
      </w:r>
      <w:r w:rsidRPr="00DB2FB6">
        <w:rPr>
          <w:spacing w:val="-4"/>
          <w:lang w:val="sq-AL"/>
        </w:rPr>
        <w:t>, në të cilën konfirmohet se procedurat sipas VKM-së nr. 994/2015 janë përfunduar (ose nuk janë të nevojshme).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8. Në rastin e propozimeve për ndryshime në VKM</w:t>
      </w:r>
      <w:r>
        <w:rPr>
          <w:spacing w:val="-4"/>
          <w:lang w:val="sq-AL"/>
        </w:rPr>
        <w:t>-në e</w:t>
      </w:r>
      <w:r w:rsidRPr="00DB2FB6">
        <w:rPr>
          <w:spacing w:val="-4"/>
          <w:lang w:val="sq-AL"/>
        </w:rPr>
        <w:t xml:space="preserve"> miratuar përpara hyrjes në fuqi të këtij udhëzimi, paraqitja e tabelave që shoqërojnë propozimin është e njëjtë me ato të përdorura në VKM</w:t>
      </w:r>
      <w:r>
        <w:rPr>
          <w:spacing w:val="-4"/>
          <w:lang w:val="sq-AL"/>
        </w:rPr>
        <w:t>-në</w:t>
      </w:r>
      <w:r w:rsidRPr="00DB2FB6">
        <w:rPr>
          <w:spacing w:val="-4"/>
          <w:lang w:val="sq-AL"/>
        </w:rPr>
        <w:t xml:space="preserve"> fillestare. Edhe për parcelat ndërtimore që u është miratuar kalimi i pronësisë përpara hyrjes në fuqi të këtij udhëzimi, tabelat me të dhënat e kompensimit të pronarëve janë të njëjta me ato të mëparshmet, duke shtuar seksionin për të dhënat e pasurive të legalizuara dhe seksionin e veçantë (nëse është rasti).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lastRenderedPageBreak/>
        <w:t>9. Propozimet e drejtorive të varësisë shqyrtohen jo më vonë se 30 ditë nga paraqitja e tyre, prej strukturave kompetente në Drejtorinë e Përgjithshme të ALUIZNI-t dhe përcillen pranë MZHU</w:t>
      </w:r>
      <w:r>
        <w:rPr>
          <w:spacing w:val="-4"/>
          <w:lang w:val="sq-AL"/>
        </w:rPr>
        <w:t>-së</w:t>
      </w:r>
      <w:r w:rsidRPr="00DB2FB6">
        <w:rPr>
          <w:spacing w:val="-4"/>
          <w:lang w:val="sq-AL"/>
        </w:rPr>
        <w:t xml:space="preserve"> në trajtën e projektvendimit. Për propozimet e drejtorive të varësisë</w:t>
      </w:r>
      <w:r>
        <w:rPr>
          <w:spacing w:val="-4"/>
          <w:lang w:val="sq-AL"/>
        </w:rPr>
        <w:t>,</w:t>
      </w:r>
      <w:r w:rsidRPr="00DB2FB6">
        <w:rPr>
          <w:spacing w:val="-4"/>
          <w:lang w:val="sq-AL"/>
        </w:rPr>
        <w:t xml:space="preserve"> që nuk janë hartuar në formën dhe përmbajtjen e përcaktuar në këtë udhëzim, kërkohet plotësimi dhe ridërgimi i materialit brenda 5 ditëve nga data e njoftimit.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10. Udhëzimi nr. 958, datë 18.12.2012, i drejtorit të përgjithshëm të ALUIZNI-t</w:t>
      </w:r>
      <w:r>
        <w:rPr>
          <w:spacing w:val="-4"/>
          <w:lang w:val="sq-AL"/>
        </w:rPr>
        <w:t>,</w:t>
      </w:r>
      <w:r w:rsidRPr="00DB2FB6">
        <w:rPr>
          <w:spacing w:val="-4"/>
          <w:lang w:val="sq-AL"/>
        </w:rPr>
        <w:t xml:space="preserve"> “Për mënyrën e hartimit, paraqitjen dhe përmbajtjen e dokumentacionit tekniko-ligjor për propozimin e kalimit të së drejtës së pronësisë mbi parcelën ndërtimore të objektit informal dhe për kompensimin financiar të pronarëve”, shfuqizohet.</w:t>
      </w:r>
    </w:p>
    <w:p w:rsidR="00B0361F" w:rsidRPr="00DB2FB6" w:rsidRDefault="00B0361F" w:rsidP="00B0361F">
      <w:pPr>
        <w:pStyle w:val="Paragrafi"/>
        <w:rPr>
          <w:spacing w:val="-4"/>
          <w:lang w:val="sq-AL"/>
        </w:rPr>
      </w:pPr>
      <w:r w:rsidRPr="00DB2FB6">
        <w:rPr>
          <w:spacing w:val="-4"/>
          <w:lang w:val="sq-AL"/>
        </w:rPr>
        <w:t>Ky udhëzim hyn në fuqi pas botimit në Fletoren Zyrtare.</w:t>
      </w:r>
    </w:p>
    <w:p w:rsidR="00B0361F" w:rsidRPr="00DB2FB6" w:rsidRDefault="00B0361F" w:rsidP="00B0361F">
      <w:pPr>
        <w:pStyle w:val="Hapesira7"/>
        <w:rPr>
          <w:spacing w:val="-4"/>
          <w:lang w:val="sq-AL"/>
        </w:rPr>
      </w:pPr>
    </w:p>
    <w:p w:rsidR="00B0361F" w:rsidRPr="00DB2FB6" w:rsidRDefault="00B0361F" w:rsidP="00B0361F">
      <w:pPr>
        <w:pStyle w:val="Paragrafi"/>
        <w:jc w:val="right"/>
        <w:rPr>
          <w:spacing w:val="-4"/>
          <w:lang w:val="sq-AL"/>
        </w:rPr>
      </w:pPr>
      <w:r w:rsidRPr="00DB2FB6">
        <w:rPr>
          <w:spacing w:val="-4"/>
          <w:lang w:val="sq-AL"/>
        </w:rPr>
        <w:t>DREJTOR I PËRGJITHSHËM</w:t>
      </w:r>
    </w:p>
    <w:p w:rsidR="00B0361F" w:rsidRDefault="00B0361F" w:rsidP="00B0361F">
      <w:pPr>
        <w:pStyle w:val="Paragrafi"/>
        <w:jc w:val="right"/>
        <w:rPr>
          <w:b/>
          <w:spacing w:val="-4"/>
          <w:lang w:val="sq-AL"/>
        </w:rPr>
      </w:pPr>
      <w:r w:rsidRPr="00DB2FB6">
        <w:rPr>
          <w:b/>
          <w:spacing w:val="-4"/>
          <w:lang w:val="sq-AL"/>
        </w:rPr>
        <w:t>Artan Lame</w:t>
      </w:r>
    </w:p>
    <w:p w:rsidR="00B0361F" w:rsidRDefault="00B0361F" w:rsidP="00B0361F">
      <w:pPr>
        <w:pStyle w:val="Paragrafi"/>
        <w:jc w:val="right"/>
        <w:rPr>
          <w:b/>
          <w:spacing w:val="-4"/>
          <w:lang w:val="sq-AL"/>
        </w:rPr>
      </w:pPr>
    </w:p>
    <w:p w:rsidR="00B0361F" w:rsidRPr="00DB2FB6" w:rsidRDefault="00B0361F" w:rsidP="00B0361F">
      <w:pPr>
        <w:pStyle w:val="Paragrafi"/>
        <w:jc w:val="right"/>
        <w:rPr>
          <w:b/>
          <w:spacing w:val="-4"/>
          <w:lang w:val="sq-AL"/>
        </w:rPr>
      </w:pPr>
    </w:p>
    <w:p w:rsidR="00B0361F" w:rsidRDefault="00B0361F" w:rsidP="00B0361F">
      <w:pPr>
        <w:pStyle w:val="NeniTitull"/>
        <w:jc w:val="both"/>
        <w:rPr>
          <w:lang w:val="sq-AL"/>
        </w:rPr>
        <w:sectPr w:rsidR="00B0361F" w:rsidSect="0087510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20877"/>
          <w:cols w:space="454"/>
          <w:docGrid w:linePitch="360"/>
        </w:sectPr>
      </w:pPr>
    </w:p>
    <w:p w:rsidR="00B0361F" w:rsidRPr="00416C70" w:rsidRDefault="00B0361F" w:rsidP="00B0361F">
      <w:pPr>
        <w:pStyle w:val="NeniTitull"/>
        <w:jc w:val="both"/>
        <w:rPr>
          <w:sz w:val="8"/>
          <w:lang w:val="sq-AL"/>
        </w:rPr>
      </w:pPr>
    </w:p>
    <w:p w:rsidR="00B0361F" w:rsidRPr="002E7A79" w:rsidRDefault="00B0361F" w:rsidP="00B0361F">
      <w:pPr>
        <w:pStyle w:val="Paragrafi"/>
        <w:rPr>
          <w:lang w:val="sq-AL"/>
        </w:rPr>
      </w:pPr>
    </w:p>
    <w:p w:rsidR="00B0361F" w:rsidRPr="002E7A79" w:rsidRDefault="00B0361F" w:rsidP="00B0361F">
      <w:pPr>
        <w:pStyle w:val="Paragrafi"/>
        <w:ind w:firstLine="0"/>
        <w:rPr>
          <w:lang w:val="sq-AL"/>
        </w:rPr>
      </w:pPr>
      <w:r w:rsidRPr="002E7A79">
        <w:rPr>
          <w:noProof/>
        </w:rPr>
        <w:drawing>
          <wp:inline distT="0" distB="0" distL="0" distR="0" wp14:anchorId="6605F083" wp14:editId="0CE8D05F">
            <wp:extent cx="6137452" cy="5632704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21" t="13176" r="2031" b="6074"/>
                    <a:stretch/>
                  </pic:blipFill>
                  <pic:spPr bwMode="auto">
                    <a:xfrm>
                      <a:off x="0" y="0"/>
                      <a:ext cx="6137669" cy="5632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361F" w:rsidRDefault="00B0361F" w:rsidP="00B0361F">
      <w:pPr>
        <w:pStyle w:val="Paragrafi"/>
        <w:ind w:firstLine="0"/>
        <w:jc w:val="center"/>
        <w:rPr>
          <w:lang w:val="sq-AL"/>
        </w:rPr>
      </w:pPr>
    </w:p>
    <w:p w:rsidR="00B0361F" w:rsidRPr="00482167" w:rsidRDefault="00B0361F" w:rsidP="00B0361F">
      <w:pPr>
        <w:pStyle w:val="Paragrafi"/>
        <w:ind w:firstLine="0"/>
        <w:jc w:val="center"/>
        <w:rPr>
          <w:lang w:val="sq-AL"/>
        </w:rPr>
      </w:pPr>
      <w:r w:rsidRPr="00482167">
        <w:rPr>
          <w:lang w:val="sq-AL"/>
        </w:rPr>
        <w:t>SHTOJCA 2</w:t>
      </w:r>
    </w:p>
    <w:p w:rsidR="00B0361F" w:rsidRPr="00DB2FB6" w:rsidRDefault="00B0361F" w:rsidP="00B0361F">
      <w:pPr>
        <w:pStyle w:val="NeniTitull"/>
        <w:rPr>
          <w:b w:val="0"/>
          <w:sz w:val="14"/>
          <w:lang w:val="sq-AL"/>
        </w:rPr>
      </w:pPr>
    </w:p>
    <w:p w:rsidR="00B0361F" w:rsidRPr="00482167" w:rsidRDefault="00B0361F" w:rsidP="00B0361F">
      <w:pPr>
        <w:pStyle w:val="NeniTitull"/>
        <w:rPr>
          <w:b w:val="0"/>
          <w:lang w:val="sq-AL"/>
        </w:rPr>
      </w:pPr>
      <w:r w:rsidRPr="00482167">
        <w:rPr>
          <w:b w:val="0"/>
          <w:lang w:val="sq-AL"/>
        </w:rPr>
        <w:t>RELACION</w:t>
      </w:r>
    </w:p>
    <w:p w:rsidR="00B0361F" w:rsidRPr="00482167" w:rsidRDefault="00B0361F" w:rsidP="00B0361F">
      <w:pPr>
        <w:pStyle w:val="NeniTitull"/>
        <w:rPr>
          <w:b w:val="0"/>
          <w:lang w:val="sq-AL"/>
        </w:rPr>
      </w:pPr>
      <w:r w:rsidRPr="00482167">
        <w:rPr>
          <w:b w:val="0"/>
          <w:lang w:val="sq-AL"/>
        </w:rPr>
        <w:t xml:space="preserve">PËR PROPOZIMIN E KALIMIT TË </w:t>
      </w:r>
      <w:r>
        <w:rPr>
          <w:b w:val="0"/>
          <w:lang w:val="sq-AL"/>
        </w:rPr>
        <w:t>S</w:t>
      </w:r>
      <w:r w:rsidRPr="00482167">
        <w:rPr>
          <w:b w:val="0"/>
          <w:lang w:val="sq-AL"/>
        </w:rPr>
        <w:t>Ë DREJTËS SË PRONËSISË DHE MIRATIMIN E MASËS DHE VLERËS SË KOMPENSIMIT FINANCIAR</w:t>
      </w:r>
    </w:p>
    <w:p w:rsidR="00B0361F" w:rsidRPr="002E7A79" w:rsidRDefault="00B0361F" w:rsidP="00B0361F">
      <w:pPr>
        <w:pStyle w:val="Paragrafi"/>
        <w:rPr>
          <w:lang w:val="sq-AL"/>
        </w:rPr>
      </w:pPr>
    </w:p>
    <w:p w:rsidR="00B0361F" w:rsidRPr="002E7A79" w:rsidRDefault="00B0361F" w:rsidP="00B0361F">
      <w:pPr>
        <w:pStyle w:val="Paragrafi"/>
        <w:rPr>
          <w:lang w:val="sq-AL"/>
        </w:rPr>
      </w:pPr>
      <w:r w:rsidRPr="002E7A79">
        <w:rPr>
          <w:lang w:val="sq-AL"/>
        </w:rPr>
        <w:t>1. ARGUMENTIMI I KALIMIT TË PRONËSISË MBI PARCELAT NDËRTIMORE</w:t>
      </w:r>
    </w:p>
    <w:p w:rsidR="00B0361F" w:rsidRPr="002E7A79" w:rsidRDefault="00B0361F" w:rsidP="00B0361F">
      <w:pPr>
        <w:pStyle w:val="Paragrafi"/>
        <w:rPr>
          <w:lang w:val="sq-AL"/>
        </w:rPr>
      </w:pPr>
      <w:r w:rsidRPr="002E7A79">
        <w:rPr>
          <w:lang w:val="sq-AL"/>
        </w:rPr>
        <w:t xml:space="preserve">A) Të dhënat për numrin </w:t>
      </w:r>
      <w:r>
        <w:rPr>
          <w:lang w:val="sq-AL"/>
        </w:rPr>
        <w:t xml:space="preserve">e </w:t>
      </w:r>
      <w:r w:rsidRPr="002E7A79">
        <w:rPr>
          <w:lang w:val="sq-AL"/>
        </w:rPr>
        <w:t>përgjithshëm të parcelave ndërtimore, sipërfaqen e përgjithshme për kalim pronësie, shpërndarjen e tyre sipas njësive administrative (qark/bashki) dhe ndarjen sipas ZVRPP-ve përkatëse.</w:t>
      </w:r>
    </w:p>
    <w:p w:rsidR="00B0361F" w:rsidRPr="002E7A79" w:rsidRDefault="00B0361F" w:rsidP="00B0361F">
      <w:pPr>
        <w:pStyle w:val="Paragrafi"/>
        <w:rPr>
          <w:lang w:val="sq-AL"/>
        </w:rPr>
      </w:pPr>
      <w:r w:rsidRPr="002E7A79">
        <w:rPr>
          <w:lang w:val="sq-AL"/>
        </w:rPr>
        <w:t>…</w:t>
      </w:r>
    </w:p>
    <w:p w:rsidR="00B0361F" w:rsidRPr="002E7A79" w:rsidRDefault="00B0361F" w:rsidP="00B0361F">
      <w:pPr>
        <w:pStyle w:val="Paragrafi"/>
        <w:rPr>
          <w:lang w:val="sq-AL"/>
        </w:rPr>
      </w:pPr>
      <w:r w:rsidRPr="002E7A79">
        <w:rPr>
          <w:lang w:val="sq-AL"/>
        </w:rPr>
        <w:t>B) Argumentimi teknik i kalimit të pronësisë sipas listës, hartës vektoriale (planvendosjes), të</w:t>
      </w:r>
      <w:r>
        <w:rPr>
          <w:lang w:val="sq-AL"/>
        </w:rPr>
        <w:t xml:space="preserve"> dhënave në lejet e legalizimit</w:t>
      </w:r>
      <w:r w:rsidRPr="002E7A79">
        <w:rPr>
          <w:lang w:val="sq-AL"/>
        </w:rPr>
        <w:t xml:space="preserve"> dhe gjendja juridike e parcelave ndërtimore.</w:t>
      </w:r>
    </w:p>
    <w:p w:rsidR="00B0361F" w:rsidRPr="002E7A79" w:rsidRDefault="00B0361F" w:rsidP="00B0361F">
      <w:pPr>
        <w:pStyle w:val="Paragrafi"/>
        <w:rPr>
          <w:lang w:val="sq-AL"/>
        </w:rPr>
      </w:pPr>
      <w:r w:rsidRPr="002E7A79">
        <w:rPr>
          <w:lang w:val="sq-AL"/>
        </w:rPr>
        <w:t>…</w:t>
      </w:r>
    </w:p>
    <w:p w:rsidR="00B0361F" w:rsidRPr="002E7A79" w:rsidRDefault="00B0361F" w:rsidP="00B0361F">
      <w:pPr>
        <w:pStyle w:val="Paragrafi"/>
        <w:rPr>
          <w:lang w:val="sq-AL"/>
        </w:rPr>
      </w:pPr>
      <w:r w:rsidRPr="002E7A79">
        <w:rPr>
          <w:lang w:val="sq-AL"/>
        </w:rPr>
        <w:t>C) Argumentimi ligjor i kalimit të së drejtës së pronësisë (respektimi i kritereve sipas nenit 17 të ligjit…)</w:t>
      </w:r>
    </w:p>
    <w:p w:rsidR="00B0361F" w:rsidRPr="002E7A79" w:rsidRDefault="00B0361F" w:rsidP="00B0361F">
      <w:pPr>
        <w:pStyle w:val="Paragrafi"/>
        <w:rPr>
          <w:lang w:val="sq-AL"/>
        </w:rPr>
      </w:pPr>
    </w:p>
    <w:p w:rsidR="00B0361F" w:rsidRPr="002E7A79" w:rsidRDefault="00B0361F" w:rsidP="00B0361F">
      <w:pPr>
        <w:pStyle w:val="Paragrafi"/>
        <w:rPr>
          <w:lang w:val="sq-AL"/>
        </w:rPr>
      </w:pPr>
      <w:r w:rsidRPr="002E7A79">
        <w:rPr>
          <w:lang w:val="sq-AL"/>
        </w:rPr>
        <w:t>D) Sqarime për seksionin e veçantë.</w:t>
      </w:r>
    </w:p>
    <w:p w:rsidR="00B0361F" w:rsidRPr="002E7A79" w:rsidRDefault="00B0361F" w:rsidP="00B0361F">
      <w:pPr>
        <w:pStyle w:val="Paragrafi"/>
        <w:rPr>
          <w:lang w:val="sq-AL"/>
        </w:rPr>
      </w:pPr>
    </w:p>
    <w:p w:rsidR="00B0361F" w:rsidRPr="002E7A79" w:rsidRDefault="00B0361F" w:rsidP="00B0361F">
      <w:pPr>
        <w:pStyle w:val="Paragrafi"/>
        <w:rPr>
          <w:lang w:val="sq-AL"/>
        </w:rPr>
      </w:pPr>
      <w:r w:rsidRPr="002E7A79">
        <w:rPr>
          <w:lang w:val="sq-AL"/>
        </w:rPr>
        <w:t xml:space="preserve">II. ARGUMENTIMI I KOMPENSIMIT TË PRONARËVE JOPOSEDUES </w:t>
      </w:r>
    </w:p>
    <w:p w:rsidR="00B0361F" w:rsidRPr="002E7A79" w:rsidRDefault="00B0361F" w:rsidP="00B0361F">
      <w:pPr>
        <w:pStyle w:val="Paragrafi"/>
        <w:rPr>
          <w:lang w:val="sq-AL"/>
        </w:rPr>
      </w:pPr>
      <w:r w:rsidRPr="002E7A79">
        <w:rPr>
          <w:lang w:val="sq-AL"/>
        </w:rPr>
        <w:t>A) Të dhënat për numrin total të pasurive (pronë e të tretëve)</w:t>
      </w:r>
      <w:r>
        <w:rPr>
          <w:lang w:val="sq-AL"/>
        </w:rPr>
        <w:t>,</w:t>
      </w:r>
      <w:r w:rsidRPr="002E7A79">
        <w:rPr>
          <w:lang w:val="sq-AL"/>
        </w:rPr>
        <w:t xml:space="preserve"> që preken nga parcelat ndërtimore, sipërfaqja e përgjithshme për kompensim dhe vlera totale e shpërblimit.</w:t>
      </w:r>
    </w:p>
    <w:p w:rsidR="00B0361F" w:rsidRPr="002E7A79" w:rsidRDefault="00B0361F" w:rsidP="00B0361F">
      <w:pPr>
        <w:pStyle w:val="Paragrafi"/>
        <w:rPr>
          <w:lang w:val="sq-AL"/>
        </w:rPr>
      </w:pPr>
      <w:r w:rsidRPr="002E7A79">
        <w:rPr>
          <w:lang w:val="sq-AL"/>
        </w:rPr>
        <w:t>...</w:t>
      </w:r>
    </w:p>
    <w:p w:rsidR="00B0361F" w:rsidRPr="002E7A79" w:rsidRDefault="00B0361F" w:rsidP="00B0361F">
      <w:pPr>
        <w:pStyle w:val="Paragrafi"/>
        <w:rPr>
          <w:lang w:val="sq-AL"/>
        </w:rPr>
      </w:pPr>
      <w:r w:rsidRPr="002E7A79">
        <w:rPr>
          <w:lang w:val="sq-AL"/>
        </w:rPr>
        <w:t>B) Argumentimi teknik i përllogaritjes së masës dhe vlerës së kompensimit në bazë të listës, hartës vektoriale (planvendosjes), të</w:t>
      </w:r>
      <w:r>
        <w:rPr>
          <w:lang w:val="sq-AL"/>
        </w:rPr>
        <w:t xml:space="preserve"> dhënave në lejet e legalizimit</w:t>
      </w:r>
      <w:r w:rsidRPr="002E7A79">
        <w:rPr>
          <w:lang w:val="sq-AL"/>
        </w:rPr>
        <w:t xml:space="preserve"> dhe gjendjes juridike të parcelave ndërtimore.</w:t>
      </w:r>
    </w:p>
    <w:p w:rsidR="00B0361F" w:rsidRPr="002E7A79" w:rsidRDefault="00B0361F" w:rsidP="00B0361F">
      <w:pPr>
        <w:pStyle w:val="Paragrafi"/>
        <w:rPr>
          <w:lang w:val="sq-AL"/>
        </w:rPr>
      </w:pPr>
      <w:r w:rsidRPr="002E7A79">
        <w:rPr>
          <w:lang w:val="sq-AL"/>
        </w:rPr>
        <w:t>...</w:t>
      </w:r>
    </w:p>
    <w:p w:rsidR="00B0361F" w:rsidRPr="002E7A79" w:rsidRDefault="00B0361F" w:rsidP="00B0361F">
      <w:pPr>
        <w:pStyle w:val="Paragrafi"/>
        <w:rPr>
          <w:lang w:val="sq-AL"/>
        </w:rPr>
      </w:pPr>
      <w:r w:rsidRPr="002E7A79">
        <w:rPr>
          <w:lang w:val="sq-AL"/>
        </w:rPr>
        <w:t>C) Argumentimi ligjor i kompensimit të pronarëve (baza ligjore për përcaktimin e çmimit dhe referenca të tjera).</w:t>
      </w:r>
    </w:p>
    <w:p w:rsidR="00B0361F" w:rsidRPr="002E7A79" w:rsidRDefault="00B0361F" w:rsidP="00B0361F">
      <w:pPr>
        <w:pStyle w:val="Paragrafi"/>
        <w:rPr>
          <w:lang w:val="sq-AL"/>
        </w:rPr>
      </w:pPr>
    </w:p>
    <w:p w:rsidR="00B0361F" w:rsidRPr="002E7A79" w:rsidRDefault="00B0361F" w:rsidP="00B0361F">
      <w:pPr>
        <w:pStyle w:val="Paragrafi"/>
        <w:rPr>
          <w:lang w:val="sq-AL"/>
        </w:rPr>
      </w:pPr>
      <w:r w:rsidRPr="002E7A79">
        <w:rPr>
          <w:lang w:val="sq-AL"/>
        </w:rPr>
        <w:t>D) Sqarime për seksionin e veçantë.</w:t>
      </w:r>
    </w:p>
    <w:p w:rsidR="00B0361F" w:rsidRPr="002E7A79" w:rsidRDefault="00B0361F" w:rsidP="00B0361F">
      <w:pPr>
        <w:pStyle w:val="Paragrafi"/>
        <w:ind w:firstLine="0"/>
        <w:rPr>
          <w:lang w:val="sq-AL"/>
        </w:rPr>
      </w:pPr>
    </w:p>
    <w:p w:rsidR="00B0361F" w:rsidRPr="002E7A79" w:rsidRDefault="00B0361F" w:rsidP="00B0361F">
      <w:pPr>
        <w:pStyle w:val="Paragrafi"/>
        <w:rPr>
          <w:lang w:val="sq-AL"/>
        </w:rPr>
      </w:pPr>
      <w:r w:rsidRPr="002E7A79">
        <w:rPr>
          <w:lang w:val="sq-AL"/>
        </w:rPr>
        <w:t>Hartoi:</w:t>
      </w:r>
      <w:r>
        <w:rPr>
          <w:lang w:val="sq-AL"/>
        </w:rPr>
        <w:t xml:space="preserve"> </w:t>
      </w:r>
      <w:r w:rsidRPr="002E7A79">
        <w:rPr>
          <w:lang w:val="sq-AL"/>
        </w:rPr>
        <w:t>Specialisti i Sektorit të Çështjeve të Pronësisë</w:t>
      </w:r>
    </w:p>
    <w:p w:rsidR="00B0361F" w:rsidRPr="002E7A79" w:rsidRDefault="00B0361F" w:rsidP="00B0361F">
      <w:pPr>
        <w:pStyle w:val="Paragrafi"/>
        <w:rPr>
          <w:lang w:val="sq-AL"/>
        </w:rPr>
      </w:pPr>
      <w:r w:rsidRPr="002E7A79">
        <w:rPr>
          <w:lang w:val="sq-AL"/>
        </w:rPr>
        <w:t>Pranoi:</w:t>
      </w:r>
      <w:r>
        <w:rPr>
          <w:lang w:val="sq-AL"/>
        </w:rPr>
        <w:t xml:space="preserve"> </w:t>
      </w:r>
      <w:r w:rsidRPr="002E7A79">
        <w:rPr>
          <w:lang w:val="sq-AL"/>
        </w:rPr>
        <w:t>Përgjegjësi i Sektorit të Çështjeve të Pronësisë</w:t>
      </w:r>
    </w:p>
    <w:p w:rsidR="00B0361F" w:rsidRPr="002E7A79" w:rsidRDefault="00B0361F" w:rsidP="00B0361F">
      <w:pPr>
        <w:pStyle w:val="Paragrafi"/>
        <w:rPr>
          <w:lang w:val="sq-AL"/>
        </w:rPr>
      </w:pPr>
    </w:p>
    <w:p w:rsidR="00B0361F" w:rsidRPr="002E7A79" w:rsidRDefault="00B0361F" w:rsidP="00B0361F">
      <w:pPr>
        <w:pStyle w:val="Paragrafi"/>
        <w:rPr>
          <w:lang w:val="sq-AL"/>
        </w:rPr>
      </w:pPr>
    </w:p>
    <w:p w:rsidR="00B0361F" w:rsidRPr="002E7A79" w:rsidRDefault="00B0361F" w:rsidP="00B0361F">
      <w:pPr>
        <w:pStyle w:val="Paragrafi"/>
        <w:rPr>
          <w:lang w:val="sq-AL"/>
        </w:rPr>
      </w:pPr>
    </w:p>
    <w:p w:rsidR="00B0361F" w:rsidRPr="002E7A79" w:rsidRDefault="00B0361F" w:rsidP="00B0361F">
      <w:pPr>
        <w:pStyle w:val="Paragrafi"/>
        <w:rPr>
          <w:lang w:val="sq-AL"/>
        </w:rPr>
      </w:pPr>
    </w:p>
    <w:p w:rsidR="00B0361F" w:rsidRPr="002E7A79" w:rsidRDefault="00B0361F" w:rsidP="00B0361F">
      <w:pPr>
        <w:pStyle w:val="Paragrafi"/>
        <w:rPr>
          <w:lang w:val="sq-AL"/>
        </w:rPr>
      </w:pPr>
    </w:p>
    <w:p w:rsidR="00B0361F" w:rsidRPr="002E7A79" w:rsidRDefault="00B0361F" w:rsidP="00B0361F">
      <w:pPr>
        <w:pStyle w:val="Paragrafi"/>
        <w:rPr>
          <w:lang w:val="sq-AL"/>
        </w:rPr>
      </w:pPr>
    </w:p>
    <w:p w:rsidR="00B0361F" w:rsidRPr="002E7A79" w:rsidRDefault="00B0361F" w:rsidP="00B0361F">
      <w:pPr>
        <w:pStyle w:val="Paragrafi"/>
        <w:rPr>
          <w:lang w:val="sq-AL"/>
        </w:rPr>
      </w:pPr>
    </w:p>
    <w:p w:rsidR="00B0361F" w:rsidRPr="002E7A79" w:rsidRDefault="00B0361F" w:rsidP="00B0361F">
      <w:pPr>
        <w:pStyle w:val="Paragrafi"/>
        <w:ind w:firstLine="0"/>
        <w:rPr>
          <w:lang w:val="sq-AL"/>
        </w:rPr>
      </w:pPr>
    </w:p>
    <w:p w:rsidR="00B0361F" w:rsidRPr="002E7A79" w:rsidRDefault="00B0361F" w:rsidP="00B0361F">
      <w:pPr>
        <w:pStyle w:val="Paragrafi"/>
        <w:rPr>
          <w:lang w:val="sq-AL"/>
        </w:rPr>
      </w:pPr>
    </w:p>
    <w:p w:rsidR="00B0361F" w:rsidRPr="002E7A79" w:rsidRDefault="00B0361F" w:rsidP="00B0361F">
      <w:pPr>
        <w:pStyle w:val="Paragrafi"/>
        <w:rPr>
          <w:lang w:val="sq-AL"/>
        </w:rPr>
      </w:pPr>
    </w:p>
    <w:p w:rsidR="00B0361F" w:rsidRPr="002E7A79" w:rsidRDefault="00B0361F" w:rsidP="00B0361F">
      <w:pPr>
        <w:pStyle w:val="Paragrafi"/>
        <w:rPr>
          <w:lang w:val="sq-AL"/>
        </w:rPr>
      </w:pPr>
    </w:p>
    <w:p w:rsidR="00B0361F" w:rsidRDefault="00B0361F" w:rsidP="00B0361F">
      <w:pPr>
        <w:pStyle w:val="Paragrafi"/>
        <w:ind w:firstLine="0"/>
        <w:rPr>
          <w:lang w:val="sq-AL"/>
        </w:rPr>
      </w:pPr>
    </w:p>
    <w:p w:rsidR="00B0361F" w:rsidRPr="002E7A79" w:rsidRDefault="00B0361F" w:rsidP="00B0361F">
      <w:pPr>
        <w:pStyle w:val="Paragrafi"/>
        <w:ind w:firstLine="0"/>
        <w:rPr>
          <w:lang w:val="sq-AL"/>
        </w:rPr>
      </w:pPr>
      <w:r>
        <w:rPr>
          <w:lang w:val="sq-AL"/>
        </w:rPr>
        <w:t>__________________________________________________________________________</w:t>
      </w:r>
    </w:p>
    <w:p w:rsidR="00B0361F" w:rsidRPr="00676467" w:rsidRDefault="00B0361F" w:rsidP="00B0361F">
      <w:pPr>
        <w:pStyle w:val="Paragrafi"/>
        <w:ind w:firstLine="0"/>
        <w:rPr>
          <w:sz w:val="20"/>
          <w:szCs w:val="20"/>
          <w:lang w:val="sq-AL"/>
        </w:rPr>
      </w:pPr>
      <w:r w:rsidRPr="00676467">
        <w:rPr>
          <w:sz w:val="20"/>
          <w:szCs w:val="20"/>
          <w:lang w:val="sq-AL"/>
        </w:rPr>
        <w:t>1. Lloji i shkrimit në të gjithë dokumnetin është “</w:t>
      </w:r>
      <w:r w:rsidRPr="00676467">
        <w:rPr>
          <w:i/>
          <w:sz w:val="20"/>
          <w:szCs w:val="20"/>
          <w:lang w:val="sq-AL"/>
        </w:rPr>
        <w:t>Times New Roman</w:t>
      </w:r>
      <w:r w:rsidRPr="00676467">
        <w:rPr>
          <w:sz w:val="20"/>
          <w:szCs w:val="20"/>
          <w:lang w:val="sq-AL"/>
        </w:rPr>
        <w:t>”, madhësia e shkr</w:t>
      </w:r>
      <w:r w:rsidR="00B11F0B">
        <w:rPr>
          <w:sz w:val="20"/>
          <w:szCs w:val="20"/>
          <w:lang w:val="sq-AL"/>
        </w:rPr>
        <w:t xml:space="preserve">imit 14, hapësira mes rreshtave </w:t>
      </w:r>
      <w:r w:rsidRPr="00676467">
        <w:rPr>
          <w:sz w:val="20"/>
          <w:szCs w:val="20"/>
          <w:lang w:val="sq-AL"/>
        </w:rPr>
        <w:t>1.</w:t>
      </w:r>
    </w:p>
    <w:p w:rsidR="00B0361F" w:rsidRPr="00676467" w:rsidRDefault="00B0361F" w:rsidP="00B0361F">
      <w:pPr>
        <w:pStyle w:val="Paragrafi"/>
        <w:ind w:firstLine="0"/>
        <w:rPr>
          <w:bCs/>
          <w:sz w:val="20"/>
          <w:szCs w:val="20"/>
          <w:lang w:val="sq-AL"/>
        </w:rPr>
      </w:pPr>
      <w:r w:rsidRPr="00676467">
        <w:rPr>
          <w:sz w:val="20"/>
          <w:szCs w:val="20"/>
          <w:lang w:val="sq-AL"/>
        </w:rPr>
        <w:t>2.</w:t>
      </w:r>
      <w:r w:rsidRPr="00676467">
        <w:rPr>
          <w:bCs/>
          <w:sz w:val="20"/>
          <w:szCs w:val="20"/>
          <w:lang w:val="sq-AL"/>
        </w:rPr>
        <w:t xml:space="preserve"> Titulli i dokumetit </w:t>
      </w:r>
      <w:r>
        <w:rPr>
          <w:bCs/>
          <w:sz w:val="20"/>
          <w:szCs w:val="20"/>
          <w:lang w:val="sq-AL"/>
        </w:rPr>
        <w:t>dhe titujt e rubri</w:t>
      </w:r>
      <w:r w:rsidRPr="00676467">
        <w:rPr>
          <w:bCs/>
          <w:sz w:val="20"/>
          <w:szCs w:val="20"/>
          <w:lang w:val="sq-AL"/>
        </w:rPr>
        <w:t>kave shkruhen me shkronja të mëdha “</w:t>
      </w:r>
      <w:r w:rsidRPr="00676467">
        <w:rPr>
          <w:bCs/>
          <w:i/>
          <w:sz w:val="20"/>
          <w:szCs w:val="20"/>
          <w:lang w:val="sq-AL"/>
        </w:rPr>
        <w:t>Bold</w:t>
      </w:r>
      <w:r w:rsidRPr="00676467">
        <w:rPr>
          <w:bCs/>
          <w:sz w:val="20"/>
          <w:szCs w:val="20"/>
          <w:lang w:val="sq-AL"/>
        </w:rPr>
        <w:t xml:space="preserve">” me hapësirë 1 mes rreshtave, e vendosur në qendër. </w:t>
      </w:r>
    </w:p>
    <w:p w:rsidR="00BD0103" w:rsidRDefault="00BD0103"/>
    <w:sectPr w:rsidR="00BD010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A34" w:rsidRDefault="0087510C">
      <w:pPr>
        <w:spacing w:after="0" w:line="240" w:lineRule="auto"/>
      </w:pPr>
      <w:r>
        <w:separator/>
      </w:r>
    </w:p>
  </w:endnote>
  <w:endnote w:type="continuationSeparator" w:id="0">
    <w:p w:rsidR="00FA4A34" w:rsidRDefault="00875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1710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EE1286" w:rsidRPr="00B4283E" w:rsidRDefault="00B0361F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20880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286" w:rsidRPr="005B4361" w:rsidRDefault="008F727E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8321710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EE1286" w:rsidRPr="00833610" w:rsidRDefault="00B0361F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EE1286" w:rsidRDefault="008F72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A34" w:rsidRDefault="0087510C">
      <w:pPr>
        <w:spacing w:after="0" w:line="240" w:lineRule="auto"/>
      </w:pPr>
      <w:r>
        <w:separator/>
      </w:r>
    </w:p>
  </w:footnote>
  <w:footnote w:type="continuationSeparator" w:id="0">
    <w:p w:rsidR="00FA4A34" w:rsidRDefault="00875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EE1286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EE1286" w:rsidRPr="00EB260B" w:rsidRDefault="00B0361F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EE1286" w:rsidRPr="00EB260B" w:rsidRDefault="00B0361F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0B1ADD7" wp14:editId="7B66D92F">
                <wp:extent cx="304524" cy="427512"/>
                <wp:effectExtent l="0" t="0" r="635" b="0"/>
                <wp:docPr id="5" name="Picture 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EE1286" w:rsidRPr="00EB260B" w:rsidRDefault="00B0361F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184</w:t>
          </w:r>
        </w:p>
      </w:tc>
    </w:tr>
  </w:tbl>
  <w:p w:rsidR="00EE1286" w:rsidRPr="00385E2C" w:rsidRDefault="008F727E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286" w:rsidRDefault="008F727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286" w:rsidRDefault="008F727E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61F"/>
    <w:rsid w:val="0087510C"/>
    <w:rsid w:val="008F727E"/>
    <w:rsid w:val="00B0361F"/>
    <w:rsid w:val="00B11F0B"/>
    <w:rsid w:val="00BD0103"/>
    <w:rsid w:val="00FA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61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03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0361F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036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361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036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361F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B036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0361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0361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0361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0361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0361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61F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61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03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0361F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036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361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036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361F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B036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0361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0361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0361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0361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0361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61F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1682</Words>
  <Characters>9588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4</cp:revision>
  <cp:lastPrinted>2019-02-05T08:54:00Z</cp:lastPrinted>
  <dcterms:created xsi:type="dcterms:W3CDTF">2016-10-06T12:29:00Z</dcterms:created>
  <dcterms:modified xsi:type="dcterms:W3CDTF">2019-02-05T08:55:00Z</dcterms:modified>
</cp:coreProperties>
</file>