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07893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UDHËZIM</w:t>
      </w:r>
    </w:p>
    <w:p w14:paraId="561E7831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Nr. 1, datë 2.6.2021</w:t>
      </w:r>
    </w:p>
    <w:p w14:paraId="69F5D301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7B6BA6F8" w14:textId="7D535E24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 xml:space="preserve">PËR MËNYRËN E LLOGARITJES SË FIKSIT </w:t>
      </w:r>
    </w:p>
    <w:p w14:paraId="6BF17526" w14:textId="414013A9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TË KURSIT TË KËMBIMIT TË LEKUT NË BANKËN E SHQIPËRISË</w:t>
      </w:r>
    </w:p>
    <w:p w14:paraId="292812C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01659D16" w14:textId="6A9D341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Në bazë dhe për zbatim të nenit 43, shkronjat “b” dhe “c”, si dhe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të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neneve 59 dhe 60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të ligjit nr. 8269, datë 23.12.1997, “Për Bankën e Shqipërisë”,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të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ndryshuar, me propozim të Departamentit të Operacioneve Monetare, Këshilli Mbikëqyrës i Bankës së Shqipërisë,</w:t>
      </w:r>
    </w:p>
    <w:p w14:paraId="32481655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128D7D58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UDHËZON:</w:t>
      </w:r>
    </w:p>
    <w:p w14:paraId="590E5C5E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16FA579B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1</w:t>
      </w:r>
    </w:p>
    <w:p w14:paraId="1CFFA230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Qëllimi</w:t>
      </w:r>
    </w:p>
    <w:p w14:paraId="15FDCCD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44A890A0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Qëllimi i këtij udhëzimi është përcaktimi i mënyrës së llogaritjes së fiksit për efekte të përftimit të një niveli të vetëm reference të kursit të këmbimit të lekut ndaj monedhave të huaja, i cili më pas mund të përdoret nga të interesuarit për qëllime statistikore, krahasuese, kontabilizuese, vlerësuese dhe tregtuese.</w:t>
      </w:r>
    </w:p>
    <w:p w14:paraId="11C12444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39990BE3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2</w:t>
      </w:r>
    </w:p>
    <w:p w14:paraId="3F69CC5F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Përkufizime</w:t>
      </w:r>
    </w:p>
    <w:p w14:paraId="58D2283C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6E0EB04C" w14:textId="2BE44E64" w:rsidR="00D05F26" w:rsidRPr="00AC44C9" w:rsidRDefault="00D05F26" w:rsidP="006D3CC1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Për qëllim të këtij udhëzimi, termat e mëposhtëm kanë këtë kuptim:</w:t>
      </w:r>
    </w:p>
    <w:p w14:paraId="448E3BFC" w14:textId="7047AA88" w:rsidR="00D05F26" w:rsidRPr="00AC44C9" w:rsidRDefault="006D3CC1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a) “Fiksi” –</w:t>
      </w:r>
      <w:r w:rsidR="00D05F26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është kursi zyrtar i këmbimit i disa prej monedhave të huaja kundrejt lekut, që përfaqësohet nga një vlerë e vetme dhe publikohet nga Banka e Shqipërisë;</w:t>
      </w:r>
    </w:p>
    <w:p w14:paraId="1FA00D70" w14:textId="4FF29AB1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b) “Mesatarja e çmimit në blerje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bid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)”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–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është mesatarja e thjeshtë aritmetike e çmimeve të kuotuara nga bankat, me të cilat ato janë të gatshme të blejnë një sasi të monedhës së huaj kundrejt lekut. Ajo llogaritet për kurset e blerjes së euros dhe për kurset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e blerjes së dollarit amerikan;</w:t>
      </w:r>
    </w:p>
    <w:p w14:paraId="5A3041D3" w14:textId="1B78F6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c) “Mesatarja e çmimit në shitje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ask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)”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–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është mesatarja e thjeshtë aritmetike e çmimeve të kuotuara nga bankat, me të cilat ato janë të gatshme të shesin një sasi të monedhës së huaj kundrejt lekut. Ajo llogaritet për kurset e shitjes së euros dhe për kurset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e shitjes së dollarit amerikan;</w:t>
      </w:r>
    </w:p>
    <w:p w14:paraId="085A2814" w14:textId="67D9F7A8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d) “DOM” – është Departamenti i Operacioneve Monetare në Bankën e Shqipërisë;</w:t>
      </w:r>
    </w:p>
    <w:p w14:paraId="05C03460" w14:textId="663A689B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e) “Pjesëmarrës” - janë ato banka, të përzgjedhura nga DOM-i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sipas nenit 3, pika 1, të këtij udhëzimi, të cilat ofrojnë kurset e këmbimit të blerjes dhe të shitjes së euros dhe dollarit amerikan kundrejt lekut, në bazë të të cilave llogaritet fiksi i euros dhe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i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dollarit amerikan kundrejt lekut;</w:t>
      </w:r>
    </w:p>
    <w:p w14:paraId="39A607B0" w14:textId="076ED761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f) “Monedha e referencës”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–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është ajo monedhë, kursi fiks i së cilës llogaritet drejtpërdrejtë nga kuotimet e pjesëmarrësve në procesin e fiksit. Njëkohësisht, kursi fiks i kësaj monedhe shërben për llogaritjen e kursit fiks të këmbimit për monedha të tjera të përfshira në fiks; </w:t>
      </w:r>
    </w:p>
    <w:p w14:paraId="3181C959" w14:textId="5052E6BD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g) “Kuotimi standar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d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”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–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është shfaqja e njëkohshme e çmimit në blerje dhe çmimit në shitje për shumën 100 mijë euro dhe 100 mijë dollarë amerikan nga pjesëmarrësi në fiks;</w:t>
      </w:r>
    </w:p>
    <w:p w14:paraId="5B163013" w14:textId="176AC045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h) “Banka” - është banka tregtare </w:t>
      </w:r>
      <w:bookmarkStart w:id="0" w:name="_GoBack"/>
      <w:bookmarkEnd w:id="0"/>
      <w:r w:rsidRPr="006B2ECE">
        <w:rPr>
          <w:rFonts w:ascii="Garamond" w:hAnsi="Garamond" w:cs="Garamond"/>
          <w:color w:val="000000"/>
          <w:sz w:val="24"/>
          <w:szCs w:val="24"/>
          <w:lang w:val="sq-AL"/>
        </w:rPr>
        <w:t>e licen</w:t>
      </w:r>
      <w:r w:rsidR="006D3CC1" w:rsidRPr="006B2ECE">
        <w:rPr>
          <w:rFonts w:ascii="Garamond" w:hAnsi="Garamond" w:cs="Garamond"/>
          <w:color w:val="000000"/>
          <w:sz w:val="24"/>
          <w:szCs w:val="24"/>
          <w:lang w:val="sq-AL"/>
        </w:rPr>
        <w:t>c</w:t>
      </w:r>
      <w:r w:rsidRPr="006B2ECE">
        <w:rPr>
          <w:rFonts w:ascii="Garamond" w:hAnsi="Garamond" w:cs="Garamond"/>
          <w:color w:val="000000"/>
          <w:sz w:val="24"/>
          <w:szCs w:val="24"/>
          <w:lang w:val="sq-AL"/>
        </w:rPr>
        <w:t>uar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sipas legjislacionit bankar.</w:t>
      </w:r>
    </w:p>
    <w:p w14:paraId="7D3F3372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7CA5A7D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3</w:t>
      </w:r>
    </w:p>
    <w:p w14:paraId="7A2557BE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Pjesëmarrësit</w:t>
      </w:r>
    </w:p>
    <w:p w14:paraId="05A4167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02FF02F1" w14:textId="54FF54F4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lastRenderedPageBreak/>
        <w:t xml:space="preserve">1. Pjesëmarrës në procesin e fiksit janë 10 banka që operojnë brenda vendit dhe kanë vëllimin më të lartë të veprimeve në treg ndërbankar në 24 muajt e fundit. DOM-i rishikon listën e pjesëmarrësve në procesin e fiksit, të paktën një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herë në vit.</w:t>
      </w:r>
    </w:p>
    <w:p w14:paraId="5734C0B5" w14:textId="04CA9831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2. Banka e Shqipërisë publikon në faqen e saj zyrtare të internetit listën e bankave pjesëmarrëse në procesin e fiksit dhe DOM-i njofton me shkrim secilën prej bankave pjesëmarrëse. </w:t>
      </w:r>
    </w:p>
    <w:p w14:paraId="28E604B2" w14:textId="3DE6985A" w:rsidR="00D05F26" w:rsidRPr="00AC44C9" w:rsidRDefault="00D05F26" w:rsidP="006D3CC1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3. Banka e Shqipërisë, në rastet kur nuk siguron informacionin e kërkuar nga bankat të cilat janë pjesëmarrëse në procesin e përcaktimit të fiksit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në përputhje me kriterin e pikës 1, e përcakton atë duke u bazuar në informacionin e marrë nga jo më pak se 5 banka.</w:t>
      </w:r>
    </w:p>
    <w:p w14:paraId="1B4EFC87" w14:textId="45F8976A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4. Banka e Shqipërisë, në rast se nuk ka informacionin e kërkuar nga pjesëmarrësit në procesin e përcaktimit të fiksit, në përputhje me pikat 1 dhe 3, përcakton kursin zyrtar të këmbimit të njëjtë me atë të ditës së punës paraardhëse.</w:t>
      </w:r>
    </w:p>
    <w:p w14:paraId="403A950B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2274A436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4</w:t>
      </w:r>
    </w:p>
    <w:p w14:paraId="6FCC5D97" w14:textId="1D1DAB0C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Dh</w:t>
      </w:r>
      <w:r w:rsidR="006D3CC1"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ënia e informacionit nga bankat</w:t>
      </w:r>
    </w:p>
    <w:p w14:paraId="0E2F6FFB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4CE7A90E" w14:textId="630268BB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1. Bankat i komunikojnë kuotimet standar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d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e të dollarit amerikan dhe euros nëpërmjet faqeve të tyre në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Thomson Reuters EIKON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.</w:t>
      </w:r>
    </w:p>
    <w:p w14:paraId="276C99B2" w14:textId="25EE86EC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2. Nëse për arsye teknike një gjë e tillë është e pamundur, bankat i japin kurset e tyre jo të standar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d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izuara nëpërmjet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 xml:space="preserve">Refinitiv FX TRADING, Bloomberg,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postës elektronike ose telefonit. Në rastet kur kurset e bankave merren me postë elektronike ose telefon, ato duhet të konfirmohen më pas në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Refinitiv FX Trading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, menjëherë sapo një gjë e tillë të jetë e mundur. </w:t>
      </w:r>
    </w:p>
    <w:p w14:paraId="1B295D1D" w14:textId="45147F72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3. Bankat, në intervalin e kohës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s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ë përcaktuar për llogaritjen e fiksit, publikojnë kuotimet standar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d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e më të fundit në faqet e tyre në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Thomson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Reuters Eikon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.</w:t>
      </w:r>
    </w:p>
    <w:p w14:paraId="1CE5CF9E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FF0000"/>
          <w:sz w:val="24"/>
          <w:szCs w:val="24"/>
          <w:lang w:val="sq-AL"/>
        </w:rPr>
      </w:pPr>
    </w:p>
    <w:p w14:paraId="375AAF13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5</w:t>
      </w:r>
    </w:p>
    <w:p w14:paraId="2CFB3B1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 xml:space="preserve">Koha e llogaritjes së fiksit dhe marrja e informacionit </w:t>
      </w:r>
    </w:p>
    <w:p w14:paraId="3D172E0F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3D4ED894" w14:textId="5AEC761D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FF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1. Si rregull, llogaritja e fiksit bëhet çdo ditë pune nga DOM-i, në intervalin kohor 11:30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–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12:00.</w:t>
      </w:r>
      <w:r w:rsid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</w:p>
    <w:p w14:paraId="2C103A6B" w14:textId="53BB8E6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2. Duke filluar nga ora 11:30, DOM-i verifikon nëse bankat kanë paraqitur në faqen e tyre në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Reuters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kuotimet standar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d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e më të fundit, nëpërmjet identifikimit të datës dhe orës së vlefshmërisë së kurseve të këmbimit të lekut kundrejt dollarit amerikan dhe euros, me të cilin ato janë të gatshme të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tregtojnë në tregun ndërbankar.</w:t>
      </w:r>
    </w:p>
    <w:p w14:paraId="173AA1DF" w14:textId="7E1F5C6F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3. Vlerat e kursit të këmbimit të euros dhe dollarit amerikan kundrejt lekut, të secilës prej bankave, si dhe vlerat e monedhave të listuara në nenin 6, pikat 5 dhe 6, të këtij udhëzimi kundrejt dollarit amerikan, merren nga një aplikacion i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Thomson Reuters Eikon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, i cili automatikisht regjistron këto vlera në momentin e llogaritjes s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ë fiksit.</w:t>
      </w:r>
    </w:p>
    <w:p w14:paraId="3F609CE9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7870799F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6</w:t>
      </w:r>
    </w:p>
    <w:p w14:paraId="0DF6C6F2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Përpunimi i informacionit</w:t>
      </w:r>
    </w:p>
    <w:p w14:paraId="4F3AE0E5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20D286C3" w14:textId="2B9F0948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1. Dollari amerikan është valuta e referencës. Kursi i këmbimit të lekut kundrejt valutave të tjera llogaritet në bazë të raporteve të valutave, me përjashtim të euros, me valutën e referencës në tregun ndërkombëtar.</w:t>
      </w:r>
    </w:p>
    <w:p w14:paraId="4788AAF3" w14:textId="2B6B0F01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2. Në fashën kohore të përcaktuar, DOM-i sigurohet që të përditësohen të dhënat automatike nga aplikacioni, i cili i rendit kurset sipas rendit zbritës, duke nisur nga vlera më e lartë. Pasi përjashton dy vlerat më të ulëta dhe të larta të këmbimit të dollarit amerikan dhe euros kundrejt lekut, llogaritet vlera mesatare e kuotimeve të mbetura për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lastRenderedPageBreak/>
        <w:t>të dyja këto monedha. Vlerat që përftohen përfaqësojnë fiksin e kursit të këmbimit t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ë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lekut kundrejt dollarit amerikan dhe euros.</w:t>
      </w:r>
    </w:p>
    <w:p w14:paraId="61130A63" w14:textId="0E375F82" w:rsidR="00D05F26" w:rsidRPr="00AC44C9" w:rsidRDefault="00D05F26" w:rsidP="00D05F26">
      <w:pPr>
        <w:keepNext/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3.</w:t>
      </w:r>
      <w:r w:rsid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Paralelisht me llogaritjen e fiksit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sipas pikës 2 të këtij neni, llogaritet edhe mesatarja e kuotimeve në blerje dhe mesatarja e kuotimeve në shitje të bankave, për monedhat e euros dhe dollarit amerikan. Për përllogaritjen e këtyre mesatareve përdoret metoda e mesatares së thjeshtë 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itmetike e të gjitha kuotimeve.</w:t>
      </w:r>
    </w:p>
    <w:p w14:paraId="32825733" w14:textId="278880BB" w:rsidR="00D05F26" w:rsidRPr="00AC44C9" w:rsidRDefault="00D05F26" w:rsidP="00D05F26">
      <w:pPr>
        <w:keepNext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4.</w:t>
      </w:r>
      <w:r w:rsid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Me përftimin e vlerës së fiksit të kursit të këmbimit të lekut kundrejt valutës së referencës si më sipër, llogariten raportet e këmbimit të lekut kundrejt valutave të tjera, sipas raporteve të tyre në tregun ndërkombëtar kundrejt dollarit amerikan në momentin e llogaritjes së fiksit.</w:t>
      </w:r>
    </w:p>
    <w:p w14:paraId="4D581432" w14:textId="561E3666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5.</w:t>
      </w:r>
      <w:r w:rsid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Llogaritja e fiksit kryhet çdo dit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ë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pune për: dollarin amerikan, euron, jenin japonez, paundin britanik, frangën zvicerane, dollarin australian, dollarin kanadez, koronën suedeze, koronën norvegjeze, koronën daneze, lirën turke, juanin kinez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onshore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), juanin kinez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offshore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) dhe njësinë monetare të Fondit Monetar Ndërkombëtar. Në çdo ditë pune llogaritet gjithashtu fiksi për këto metale të çmuara: ar (për 1 onc) dhe argjend (për 1 onc). </w:t>
      </w:r>
    </w:p>
    <w:p w14:paraId="470BA5BE" w14:textId="74358888" w:rsidR="00D05F26" w:rsidRPr="00AC44C9" w:rsidRDefault="006D3CC1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6.</w:t>
      </w:r>
      <w:r w:rsidR="00D05F26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Me frekuencë 15 ditore, në ditën e mesit dhe të fundit të punës të çdo muaji, llogaritet fiksi për: leva bullgare, forinta hungareze, rubla ruse, kuna kroate, korona çeke dhe dinari maqedonas. Për llogaritjen e kursit zyrtar të këmbimit të të gjitha monedhave të përmendura në këtë pikë, si valutë reference përdoret kursi i dollarit amerikan me lekun. </w:t>
      </w:r>
    </w:p>
    <w:p w14:paraId="24E2533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7. Nëse gjykohet e nevojshme, si rezultat i zhvillimeve në tregun e brendshëm të këmbimeve valutore, valutat për të cilat llogaritet fiksi me frekuencë ditore ose më të rrallë, mund të shtohen ose të pakësohen. Propozimi për shtimin ose pakësimin e monedhave bëhet nga DOM-i dhe miratohet nga Administratori Përgjegjës.</w:t>
      </w:r>
    </w:p>
    <w:p w14:paraId="199F8C73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8. Në rastet kur pjesëmarrëse në procesin e fiksit janë më pak se 5 banka, siç parashikohet në nenin 3, pika 3, të këtij udhëzimi, fiksi llogaritet si mesatare e thjeshtë aritmetike e çmimeve në blerje dhe në shitje, pa përjashtuar dy vlerat më të ulëta dhe të larta të këmbimit të dollarit amerikan dhe euros kundrejt lekut.</w:t>
      </w:r>
    </w:p>
    <w:p w14:paraId="18DBC9FB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42E0707C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7</w:t>
      </w:r>
    </w:p>
    <w:p w14:paraId="374817C5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Publikimi i fiksit</w:t>
      </w:r>
    </w:p>
    <w:p w14:paraId="63C4A86C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  <w:lang w:val="sq-AL"/>
        </w:rPr>
      </w:pPr>
    </w:p>
    <w:p w14:paraId="0A7E187F" w14:textId="6B59855F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1. Banka e Shqipërisë llogarit dhe publikon fiksin, si dhe vlerën mesatare të çmimeve të blerjes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bid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) dhe të shitjes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ask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) për monedhat e euros dhe dollarit amerikan çdo ditë pune.</w:t>
      </w:r>
    </w:p>
    <w:p w14:paraId="227E6AC6" w14:textId="3D1FB985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2. Me përfundimin e procesit të llogaritjes së kursit zyrtar të këmbimit, jo më vonë se ora 12:30, hidhen të dhënat e fiksit të ri të llogaritur, në faqen e Bankës së Shqipërisë në </w:t>
      </w:r>
      <w:r w:rsidR="006D3CC1"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Thomson Reuters Eikon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, në faqen zyrtare të internetit të Bankës së Shqipërisë, si dhe në sistemin automatik që p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ërdoret në Bankën e Shqipërisë.</w:t>
      </w:r>
    </w:p>
    <w:p w14:paraId="66D2EEF7" w14:textId="44FE27AB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3. Nëse, për arsye teknike, një gjë e tillë është e pamundur, informacioni jepet nëpërmjet telefonit, faksit ose postës elektronike, në përgjigje të kërkesave të të interesuarve. Njëkohësisht, DOM-i i dërgon të dhënat pranë departamenteve të Bankës së Shqipërisë, që janë të interesuara.</w:t>
      </w:r>
    </w:p>
    <w:p w14:paraId="45266D0C" w14:textId="4317A57D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4. Për monedhën e euros dhe dollarit amerikan, Banka e Shqipërisë publikon vetëm në faqen e saj zyrtare të internetit edhe vlerën mesatare të çmimeve të blerjes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bid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) dhe të shitjes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ask price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).</w:t>
      </w:r>
    </w:p>
    <w:p w14:paraId="6E322DBD" w14:textId="642BAA1E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5. Të interesuarit njihen me kursin zyrtar të këmbimit në faqen zyrtare të internetit të Bankës së Shqipërisë ose kontaktojnë me shkrim Bankën e Shqipërisë. Në varësi të llojit të informacionit të kërkuar, 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përgjigjja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me shkrim e Bankës së Shqipërisë jepet përkatësisht nga: </w:t>
      </w:r>
    </w:p>
    <w:p w14:paraId="16119756" w14:textId="34A20BE9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lastRenderedPageBreak/>
        <w:t>a) DOM-i, në rast se informacioni i kërkuar ka lidhje me kurset ditore të monedhave të huaja ndaj lekut;</w:t>
      </w:r>
    </w:p>
    <w:p w14:paraId="3BE77278" w14:textId="7A2A285F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b) Departamenti i Statistikave Financiare, nëse informacioni i kërkuar lidhet me tregues të përpunuar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të tillë si: mesataret mujore e tremujore.</w:t>
      </w:r>
    </w:p>
    <w:p w14:paraId="391F3039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7C89D13F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8</w:t>
      </w:r>
    </w:p>
    <w:p w14:paraId="4E2D5639" w14:textId="77777777" w:rsidR="00D05F26" w:rsidRPr="00AC44C9" w:rsidRDefault="00D05F26" w:rsidP="003C79A8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Ruajtja dhe arkivimi</w:t>
      </w:r>
    </w:p>
    <w:p w14:paraId="3C5197C2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2137B928" w14:textId="71EF4B2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DOM-i ruan të dhënat (faqet dhe bisedat në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Thomson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  <w:r w:rsidR="006D3CC1"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Reuters Eikon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, mesazhet në 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e-mail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etj.) për çdo proces të llogaritjes së fiksit në formë elektronike dhe në formë fizike, në përputhje me rregullat e Bankës së Shqipëri</w:t>
      </w:r>
      <w:r w:rsidR="006D3CC1" w:rsidRPr="00AC44C9">
        <w:rPr>
          <w:rFonts w:ascii="Garamond" w:hAnsi="Garamond" w:cs="Garamond"/>
          <w:color w:val="000000"/>
          <w:sz w:val="24"/>
          <w:szCs w:val="24"/>
          <w:lang w:val="sq-AL"/>
        </w:rPr>
        <w:t>së për arkivimin e materialeve.</w:t>
      </w:r>
    </w:p>
    <w:p w14:paraId="71C6F88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7939AB22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9</w:t>
      </w:r>
    </w:p>
    <w:p w14:paraId="346731DC" w14:textId="2FFCA608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Veprimet e Bankë</w:t>
      </w:r>
      <w:r w:rsidR="006D3CC1"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s së Shqipërisë në rastet e mos</w:t>
      </w: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zbatimit të këtij udhëzimi</w:t>
      </w:r>
    </w:p>
    <w:p w14:paraId="75F09E29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2AF0718C" w14:textId="0C8B41C5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1. Në rast se banka/at e përzgjedhur, nuk kuoton kursin e këmbimit, sipas këtij udhëzimi, Guvernatori urdhëron bankën/at për vijimin normal të kuotimit në tregun valutor, në mbështetje të objektivit dytësor të Bankës së Shqipërisë për zhvillimin e sistemit të 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>këmbimeve valutore.</w:t>
      </w:r>
    </w:p>
    <w:p w14:paraId="6540DC00" w14:textId="06DDD2EB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2. Në rastet e mosrespektimit të kuotave ose tregtimit të limituar midis pjesëmarrësve, DOM-i propozon në Komitetin e Zbatimit të Këshillimit dhe Politikës Monetare për përjashtimin e bankës nga veprimet e ndërhyrjes së drejtpërdrejtë dhe me ankand, për një afat deri në 1 vit. </w:t>
      </w:r>
    </w:p>
    <w:p w14:paraId="0444EB88" w14:textId="71D47F5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3. Rastet e mosrespektimit të kërkesave të udhëzimit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lidhur me komunikimin në kohën e caktuar dhe për sasi të standardizuara monitorohen çdo ditë, dhe kur ato janë të përsëritura më shumë se 3 herë brenda muajit nga e njëjta bankë, DOM-i informon me shkrim Drejtuesin Ekzekutiv të bankës përkatëse për mosrespektimin e këtyre kërkesave.</w:t>
      </w:r>
      <w:r w:rsid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</w:p>
    <w:p w14:paraId="630C79B9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70A6ACAF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10</w:t>
      </w:r>
    </w:p>
    <w:p w14:paraId="453BA6CA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 xml:space="preserve">Forca madhore </w:t>
      </w:r>
    </w:p>
    <w:p w14:paraId="1C7A7EE8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226356DC" w14:textId="64569F5E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Banka e Shqipërisë nuk mban përgjegjësi për vonesat në publikim apo mospublikim të fiksit, si dhe të vlerës mesatare të çmimeve të blerjes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bid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) dhe të shitjes (</w:t>
      </w:r>
      <w:r w:rsidRPr="00AC44C9">
        <w:rPr>
          <w:rFonts w:ascii="Garamond" w:hAnsi="Garamond" w:cs="Garamond"/>
          <w:i/>
          <w:iCs/>
          <w:color w:val="000000"/>
          <w:sz w:val="24"/>
          <w:szCs w:val="24"/>
          <w:lang w:val="sq-AL"/>
        </w:rPr>
        <w:t>ask price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) për monedhat e euros dhe dollarit amerikan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>,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që vijnë nga ndërprerja e punës e shkaktuar nga forca madhore. </w:t>
      </w:r>
    </w:p>
    <w:p w14:paraId="580801D3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463AD591" w14:textId="78E74989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</w:p>
    <w:p w14:paraId="5A1FF451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Cs/>
          <w:color w:val="000000"/>
          <w:sz w:val="24"/>
          <w:szCs w:val="24"/>
          <w:lang w:val="sq-AL"/>
        </w:rPr>
        <w:t>Neni 11</w:t>
      </w:r>
    </w:p>
    <w:p w14:paraId="16EC9CB2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Të fundit</w:t>
      </w:r>
    </w:p>
    <w:p w14:paraId="0E442744" w14:textId="77777777" w:rsidR="00D05F26" w:rsidRPr="00AC44C9" w:rsidRDefault="00D05F26" w:rsidP="00D05F26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</w:p>
    <w:p w14:paraId="67A323EF" w14:textId="501D829B" w:rsidR="00D05F26" w:rsidRPr="00AC44C9" w:rsidRDefault="00D05F26" w:rsidP="00D05F26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1. Me zbatimin e këtij udhëzimi ngarkohen DOM-i, Departamenti i Statistikave Financiare në Bankën e Shqipërisë dhe të gjitha bankat e përzgjedhura në pro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>cesin e llogaritjes së fiksit.</w:t>
      </w:r>
    </w:p>
    <w:p w14:paraId="78A6658E" w14:textId="72870965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2. Me hyrjen në fuqi të këtij udhëzimi, shfuqizohet vendimi i Këshillit Mbikëqyrës të Bankës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 së Shqipërisë nr. 66, datë 30.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8.2006, “Për miratimin e udhëzimit 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>‘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Mbi mënyrën e llogaritjes së fiksit të kursit të këmbimit të lekut në Bankën e Shqipërisë</w:t>
      </w:r>
      <w:r w:rsidR="00AC44C9" w:rsidRPr="00AC44C9">
        <w:rPr>
          <w:rFonts w:ascii="Garamond" w:hAnsi="Garamond" w:cs="Garamond"/>
          <w:color w:val="000000"/>
          <w:sz w:val="24"/>
          <w:szCs w:val="24"/>
          <w:lang w:val="sq-AL"/>
        </w:rPr>
        <w:t>’</w:t>
      </w: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 xml:space="preserve">”. </w:t>
      </w:r>
    </w:p>
    <w:p w14:paraId="7CB53FD0" w14:textId="77777777" w:rsidR="00D05F26" w:rsidRPr="00AC44C9" w:rsidRDefault="00D05F26" w:rsidP="00D05F2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/>
        </w:rPr>
      </w:pPr>
      <w:r w:rsidRPr="00AC44C9">
        <w:rPr>
          <w:rFonts w:ascii="Garamond" w:hAnsi="Garamond" w:cs="Garamond"/>
          <w:color w:val="000000"/>
          <w:sz w:val="24"/>
          <w:szCs w:val="24"/>
          <w:lang w:val="sq-AL"/>
        </w:rPr>
        <w:t>Ky udhëzim hyn në fuqi më datë 1 korrik 2021 dhe botohet në Fletoren Zyrtare.</w:t>
      </w:r>
    </w:p>
    <w:p w14:paraId="37A65B25" w14:textId="77777777" w:rsidR="00F979FE" w:rsidRPr="00AC44C9" w:rsidRDefault="00F979FE" w:rsidP="00D05F26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sq-AL"/>
        </w:rPr>
      </w:pPr>
    </w:p>
    <w:p w14:paraId="6476631A" w14:textId="735D01AA" w:rsidR="00EE2713" w:rsidRPr="00AC44C9" w:rsidRDefault="003C79A8" w:rsidP="00D05F26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AC44C9">
        <w:rPr>
          <w:rFonts w:ascii="Garamond" w:eastAsia="Times New Roman" w:hAnsi="Garamond" w:cs="Times New Roman"/>
          <w:sz w:val="24"/>
          <w:szCs w:val="24"/>
          <w:lang w:val="sq-AL"/>
        </w:rPr>
        <w:t>KRYETAR</w:t>
      </w:r>
      <w:r w:rsidR="00F979FE" w:rsidRPr="00AC44C9">
        <w:rPr>
          <w:rFonts w:ascii="Garamond" w:eastAsia="Times New Roman" w:hAnsi="Garamond" w:cs="Times New Roman"/>
          <w:sz w:val="24"/>
          <w:szCs w:val="24"/>
          <w:lang w:val="sq-AL"/>
        </w:rPr>
        <w:t xml:space="preserve"> I KËSHILLIT MBIKËQYRËS</w:t>
      </w:r>
    </w:p>
    <w:p w14:paraId="15772F3F" w14:textId="71247AB5" w:rsidR="00EE2713" w:rsidRPr="00AC44C9" w:rsidRDefault="003C79A8" w:rsidP="00D05F26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AC44C9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>Gent Sejko</w:t>
      </w:r>
    </w:p>
    <w:p w14:paraId="5A337C99" w14:textId="77777777" w:rsidR="0069467F" w:rsidRPr="00AC44C9" w:rsidRDefault="0069467F" w:rsidP="00D05F26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val="sq-AL"/>
        </w:rPr>
      </w:pPr>
    </w:p>
    <w:sectPr w:rsidR="0069467F" w:rsidRPr="00AC44C9" w:rsidSect="00F979FE">
      <w:headerReference w:type="first" r:id="rId14"/>
      <w:pgSz w:w="11907" w:h="16839" w:code="9"/>
      <w:pgMar w:top="1440" w:right="1800" w:bottom="1440" w:left="1800" w:header="1134" w:footer="1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EBAAA" w14:textId="77777777" w:rsidR="006B2ECE" w:rsidRDefault="006B2ECE" w:rsidP="007E4EA2">
      <w:pPr>
        <w:spacing w:after="0" w:line="240" w:lineRule="auto"/>
      </w:pPr>
      <w:r>
        <w:separator/>
      </w:r>
    </w:p>
  </w:endnote>
  <w:endnote w:type="continuationSeparator" w:id="0">
    <w:p w14:paraId="7B1A686F" w14:textId="77777777" w:rsidR="006B2ECE" w:rsidRDefault="006B2ECE" w:rsidP="007E4EA2">
      <w:pPr>
        <w:spacing w:after="0" w:line="240" w:lineRule="auto"/>
      </w:pPr>
      <w:r>
        <w:continuationSeparator/>
      </w:r>
    </w:p>
  </w:endnote>
  <w:endnote w:type="continuationNotice" w:id="1">
    <w:p w14:paraId="19E4A9D3" w14:textId="77777777" w:rsidR="006B2ECE" w:rsidRDefault="006B2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50D9C" w14:textId="77777777" w:rsidR="006B2ECE" w:rsidRDefault="006B2ECE" w:rsidP="007E4EA2">
      <w:pPr>
        <w:spacing w:after="0" w:line="240" w:lineRule="auto"/>
      </w:pPr>
      <w:r>
        <w:separator/>
      </w:r>
    </w:p>
  </w:footnote>
  <w:footnote w:type="continuationSeparator" w:id="0">
    <w:p w14:paraId="6BD7EC17" w14:textId="77777777" w:rsidR="006B2ECE" w:rsidRDefault="006B2ECE" w:rsidP="007E4EA2">
      <w:pPr>
        <w:spacing w:after="0" w:line="240" w:lineRule="auto"/>
      </w:pPr>
      <w:r>
        <w:continuationSeparator/>
      </w:r>
    </w:p>
  </w:footnote>
  <w:footnote w:type="continuationNotice" w:id="1">
    <w:p w14:paraId="08B82DB3" w14:textId="77777777" w:rsidR="006B2ECE" w:rsidRDefault="006B2E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1E0F1" w14:textId="053F02A5" w:rsidR="006B2ECE" w:rsidRPr="004113E6" w:rsidRDefault="006B2ECE" w:rsidP="004113E6">
    <w:pPr>
      <w:pStyle w:val="Header"/>
    </w:pPr>
    <w:r w:rsidRPr="004113E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7E4"/>
    <w:multiLevelType w:val="hybridMultilevel"/>
    <w:tmpl w:val="92BE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E0DE1"/>
    <w:multiLevelType w:val="hybridMultilevel"/>
    <w:tmpl w:val="2966B3C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41C0019" w:tentative="1">
      <w:start w:val="1"/>
      <w:numFmt w:val="lowerLetter"/>
      <w:lvlText w:val="%2."/>
      <w:lvlJc w:val="left"/>
      <w:pPr>
        <w:ind w:left="1866" w:hanging="360"/>
      </w:p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E076AC"/>
    <w:multiLevelType w:val="hybridMultilevel"/>
    <w:tmpl w:val="EE0613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52B73"/>
    <w:multiLevelType w:val="hybridMultilevel"/>
    <w:tmpl w:val="07EC6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D7FEC"/>
    <w:multiLevelType w:val="hybridMultilevel"/>
    <w:tmpl w:val="E662C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81D36"/>
    <w:multiLevelType w:val="hybridMultilevel"/>
    <w:tmpl w:val="1E34322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B1173"/>
    <w:multiLevelType w:val="hybridMultilevel"/>
    <w:tmpl w:val="2124C8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D1C77"/>
    <w:multiLevelType w:val="hybridMultilevel"/>
    <w:tmpl w:val="9CCE0612"/>
    <w:lvl w:ilvl="0" w:tplc="08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61427AF8"/>
    <w:multiLevelType w:val="hybridMultilevel"/>
    <w:tmpl w:val="87822F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7B"/>
    <w:rsid w:val="00005092"/>
    <w:rsid w:val="00070856"/>
    <w:rsid w:val="000A3FE1"/>
    <w:rsid w:val="000B6257"/>
    <w:rsid w:val="000C5DED"/>
    <w:rsid w:val="001057D6"/>
    <w:rsid w:val="001160AE"/>
    <w:rsid w:val="001B66BC"/>
    <w:rsid w:val="00244233"/>
    <w:rsid w:val="002B7B50"/>
    <w:rsid w:val="002C1A97"/>
    <w:rsid w:val="002D4BB6"/>
    <w:rsid w:val="00326482"/>
    <w:rsid w:val="003322A4"/>
    <w:rsid w:val="003432FE"/>
    <w:rsid w:val="0036060F"/>
    <w:rsid w:val="00386FBF"/>
    <w:rsid w:val="003C79A8"/>
    <w:rsid w:val="004113E6"/>
    <w:rsid w:val="00524DF4"/>
    <w:rsid w:val="0054017B"/>
    <w:rsid w:val="0054537B"/>
    <w:rsid w:val="0056399C"/>
    <w:rsid w:val="0058425E"/>
    <w:rsid w:val="00591903"/>
    <w:rsid w:val="005C47E5"/>
    <w:rsid w:val="005F6D85"/>
    <w:rsid w:val="00643030"/>
    <w:rsid w:val="0069467F"/>
    <w:rsid w:val="006A426D"/>
    <w:rsid w:val="006B2ECE"/>
    <w:rsid w:val="006D3CC1"/>
    <w:rsid w:val="00700033"/>
    <w:rsid w:val="007018E7"/>
    <w:rsid w:val="00712220"/>
    <w:rsid w:val="00740501"/>
    <w:rsid w:val="00753F4A"/>
    <w:rsid w:val="007D5D81"/>
    <w:rsid w:val="007E4EA2"/>
    <w:rsid w:val="008315BB"/>
    <w:rsid w:val="00872F91"/>
    <w:rsid w:val="008D1109"/>
    <w:rsid w:val="008F4517"/>
    <w:rsid w:val="00925364"/>
    <w:rsid w:val="009E5973"/>
    <w:rsid w:val="009F0C8F"/>
    <w:rsid w:val="00A67F00"/>
    <w:rsid w:val="00A97FD0"/>
    <w:rsid w:val="00AC44C9"/>
    <w:rsid w:val="00AF435F"/>
    <w:rsid w:val="00B05FB4"/>
    <w:rsid w:val="00B65231"/>
    <w:rsid w:val="00BA4503"/>
    <w:rsid w:val="00C50BE4"/>
    <w:rsid w:val="00CA5B5E"/>
    <w:rsid w:val="00CB388E"/>
    <w:rsid w:val="00CC6FC3"/>
    <w:rsid w:val="00D05F26"/>
    <w:rsid w:val="00D13B74"/>
    <w:rsid w:val="00D56866"/>
    <w:rsid w:val="00D909F5"/>
    <w:rsid w:val="00DC5C1F"/>
    <w:rsid w:val="00E11EB5"/>
    <w:rsid w:val="00E64D27"/>
    <w:rsid w:val="00EE2713"/>
    <w:rsid w:val="00F979FE"/>
    <w:rsid w:val="00FD5D05"/>
    <w:rsid w:val="00FD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97A3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character" w:styleId="CommentReference">
    <w:name w:val="annotation reference"/>
    <w:basedOn w:val="DefaultParagraphFont"/>
    <w:uiPriority w:val="99"/>
    <w:semiHidden/>
    <w:unhideWhenUsed/>
    <w:rsid w:val="008D1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0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character" w:styleId="CommentReference">
    <w:name w:val="annotation reference"/>
    <w:basedOn w:val="DefaultParagraphFont"/>
    <w:uiPriority w:val="99"/>
    <w:semiHidden/>
    <w:unhideWhenUsed/>
    <w:rsid w:val="008D1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0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9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2021-06-08T12:28:30Z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2021-06-07T22:00:00Z</Date_x0020_protokolli>
    <Titulli xmlns="0e656187-b300-4fb0-8bf4-3a50f872073c">Për mënyrën e llogaritjes së fiksit të kursit të këmbimit të lekut në Bankën e Shqipërisë</Titulli>
    <Modifikuesi xmlns="0e656187-b300-4fb0-8bf4-3a50f872073c">Fjora.Korita</Modifikuesi>
    <Nr_x002e__x0020_prot_x0020_QBZ xmlns="0e656187-b300-4fb0-8bf4-3a50f872073c">847/2</Nr_x002e__x0020_prot_x0020_QBZ>
    <Data_x0020_e_x0020_Modifikimit xmlns="0e656187-b300-4fb0-8bf4-3a50f872073c">2021-06-09T08:10:10Z</Data_x0020_e_x0020_Modifikimit>
    <Dekretuar xmlns="0e656187-b300-4fb0-8bf4-3a50f872073c">false</Dekretuar>
    <Data xmlns="0e656187-b300-4fb0-8bf4-3a50f872073c">2021-06-01T22:00:00Z</Data>
    <Nr_x002e__x0020_protokolli_x0020_i_x0020_aktit xmlns="0e656187-b300-4fb0-8bf4-3a50f872073c">2698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39034DA0DCC4579A7AAE8719A649DF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39034DA0DCC4579A7AAE8719A649DF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0CF3-5752-4C29-97E1-9558F1DC3064}">
  <ds:schemaRefs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16AE56-5221-4D83-9A45-BE3176B97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0FBC5-6F16-459B-864E-55E4F46EA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789D0C8-667B-4FFA-A012-BDA3D028BF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C8B73F-9253-4932-A394-CC45A7D74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B979AE5-EA71-41B1-ABF1-845DAF65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mënyrën e llogaritjes së fiksit të kursit të këmbimit të lekut në Bankën e Shqipërisë</vt:lpstr>
    </vt:vector>
  </TitlesOfParts>
  <Company> </Company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mënyrën e llogaritjes së fiksit të kursit të këmbimit të lekut në Bankën e Shqipërisë</dc:title>
  <dc:creator>Pegi Luli</dc:creator>
  <cp:lastModifiedBy>Amarilda Muja</cp:lastModifiedBy>
  <cp:revision>9</cp:revision>
  <cp:lastPrinted>2017-10-18T11:47:00Z</cp:lastPrinted>
  <dcterms:created xsi:type="dcterms:W3CDTF">2021-06-08T12:22:00Z</dcterms:created>
  <dcterms:modified xsi:type="dcterms:W3CDTF">2021-06-09T08:20:00Z</dcterms:modified>
</cp:coreProperties>
</file>