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82B52" w14:textId="77777777" w:rsidR="001123C5" w:rsidRPr="00160B3A" w:rsidRDefault="001123C5" w:rsidP="001123C5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160B3A">
        <w:rPr>
          <w:rFonts w:ascii="Garamond" w:hAnsi="Garamond"/>
          <w:b/>
          <w:bCs/>
        </w:rPr>
        <w:t>UDHËZIM</w:t>
      </w:r>
    </w:p>
    <w:p w14:paraId="2F72A316" w14:textId="52A63A6B" w:rsidR="001123C5" w:rsidRPr="00160B3A" w:rsidRDefault="001123C5" w:rsidP="001123C5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60B3A">
        <w:rPr>
          <w:rFonts w:ascii="Garamond" w:hAnsi="Garamond"/>
          <w:b/>
          <w:bCs/>
          <w:sz w:val="24"/>
          <w:szCs w:val="24"/>
        </w:rPr>
        <w:t>Nr.</w:t>
      </w:r>
      <w:r w:rsidR="00160B3A">
        <w:rPr>
          <w:rFonts w:ascii="Garamond" w:hAnsi="Garamond"/>
          <w:b/>
          <w:bCs/>
          <w:sz w:val="24"/>
          <w:szCs w:val="24"/>
        </w:rPr>
        <w:t xml:space="preserve"> </w:t>
      </w:r>
      <w:r w:rsidRPr="00160B3A">
        <w:rPr>
          <w:rFonts w:ascii="Garamond" w:hAnsi="Garamond"/>
          <w:b/>
          <w:bCs/>
          <w:sz w:val="24"/>
          <w:szCs w:val="24"/>
        </w:rPr>
        <w:t>253, datë 9.5.2024</w:t>
      </w:r>
    </w:p>
    <w:p w14:paraId="5BE7429B" w14:textId="77777777" w:rsidR="001123C5" w:rsidRPr="00160B3A" w:rsidRDefault="001123C5" w:rsidP="001123C5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51F31650" w14:textId="66304383" w:rsidR="001123C5" w:rsidRPr="00160B3A" w:rsidRDefault="00160B3A" w:rsidP="001123C5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60B3A">
        <w:rPr>
          <w:rFonts w:ascii="Garamond" w:hAnsi="Garamond"/>
          <w:b/>
          <w:bCs/>
          <w:sz w:val="24"/>
          <w:szCs w:val="24"/>
        </w:rPr>
        <w:t>PËR MIRATIMIN E KRITEREVE DHE PROCEDURAVE PËR ANALIZIMIN DHE KLASIFIKIMIN E ÇËSHTJEVE TË PRAPAMBETURA DHE ÇËSHTJEVE TË REJA QË REGJISTROHEN NË GJYKATA</w:t>
      </w:r>
    </w:p>
    <w:p w14:paraId="75ABEB61" w14:textId="77777777" w:rsidR="001123C5" w:rsidRPr="00160B3A" w:rsidRDefault="001123C5" w:rsidP="001123C5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5F71CCCA" w14:textId="4520A291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Këshilli i Lartë Gjyqësor, mbështetur në shkronjën “ë”, të pikës 1, të nenit</w:t>
      </w:r>
      <w:r w:rsidR="00160B3A">
        <w:rPr>
          <w:rFonts w:ascii="Garamond" w:hAnsi="Garamond"/>
        </w:rPr>
        <w:t xml:space="preserve"> </w:t>
      </w:r>
      <w:r w:rsidRPr="00160B3A">
        <w:rPr>
          <w:rFonts w:ascii="Garamond" w:hAnsi="Garamond"/>
        </w:rPr>
        <w:t>147/a të Kushtetutës së Republikës së Shqipërisë dhe në shkronjën “e”, pika 4, të neneve 89 dhe 94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</w:rPr>
        <w:t xml:space="preserve"> të </w:t>
      </w:r>
      <w:r w:rsidR="00160B3A">
        <w:rPr>
          <w:rFonts w:ascii="Garamond" w:hAnsi="Garamond"/>
        </w:rPr>
        <w:t>l</w:t>
      </w:r>
      <w:r w:rsidRPr="00160B3A">
        <w:rPr>
          <w:rFonts w:ascii="Garamond" w:hAnsi="Garamond"/>
        </w:rPr>
        <w:t>igjit nr. 115/2016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</w:rPr>
        <w:t xml:space="preserve"> “Për organet e qeverisjes së sistemit të drejtësisë”, i ndryshuar, me propozim të anëtarëve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</w:rPr>
        <w:t xml:space="preserve"> </w:t>
      </w:r>
      <w:r w:rsidR="00160B3A">
        <w:rPr>
          <w:rFonts w:ascii="Garamond" w:hAnsi="Garamond"/>
        </w:rPr>
        <w:t>z</w:t>
      </w:r>
      <w:r w:rsidRPr="00160B3A">
        <w:rPr>
          <w:rFonts w:ascii="Garamond" w:hAnsi="Garamond"/>
        </w:rPr>
        <w:t xml:space="preserve">. Ilir Rusi, </w:t>
      </w:r>
      <w:r w:rsidR="00160B3A">
        <w:rPr>
          <w:rFonts w:ascii="Garamond" w:hAnsi="Garamond"/>
        </w:rPr>
        <w:t>z</w:t>
      </w:r>
      <w:r w:rsidRPr="00160B3A">
        <w:rPr>
          <w:rFonts w:ascii="Garamond" w:hAnsi="Garamond"/>
        </w:rPr>
        <w:t>. Ridvan Hado dhe znj. Irena Plaku,</w:t>
      </w:r>
    </w:p>
    <w:p w14:paraId="783B2CC8" w14:textId="77777777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</w:p>
    <w:p w14:paraId="2BCA5898" w14:textId="77777777" w:rsidR="001123C5" w:rsidRPr="00160B3A" w:rsidRDefault="001123C5" w:rsidP="001123C5">
      <w:pPr>
        <w:pStyle w:val="Heading1"/>
        <w:ind w:left="0" w:firstLine="284"/>
        <w:rPr>
          <w:rFonts w:ascii="Garamond" w:hAnsi="Garamond"/>
          <w:b w:val="0"/>
        </w:rPr>
      </w:pPr>
      <w:r w:rsidRPr="00160B3A">
        <w:rPr>
          <w:rFonts w:ascii="Garamond" w:hAnsi="Garamond"/>
          <w:b w:val="0"/>
        </w:rPr>
        <w:t>VENDOSI:</w:t>
      </w:r>
    </w:p>
    <w:p w14:paraId="0CB598B0" w14:textId="77777777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  <w:b/>
          <w:bCs/>
        </w:rPr>
      </w:pPr>
    </w:p>
    <w:p w14:paraId="2DAF46C5" w14:textId="38018F63" w:rsidR="001123C5" w:rsidRPr="00160B3A" w:rsidRDefault="001123C5" w:rsidP="001123C5">
      <w:pPr>
        <w:tabs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1. Gjykata e Apelit të Juridiksionit të Përgjithshëm dhe Gjykata Administrative e Apelit, nëpërmjet Zyrës së Regjistrit, kryen analizimin dhe klasifikimin e çështjeve të prapambetura dhe çështjeve të reja që do të regjistrohen në vazhdim në këto gjykata sipas rregullave dhe procedurave të parashikuara në këtë udhëzim.</w:t>
      </w:r>
    </w:p>
    <w:p w14:paraId="383ABB33" w14:textId="558BC884" w:rsidR="001123C5" w:rsidRPr="00160B3A" w:rsidRDefault="001123C5" w:rsidP="001123C5">
      <w:pPr>
        <w:tabs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2. Nëpunësi civil gjyqësor analizon dhe klasifikon çështjet gjyqësore duke pasur parasysh radhën e kohës së regjistrimit të çështjes gjyqësore pranë gjykatës.</w:t>
      </w:r>
    </w:p>
    <w:p w14:paraId="402C5FE1" w14:textId="5745D414" w:rsidR="001123C5" w:rsidRPr="00160B3A" w:rsidRDefault="001123C5" w:rsidP="001123C5">
      <w:pPr>
        <w:tabs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3. Për çdo çështje që analizohet dhe klasifikohet në kategori dhe nënkategori, nëpunësi civil gjyqësor</w:t>
      </w:r>
      <w:r w:rsidR="00160B3A">
        <w:rPr>
          <w:rFonts w:ascii="Garamond" w:hAnsi="Garamond"/>
          <w:sz w:val="24"/>
          <w:szCs w:val="24"/>
        </w:rPr>
        <w:t xml:space="preserve"> </w:t>
      </w:r>
      <w:r w:rsidRPr="00160B3A">
        <w:rPr>
          <w:rFonts w:ascii="Garamond" w:hAnsi="Garamond"/>
          <w:sz w:val="24"/>
          <w:szCs w:val="24"/>
        </w:rPr>
        <w:t>mban parasysh veprimet e mëposhtme:</w:t>
      </w:r>
    </w:p>
    <w:p w14:paraId="6B145D5B" w14:textId="6131684F" w:rsidR="001123C5" w:rsidRPr="00160B3A" w:rsidRDefault="001123C5" w:rsidP="001123C5">
      <w:pPr>
        <w:pStyle w:val="ListParagraph"/>
        <w:tabs>
          <w:tab w:val="left" w:pos="2760"/>
          <w:tab w:val="center" w:pos="5240"/>
        </w:tabs>
        <w:ind w:left="0" w:firstLine="284"/>
        <w:rPr>
          <w:rFonts w:ascii="Garamond" w:hAnsi="Garamond"/>
          <w:b/>
          <w:bCs/>
          <w:sz w:val="24"/>
          <w:szCs w:val="24"/>
        </w:rPr>
      </w:pPr>
      <w:r w:rsidRPr="00160B3A">
        <w:rPr>
          <w:rFonts w:ascii="Garamond" w:hAnsi="Garamond"/>
          <w:b/>
          <w:bCs/>
          <w:sz w:val="24"/>
          <w:szCs w:val="24"/>
        </w:rPr>
        <w:t>I. Verifikimi i akteve të administruara në dosjen gjyqësore</w:t>
      </w:r>
    </w:p>
    <w:p w14:paraId="6643078F" w14:textId="1940700D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Nëpunësi civil gjyqësor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  <w:color w:val="FF0000"/>
        </w:rPr>
        <w:t xml:space="preserve"> </w:t>
      </w:r>
      <w:r w:rsidRPr="00160B3A">
        <w:rPr>
          <w:rFonts w:ascii="Garamond" w:hAnsi="Garamond"/>
        </w:rPr>
        <w:t>në verifikimin e elementeve formale të dosjes gjyqësore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</w:rPr>
        <w:t xml:space="preserve"> përfshin këto veprime:</w:t>
      </w:r>
    </w:p>
    <w:p w14:paraId="0EA0ADCA" w14:textId="1CD368EC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a) </w:t>
      </w:r>
      <w:r w:rsidR="00160B3A">
        <w:rPr>
          <w:rFonts w:ascii="Garamond" w:hAnsi="Garamond"/>
          <w:b w:val="0"/>
          <w:bCs w:val="0"/>
        </w:rPr>
        <w:t>v</w:t>
      </w:r>
      <w:r w:rsidRPr="00160B3A">
        <w:rPr>
          <w:rFonts w:ascii="Garamond" w:hAnsi="Garamond"/>
          <w:b w:val="0"/>
          <w:bCs w:val="0"/>
        </w:rPr>
        <w:t>erifikohet nëse në dosjen gjyqësore është administruar fashikulli i gjykimit i krijuar në gjykatën e shkallës së parë</w:t>
      </w:r>
      <w:r w:rsidR="00160B3A">
        <w:rPr>
          <w:rFonts w:ascii="Garamond" w:hAnsi="Garamond"/>
          <w:b w:val="0"/>
          <w:bCs w:val="0"/>
        </w:rPr>
        <w:t>,</w:t>
      </w:r>
      <w:r w:rsidRPr="00160B3A">
        <w:rPr>
          <w:rFonts w:ascii="Garamond" w:hAnsi="Garamond"/>
          <w:b w:val="0"/>
          <w:bCs w:val="0"/>
        </w:rPr>
        <w:t xml:space="preserve"> si dhe fashikulli i gjykimit i krijuar në gjykatën e apelit dhe në Gjykatën e Lartë (nëse çështja është kthyer për rigjykim)</w:t>
      </w:r>
      <w:r w:rsidR="00160B3A">
        <w:rPr>
          <w:rFonts w:ascii="Garamond" w:hAnsi="Garamond"/>
          <w:b w:val="0"/>
          <w:bCs w:val="0"/>
        </w:rPr>
        <w:t>;</w:t>
      </w:r>
    </w:p>
    <w:p w14:paraId="4537D12F" w14:textId="6E5C8130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b) </w:t>
      </w:r>
      <w:r w:rsidR="00160B3A">
        <w:rPr>
          <w:rFonts w:ascii="Garamond" w:hAnsi="Garamond"/>
          <w:b w:val="0"/>
          <w:bCs w:val="0"/>
        </w:rPr>
        <w:t>v</w:t>
      </w:r>
      <w:r w:rsidRPr="00160B3A">
        <w:rPr>
          <w:rFonts w:ascii="Garamond" w:hAnsi="Garamond"/>
          <w:b w:val="0"/>
          <w:bCs w:val="0"/>
        </w:rPr>
        <w:t>erifikohet praktika e plotë me të cilën është vënë në lëvizje gjykata e apelit, e cila duhet të përmbajë mjetin procedural me të cilin është investuar gjykata, i cili, sipas rastit,</w:t>
      </w:r>
      <w:r w:rsidR="00160B3A">
        <w:rPr>
          <w:rFonts w:ascii="Garamond" w:hAnsi="Garamond"/>
          <w:b w:val="0"/>
          <w:bCs w:val="0"/>
        </w:rPr>
        <w:t xml:space="preserve"> </w:t>
      </w:r>
      <w:r w:rsidRPr="00160B3A">
        <w:rPr>
          <w:rFonts w:ascii="Garamond" w:hAnsi="Garamond"/>
          <w:b w:val="0"/>
          <w:bCs w:val="0"/>
        </w:rPr>
        <w:t>mund të jetë:</w:t>
      </w:r>
    </w:p>
    <w:p w14:paraId="0960D7C3" w14:textId="50ABBE02" w:rsidR="001123C5" w:rsidRPr="00160B3A" w:rsidRDefault="001123C5" w:rsidP="001123C5">
      <w:pPr>
        <w:pStyle w:val="ListParagraph"/>
        <w:tabs>
          <w:tab w:val="left" w:pos="1320"/>
        </w:tabs>
        <w:ind w:left="0" w:firstLine="284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- ankim;</w:t>
      </w:r>
    </w:p>
    <w:p w14:paraId="63420597" w14:textId="474F60FA" w:rsidR="001123C5" w:rsidRPr="00160B3A" w:rsidRDefault="001123C5" w:rsidP="001123C5">
      <w:pPr>
        <w:pStyle w:val="ListParagraph"/>
        <w:tabs>
          <w:tab w:val="left" w:pos="1320"/>
        </w:tabs>
        <w:ind w:left="0" w:firstLine="284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- ankim i veçantë;</w:t>
      </w:r>
    </w:p>
    <w:p w14:paraId="76DD6312" w14:textId="2097073A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- kërkesë, në rastin kur ligji parashikon paraqitjen e saj drejtpërdrejtë në gjykatën e apelit sipas parashikimeve ligjore</w:t>
      </w:r>
      <w:r w:rsidR="00160B3A">
        <w:rPr>
          <w:rFonts w:ascii="Garamond" w:hAnsi="Garamond"/>
        </w:rPr>
        <w:t>;</w:t>
      </w:r>
    </w:p>
    <w:p w14:paraId="262E94FD" w14:textId="604FA232" w:rsidR="001123C5" w:rsidRPr="00160B3A" w:rsidRDefault="001123C5" w:rsidP="001123C5">
      <w:pPr>
        <w:pStyle w:val="Heading1"/>
        <w:tabs>
          <w:tab w:val="left" w:pos="360"/>
          <w:tab w:val="left" w:pos="118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c) </w:t>
      </w:r>
      <w:r w:rsidR="00160B3A">
        <w:rPr>
          <w:rFonts w:ascii="Garamond" w:hAnsi="Garamond"/>
          <w:b w:val="0"/>
          <w:bCs w:val="0"/>
        </w:rPr>
        <w:t>v</w:t>
      </w:r>
      <w:r w:rsidRPr="00160B3A">
        <w:rPr>
          <w:rFonts w:ascii="Garamond" w:hAnsi="Garamond"/>
          <w:b w:val="0"/>
          <w:bCs w:val="0"/>
        </w:rPr>
        <w:t>erifikohet nëse praktika përmban vendimin e gjyqtarit të vetëm me të cilin është pranuar shqyrtimi i ankimit apo i ankimit të veçantë, në përputhje me parashikimet ligjore</w:t>
      </w:r>
      <w:r w:rsidR="00160B3A">
        <w:rPr>
          <w:rFonts w:ascii="Garamond" w:hAnsi="Garamond"/>
          <w:b w:val="0"/>
          <w:bCs w:val="0"/>
        </w:rPr>
        <w:t>;</w:t>
      </w:r>
    </w:p>
    <w:p w14:paraId="641673AB" w14:textId="4AFD8980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d) </w:t>
      </w:r>
      <w:r w:rsidR="00160B3A">
        <w:rPr>
          <w:rFonts w:ascii="Garamond" w:hAnsi="Garamond"/>
          <w:b w:val="0"/>
          <w:bCs w:val="0"/>
        </w:rPr>
        <w:t>v</w:t>
      </w:r>
      <w:r w:rsidRPr="00160B3A">
        <w:rPr>
          <w:rFonts w:ascii="Garamond" w:hAnsi="Garamond"/>
          <w:b w:val="0"/>
          <w:bCs w:val="0"/>
        </w:rPr>
        <w:t>erifikohet pala që ka investuar gjykatën e apelit nëpërmjet ushtrimit të ankimit</w:t>
      </w:r>
      <w:r w:rsidR="00160B3A">
        <w:rPr>
          <w:rFonts w:ascii="Garamond" w:hAnsi="Garamond"/>
          <w:b w:val="0"/>
          <w:bCs w:val="0"/>
        </w:rPr>
        <w:t>,</w:t>
      </w:r>
      <w:r w:rsidRPr="00160B3A">
        <w:rPr>
          <w:rFonts w:ascii="Garamond" w:hAnsi="Garamond"/>
          <w:b w:val="0"/>
          <w:bCs w:val="0"/>
        </w:rPr>
        <w:t xml:space="preserve"> ankimit të veçantë, ose kërkesës, si dhe pozicioni procedural që ka në gjykim. Subjekti që ka investuar gjykatën e apelit duhet të identifikohet si palë pjesëmarrëse në procesin gjyqësor të zhvilluar në gjykatën më të ulët, si dhe cilin pozicion procedural ka mbajtur.</w:t>
      </w:r>
    </w:p>
    <w:p w14:paraId="244707EE" w14:textId="095262EC" w:rsidR="001123C5" w:rsidRPr="00160B3A" w:rsidRDefault="001123C5" w:rsidP="001123C5">
      <w:pPr>
        <w:pStyle w:val="ListParagraph"/>
        <w:tabs>
          <w:tab w:val="left" w:pos="2760"/>
          <w:tab w:val="center" w:pos="5240"/>
        </w:tabs>
        <w:ind w:left="0" w:firstLine="284"/>
        <w:rPr>
          <w:rFonts w:ascii="Garamond" w:hAnsi="Garamond"/>
          <w:b/>
          <w:bCs/>
          <w:sz w:val="24"/>
          <w:szCs w:val="24"/>
        </w:rPr>
      </w:pPr>
      <w:r w:rsidRPr="00160B3A">
        <w:rPr>
          <w:rFonts w:ascii="Garamond" w:hAnsi="Garamond"/>
          <w:b/>
          <w:bCs/>
          <w:sz w:val="24"/>
          <w:szCs w:val="24"/>
        </w:rPr>
        <w:t>II. Identifikimi i element</w:t>
      </w:r>
      <w:r w:rsidR="00160B3A">
        <w:rPr>
          <w:rFonts w:ascii="Garamond" w:hAnsi="Garamond"/>
          <w:b/>
          <w:bCs/>
          <w:sz w:val="24"/>
          <w:szCs w:val="24"/>
        </w:rPr>
        <w:t>e</w:t>
      </w:r>
      <w:r w:rsidRPr="00160B3A">
        <w:rPr>
          <w:rFonts w:ascii="Garamond" w:hAnsi="Garamond"/>
          <w:b/>
          <w:bCs/>
          <w:sz w:val="24"/>
          <w:szCs w:val="24"/>
        </w:rPr>
        <w:t>ve kryesorë të çështjes</w:t>
      </w:r>
    </w:p>
    <w:p w14:paraId="4EF5EB8E" w14:textId="1A5A0B69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Pasqyrimi i element</w:t>
      </w:r>
      <w:r w:rsidR="00160B3A">
        <w:rPr>
          <w:rFonts w:ascii="Garamond" w:hAnsi="Garamond"/>
        </w:rPr>
        <w:t>e</w:t>
      </w:r>
      <w:r w:rsidRPr="00160B3A">
        <w:rPr>
          <w:rFonts w:ascii="Garamond" w:hAnsi="Garamond"/>
        </w:rPr>
        <w:t>ve kryesorë të çështjes bëhet duke hedhur saktësisht informacionin e përmbajtur në fashikullin e gjykimit</w:t>
      </w:r>
      <w:r w:rsidR="00160B3A">
        <w:rPr>
          <w:rFonts w:ascii="Garamond" w:hAnsi="Garamond"/>
        </w:rPr>
        <w:t>,</w:t>
      </w:r>
      <w:r w:rsidRPr="00160B3A">
        <w:rPr>
          <w:rFonts w:ascii="Garamond" w:hAnsi="Garamond"/>
        </w:rPr>
        <w:t xml:space="preserve"> duke u mbështetur në vendimin objekt kundërshtimi në gjykatën e apelit:</w:t>
      </w:r>
    </w:p>
    <w:p w14:paraId="6D592099" w14:textId="51DD396A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a) </w:t>
      </w:r>
      <w:r w:rsidR="00160B3A" w:rsidRPr="00160B3A">
        <w:rPr>
          <w:rFonts w:ascii="Garamond" w:hAnsi="Garamond"/>
          <w:b w:val="0"/>
          <w:bCs w:val="0"/>
        </w:rPr>
        <w:t xml:space="preserve">numri </w:t>
      </w:r>
      <w:r w:rsidRPr="00160B3A">
        <w:rPr>
          <w:rFonts w:ascii="Garamond" w:hAnsi="Garamond"/>
          <w:b w:val="0"/>
          <w:bCs w:val="0"/>
        </w:rPr>
        <w:t>i regjistrit themeltar të çështjes së regjistruar në gjykatën e apelit;</w:t>
      </w:r>
    </w:p>
    <w:p w14:paraId="0F4488C4" w14:textId="2B646F84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b) </w:t>
      </w:r>
      <w:r w:rsidR="00160B3A" w:rsidRPr="00160B3A">
        <w:rPr>
          <w:rFonts w:ascii="Garamond" w:hAnsi="Garamond"/>
          <w:b w:val="0"/>
          <w:bCs w:val="0"/>
        </w:rPr>
        <w:t xml:space="preserve">data </w:t>
      </w:r>
      <w:r w:rsidRPr="00160B3A">
        <w:rPr>
          <w:rFonts w:ascii="Garamond" w:hAnsi="Garamond"/>
          <w:b w:val="0"/>
          <w:bCs w:val="0"/>
        </w:rPr>
        <w:t>e regjistrimit të saj në gjykatën e apelit;</w:t>
      </w:r>
    </w:p>
    <w:p w14:paraId="533F925B" w14:textId="6F31C287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c) </w:t>
      </w:r>
      <w:r w:rsidR="00160B3A" w:rsidRPr="00160B3A">
        <w:rPr>
          <w:rFonts w:ascii="Garamond" w:hAnsi="Garamond"/>
          <w:b w:val="0"/>
          <w:bCs w:val="0"/>
        </w:rPr>
        <w:t xml:space="preserve">gjyqtari </w:t>
      </w:r>
      <w:r w:rsidRPr="00160B3A">
        <w:rPr>
          <w:rFonts w:ascii="Garamond" w:hAnsi="Garamond"/>
          <w:b w:val="0"/>
          <w:bCs w:val="0"/>
        </w:rPr>
        <w:t>relator që është shortuar për shqyrtimin e saj;</w:t>
      </w:r>
    </w:p>
    <w:p w14:paraId="48DE8E04" w14:textId="46CB5F58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d) </w:t>
      </w:r>
      <w:r w:rsidR="00160B3A" w:rsidRPr="00160B3A">
        <w:rPr>
          <w:rFonts w:ascii="Garamond" w:hAnsi="Garamond"/>
          <w:b w:val="0"/>
          <w:bCs w:val="0"/>
        </w:rPr>
        <w:t xml:space="preserve">gjykata </w:t>
      </w:r>
      <w:r w:rsidRPr="00160B3A">
        <w:rPr>
          <w:rFonts w:ascii="Garamond" w:hAnsi="Garamond"/>
          <w:b w:val="0"/>
          <w:bCs w:val="0"/>
        </w:rPr>
        <w:t>nga vjen çështja;</w:t>
      </w:r>
    </w:p>
    <w:p w14:paraId="1CFB0AF1" w14:textId="56C28F9B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e) </w:t>
      </w:r>
      <w:r w:rsidR="00160B3A" w:rsidRPr="00160B3A">
        <w:rPr>
          <w:rFonts w:ascii="Garamond" w:hAnsi="Garamond"/>
          <w:b w:val="0"/>
          <w:bCs w:val="0"/>
        </w:rPr>
        <w:t xml:space="preserve">palët </w:t>
      </w:r>
      <w:r w:rsidRPr="00160B3A">
        <w:rPr>
          <w:rFonts w:ascii="Garamond" w:hAnsi="Garamond"/>
          <w:b w:val="0"/>
          <w:bCs w:val="0"/>
        </w:rPr>
        <w:t>ndërgjyqëse, sipas pozicionit procedural në gjykim;</w:t>
      </w:r>
    </w:p>
    <w:p w14:paraId="65DF9112" w14:textId="68C7FC03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f) </w:t>
      </w:r>
      <w:r w:rsidR="00160B3A" w:rsidRPr="00160B3A">
        <w:rPr>
          <w:rFonts w:ascii="Garamond" w:hAnsi="Garamond"/>
          <w:b w:val="0"/>
          <w:bCs w:val="0"/>
        </w:rPr>
        <w:t xml:space="preserve">llojin </w:t>
      </w:r>
      <w:r w:rsidRPr="00160B3A">
        <w:rPr>
          <w:rFonts w:ascii="Garamond" w:hAnsi="Garamond"/>
          <w:b w:val="0"/>
          <w:bCs w:val="0"/>
        </w:rPr>
        <w:t>e çështjes sipas listës së kategorive kryesore civile, penale, administrative;</w:t>
      </w:r>
    </w:p>
    <w:p w14:paraId="4CCD515B" w14:textId="0E59E934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g) </w:t>
      </w:r>
      <w:r w:rsidR="00160B3A" w:rsidRPr="00160B3A">
        <w:rPr>
          <w:rFonts w:ascii="Garamond" w:hAnsi="Garamond"/>
          <w:b w:val="0"/>
          <w:bCs w:val="0"/>
        </w:rPr>
        <w:t xml:space="preserve">përshkrimin </w:t>
      </w:r>
      <w:r w:rsidRPr="00160B3A">
        <w:rPr>
          <w:rFonts w:ascii="Garamond" w:hAnsi="Garamond"/>
          <w:b w:val="0"/>
          <w:bCs w:val="0"/>
        </w:rPr>
        <w:t>e çështjes sipas listës së nënkategorive, kryesore, civile, penale, administrative;</w:t>
      </w:r>
    </w:p>
    <w:p w14:paraId="7BB6E686" w14:textId="0753DD32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lastRenderedPageBreak/>
        <w:t xml:space="preserve">h) </w:t>
      </w:r>
      <w:r w:rsidR="00160B3A">
        <w:rPr>
          <w:rFonts w:ascii="Garamond" w:hAnsi="Garamond"/>
          <w:b w:val="0"/>
          <w:bCs w:val="0"/>
        </w:rPr>
        <w:t>n</w:t>
      </w:r>
      <w:r w:rsidRPr="00160B3A">
        <w:rPr>
          <w:rFonts w:ascii="Garamond" w:hAnsi="Garamond"/>
          <w:b w:val="0"/>
          <w:bCs w:val="0"/>
        </w:rPr>
        <w:t>ëse çështja përfshihet në listën e çështjeve prioritare</w:t>
      </w:r>
      <w:r w:rsidR="00160B3A">
        <w:rPr>
          <w:rFonts w:ascii="Garamond" w:hAnsi="Garamond"/>
          <w:b w:val="0"/>
          <w:bCs w:val="0"/>
        </w:rPr>
        <w:t>,</w:t>
      </w:r>
      <w:r w:rsidRPr="00160B3A">
        <w:rPr>
          <w:rFonts w:ascii="Garamond" w:hAnsi="Garamond"/>
          <w:b w:val="0"/>
          <w:bCs w:val="0"/>
        </w:rPr>
        <w:t xml:space="preserve"> sipas vendimit nr. 78</w:t>
      </w:r>
      <w:r w:rsidR="00160B3A">
        <w:rPr>
          <w:rFonts w:ascii="Garamond" w:hAnsi="Garamond"/>
          <w:b w:val="0"/>
          <w:bCs w:val="0"/>
        </w:rPr>
        <w:t>,</w:t>
      </w:r>
      <w:r w:rsidRPr="00160B3A">
        <w:rPr>
          <w:rFonts w:ascii="Garamond" w:hAnsi="Garamond"/>
          <w:b w:val="0"/>
          <w:bCs w:val="0"/>
        </w:rPr>
        <w:t xml:space="preserve"> datë 30.5.2019, të Këshillit të Lartë Gjyqësor, i ndryshuar;</w:t>
      </w:r>
    </w:p>
    <w:p w14:paraId="32B6940C" w14:textId="7C785D21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i) </w:t>
      </w:r>
      <w:r w:rsidR="00160B3A">
        <w:rPr>
          <w:rFonts w:ascii="Garamond" w:hAnsi="Garamond"/>
          <w:b w:val="0"/>
          <w:bCs w:val="0"/>
        </w:rPr>
        <w:t>o</w:t>
      </w:r>
      <w:r w:rsidRPr="00160B3A">
        <w:rPr>
          <w:rFonts w:ascii="Garamond" w:hAnsi="Garamond"/>
          <w:b w:val="0"/>
          <w:bCs w:val="0"/>
        </w:rPr>
        <w:t>bjekti i mosmarrëveshjes;</w:t>
      </w:r>
    </w:p>
    <w:p w14:paraId="215A6375" w14:textId="570898F5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j) </w:t>
      </w:r>
      <w:r w:rsidR="00160B3A">
        <w:rPr>
          <w:rFonts w:ascii="Garamond" w:hAnsi="Garamond"/>
          <w:b w:val="0"/>
          <w:bCs w:val="0"/>
        </w:rPr>
        <w:t>b</w:t>
      </w:r>
      <w:r w:rsidRPr="00160B3A">
        <w:rPr>
          <w:rFonts w:ascii="Garamond" w:hAnsi="Garamond"/>
          <w:b w:val="0"/>
          <w:bCs w:val="0"/>
        </w:rPr>
        <w:t>aza ligjore;</w:t>
      </w:r>
    </w:p>
    <w:p w14:paraId="23A643D7" w14:textId="6F6022CD" w:rsidR="001123C5" w:rsidRPr="00160B3A" w:rsidRDefault="001123C5" w:rsidP="001123C5">
      <w:pPr>
        <w:pStyle w:val="Heading1"/>
        <w:tabs>
          <w:tab w:val="left" w:pos="360"/>
          <w:tab w:val="left" w:pos="820"/>
        </w:tabs>
        <w:ind w:left="0" w:firstLine="284"/>
        <w:jc w:val="both"/>
        <w:rPr>
          <w:rFonts w:ascii="Garamond" w:hAnsi="Garamond"/>
          <w:b w:val="0"/>
          <w:bCs w:val="0"/>
        </w:rPr>
      </w:pPr>
      <w:r w:rsidRPr="00160B3A">
        <w:rPr>
          <w:rFonts w:ascii="Garamond" w:hAnsi="Garamond"/>
          <w:b w:val="0"/>
          <w:bCs w:val="0"/>
        </w:rPr>
        <w:t xml:space="preserve">k) </w:t>
      </w:r>
      <w:r w:rsidR="00160B3A">
        <w:rPr>
          <w:rFonts w:ascii="Garamond" w:hAnsi="Garamond"/>
          <w:b w:val="0"/>
          <w:bCs w:val="0"/>
        </w:rPr>
        <w:t>v</w:t>
      </w:r>
      <w:r w:rsidRPr="00160B3A">
        <w:rPr>
          <w:rFonts w:ascii="Garamond" w:hAnsi="Garamond"/>
          <w:b w:val="0"/>
          <w:bCs w:val="0"/>
        </w:rPr>
        <w:t>endimi i dhënë nga shkalla e parë e gjykimit, e cila do të identifikohet me këto të dhëna:</w:t>
      </w:r>
    </w:p>
    <w:p w14:paraId="3C855BC2" w14:textId="3CB47939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- numër</w:t>
      </w:r>
      <w:r w:rsidR="00160B3A">
        <w:rPr>
          <w:rFonts w:ascii="Garamond" w:hAnsi="Garamond"/>
        </w:rPr>
        <w:t>;</w:t>
      </w:r>
    </w:p>
    <w:p w14:paraId="631DF458" w14:textId="4A405EA1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-datë</w:t>
      </w:r>
      <w:r w:rsidR="00160B3A">
        <w:rPr>
          <w:rFonts w:ascii="Garamond" w:hAnsi="Garamond"/>
        </w:rPr>
        <w:t>;</w:t>
      </w:r>
    </w:p>
    <w:p w14:paraId="0F33D021" w14:textId="697FBD95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- llojin e vendimit të dhënë</w:t>
      </w:r>
      <w:r w:rsidR="00160B3A">
        <w:rPr>
          <w:rFonts w:ascii="Garamond" w:hAnsi="Garamond"/>
        </w:rPr>
        <w:t>;</w:t>
      </w:r>
    </w:p>
    <w:p w14:paraId="51C434A4" w14:textId="57842DDE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 xml:space="preserve">l) </w:t>
      </w:r>
      <w:r w:rsidR="00160B3A">
        <w:rPr>
          <w:rFonts w:ascii="Garamond" w:hAnsi="Garamond"/>
        </w:rPr>
        <w:t>v</w:t>
      </w:r>
      <w:r w:rsidRPr="00160B3A">
        <w:rPr>
          <w:rFonts w:ascii="Garamond" w:hAnsi="Garamond"/>
        </w:rPr>
        <w:t>lera e padisë;</w:t>
      </w:r>
    </w:p>
    <w:p w14:paraId="6F244953" w14:textId="3C66FD1D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 xml:space="preserve">m) </w:t>
      </w:r>
      <w:r w:rsidR="00160B3A">
        <w:rPr>
          <w:rFonts w:ascii="Garamond" w:hAnsi="Garamond"/>
        </w:rPr>
        <w:t>n</w:t>
      </w:r>
      <w:r w:rsidRPr="00160B3A">
        <w:rPr>
          <w:rFonts w:ascii="Garamond" w:hAnsi="Garamond"/>
        </w:rPr>
        <w:t>ëse çështja është kthyer për rigjykim.</w:t>
      </w:r>
    </w:p>
    <w:p w14:paraId="3994CCD8" w14:textId="2AE1CAC3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Pasi janë identifikuar element</w:t>
      </w:r>
      <w:r w:rsidR="00160B3A">
        <w:rPr>
          <w:rFonts w:ascii="Garamond" w:hAnsi="Garamond"/>
        </w:rPr>
        <w:t>e</w:t>
      </w:r>
      <w:r w:rsidRPr="00160B3A">
        <w:rPr>
          <w:rFonts w:ascii="Garamond" w:hAnsi="Garamond"/>
        </w:rPr>
        <w:t>t kryesorë të mosmarrëveshjes objekt shqyrtimi, nëpunësi civil gjyqësor kryen edhe një identifikim paraprak nëse mjeti procedural që ka investuar gjykatën e apelit është paraqitur brenda apo jashtë afatit; ka ose jo të meta; është bërë kundër një vendimi ndaj të cilit lejohet apo nuk lejohet të behët ankim; është bërë nga një person që legjitimohet apo jo që të bëjë ankim; është hequr dorë ose jo nga ankimi/ankimi i veçantë, për të ndihmuar gjykatën për të vlerësuar vijimësinë e shqyrtimit të çështjes.</w:t>
      </w:r>
    </w:p>
    <w:p w14:paraId="1C835489" w14:textId="20BDF3E9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 xml:space="preserve">4. Analizimi dhe klasifikimi i çështjeve në kategori dhe nënkategori do të bëhet sipas bazës </w:t>
      </w:r>
      <w:r w:rsidR="00160B3A">
        <w:rPr>
          <w:rFonts w:ascii="Garamond" w:hAnsi="Garamond"/>
          <w:sz w:val="24"/>
          <w:szCs w:val="24"/>
        </w:rPr>
        <w:t>s</w:t>
      </w:r>
      <w:r w:rsidRPr="00160B3A">
        <w:rPr>
          <w:rFonts w:ascii="Garamond" w:hAnsi="Garamond"/>
          <w:sz w:val="24"/>
          <w:szCs w:val="24"/>
        </w:rPr>
        <w:t xml:space="preserve">ë të dhënave </w:t>
      </w:r>
      <w:r w:rsidR="00160B3A">
        <w:rPr>
          <w:rFonts w:ascii="Garamond" w:hAnsi="Garamond"/>
          <w:sz w:val="24"/>
          <w:szCs w:val="24"/>
        </w:rPr>
        <w:t>t</w:t>
      </w:r>
      <w:r w:rsidRPr="00160B3A">
        <w:rPr>
          <w:rFonts w:ascii="Garamond" w:hAnsi="Garamond"/>
          <w:sz w:val="24"/>
          <w:szCs w:val="24"/>
        </w:rPr>
        <w:t>ë përgatitur për këtë qëllim</w:t>
      </w:r>
      <w:r w:rsidR="00160B3A">
        <w:rPr>
          <w:rFonts w:ascii="Garamond" w:hAnsi="Garamond"/>
          <w:sz w:val="24"/>
          <w:szCs w:val="24"/>
        </w:rPr>
        <w:t>,</w:t>
      </w:r>
      <w:r w:rsidRPr="00160B3A">
        <w:rPr>
          <w:rFonts w:ascii="Garamond" w:hAnsi="Garamond"/>
          <w:sz w:val="24"/>
          <w:szCs w:val="24"/>
        </w:rPr>
        <w:t xml:space="preserve"> sipas shtojcës nr. 1 bashkëlidhur.</w:t>
      </w:r>
    </w:p>
    <w:p w14:paraId="754ECBFB" w14:textId="4E36C716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5. Gjatë analizimit, nëse ka dyshime në lidhje me kategorinë apo nënkategorinë në të cilën çështja duhet të klasifikohet, kancelari orienton klasifikimin e çështjes, pas miratimit nga gjyqtari relator i çështjes ose me urdhër dhe porosi të këtij të fundit.</w:t>
      </w:r>
    </w:p>
    <w:p w14:paraId="6AF44F92" w14:textId="26C080B6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6. Këshilli i Gjykatës miraton listën e llojit të çështjes civile, penale e administrative sipas kategorive kryesore</w:t>
      </w:r>
      <w:r w:rsidR="00160B3A">
        <w:rPr>
          <w:rFonts w:ascii="Garamond" w:hAnsi="Garamond"/>
          <w:sz w:val="24"/>
          <w:szCs w:val="24"/>
        </w:rPr>
        <w:t>,</w:t>
      </w:r>
      <w:r w:rsidRPr="00160B3A">
        <w:rPr>
          <w:rFonts w:ascii="Garamond" w:hAnsi="Garamond"/>
          <w:sz w:val="24"/>
          <w:szCs w:val="24"/>
        </w:rPr>
        <w:t xml:space="preserve"> si dhe listën e përshkrimit të çështjes sipas nënkategorive kryesore, me qëllim grupimin e tyre, duke u bazuar në listën në shtojcën nr. 2 të këtij vendimi.</w:t>
      </w:r>
    </w:p>
    <w:p w14:paraId="399D89C1" w14:textId="421685BB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 xml:space="preserve">7. Gjykata përgatit raportin mujor mbi numrin e çështjeve të analizuara dhe klasifikuara në bazën e të dhënave për çështjet e prapambetura dhe ia dërgon Këshillit të Lartë Gjyqësor. </w:t>
      </w:r>
    </w:p>
    <w:p w14:paraId="6BBA7260" w14:textId="751538F0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8. Gjykata përfundon procesin e analizimit dhe klasifikimit të çështjeve të prapambetura brenda dy muajve nga hyrja në fuqi e këtij vendimi.</w:t>
      </w:r>
    </w:p>
    <w:p w14:paraId="49B61E77" w14:textId="585DC07C" w:rsidR="001123C5" w:rsidRPr="00160B3A" w:rsidRDefault="001123C5" w:rsidP="001123C5">
      <w:pPr>
        <w:tabs>
          <w:tab w:val="left" w:pos="360"/>
          <w:tab w:val="left" w:pos="2760"/>
          <w:tab w:val="center" w:pos="52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60B3A">
        <w:rPr>
          <w:rFonts w:ascii="Garamond" w:hAnsi="Garamond"/>
          <w:sz w:val="24"/>
          <w:szCs w:val="24"/>
        </w:rPr>
        <w:t>9. Ngarkohet Zyra e Regjistrit, Kancelari dhe sekretarët gjyqësorë për zbatimin e këtij vendimi.</w:t>
      </w:r>
    </w:p>
    <w:p w14:paraId="3880CEA7" w14:textId="4A363F81" w:rsidR="001123C5" w:rsidRPr="00160B3A" w:rsidRDefault="001123C5" w:rsidP="001123C5">
      <w:pPr>
        <w:pStyle w:val="BodyText"/>
        <w:ind w:firstLine="284"/>
        <w:jc w:val="both"/>
        <w:rPr>
          <w:rFonts w:ascii="Garamond" w:hAnsi="Garamond"/>
        </w:rPr>
      </w:pPr>
      <w:r w:rsidRPr="00160B3A">
        <w:rPr>
          <w:rFonts w:ascii="Garamond" w:hAnsi="Garamond"/>
        </w:rPr>
        <w:t>Ky vendim hyn në fuqi në datën e botimit në Fletoren Zyrtare.</w:t>
      </w:r>
    </w:p>
    <w:p w14:paraId="4084AFFD" w14:textId="77777777" w:rsidR="001123C5" w:rsidRPr="00160B3A" w:rsidRDefault="001123C5" w:rsidP="001123C5">
      <w:pPr>
        <w:pStyle w:val="Heading1"/>
        <w:ind w:left="0" w:firstLine="284"/>
        <w:jc w:val="right"/>
        <w:rPr>
          <w:rFonts w:ascii="Garamond" w:hAnsi="Garamond"/>
        </w:rPr>
      </w:pPr>
    </w:p>
    <w:p w14:paraId="3D605626" w14:textId="77777777" w:rsidR="001123C5" w:rsidRPr="00160B3A" w:rsidRDefault="001123C5" w:rsidP="001123C5">
      <w:pPr>
        <w:pStyle w:val="Heading1"/>
        <w:ind w:left="0" w:firstLine="284"/>
        <w:jc w:val="right"/>
        <w:rPr>
          <w:rFonts w:ascii="Garamond" w:hAnsi="Garamond"/>
          <w:b w:val="0"/>
        </w:rPr>
      </w:pPr>
      <w:r w:rsidRPr="00160B3A">
        <w:rPr>
          <w:rFonts w:ascii="Garamond" w:hAnsi="Garamond"/>
          <w:b w:val="0"/>
        </w:rPr>
        <w:t>PËR KËSHILLIN E LARTË GJYQËSOR</w:t>
      </w:r>
    </w:p>
    <w:p w14:paraId="2D911A80" w14:textId="1131E2A7" w:rsidR="001123C5" w:rsidRPr="00160B3A" w:rsidRDefault="001123C5" w:rsidP="001123C5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160B3A">
        <w:rPr>
          <w:rFonts w:ascii="Garamond" w:hAnsi="Garamond"/>
          <w:bCs/>
          <w:sz w:val="24"/>
          <w:szCs w:val="24"/>
        </w:rPr>
        <w:t>KRYETARE</w:t>
      </w:r>
    </w:p>
    <w:p w14:paraId="3356C2A0" w14:textId="637BE28F" w:rsidR="001123C5" w:rsidRDefault="001123C5" w:rsidP="001123C5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60B3A">
        <w:rPr>
          <w:rFonts w:ascii="Garamond" w:hAnsi="Garamond"/>
          <w:b/>
          <w:bCs/>
          <w:sz w:val="24"/>
          <w:szCs w:val="24"/>
        </w:rPr>
        <w:t>Naureda Llagami</w:t>
      </w:r>
    </w:p>
    <w:p w14:paraId="22AF7F50" w14:textId="41B3E11A" w:rsidR="00F7062E" w:rsidRDefault="00F7062E" w:rsidP="001123C5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2CCF6F66" w14:textId="2CF16470" w:rsidR="00F7062E" w:rsidRDefault="00F7062E" w:rsidP="001123C5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4434D871" w14:textId="77777777" w:rsidR="00F7062E" w:rsidRDefault="00F7062E" w:rsidP="001123C5">
      <w:pPr>
        <w:ind w:firstLine="284"/>
        <w:jc w:val="right"/>
        <w:rPr>
          <w:rFonts w:ascii="Garamond" w:hAnsi="Garamond"/>
          <w:b/>
          <w:bCs/>
          <w:sz w:val="24"/>
          <w:szCs w:val="24"/>
        </w:rPr>
        <w:sectPr w:rsidR="00F7062E" w:rsidSect="00F7062E">
          <w:pgSz w:w="11910" w:h="16840"/>
          <w:pgMar w:top="1134" w:right="1701" w:bottom="1134" w:left="1701" w:header="0" w:footer="720" w:gutter="0"/>
          <w:cols w:space="720"/>
        </w:sectPr>
      </w:pPr>
    </w:p>
    <w:p w14:paraId="43A6E1FF" w14:textId="5A2F22E9" w:rsidR="00F7062E" w:rsidRPr="00160B3A" w:rsidRDefault="00F7062E" w:rsidP="00F7062E">
      <w:pPr>
        <w:ind w:firstLine="284"/>
        <w:rPr>
          <w:rFonts w:ascii="Garamond" w:hAnsi="Garamond"/>
          <w:b/>
          <w:bCs/>
          <w:sz w:val="24"/>
          <w:szCs w:val="24"/>
        </w:rPr>
      </w:pPr>
      <w:r w:rsidRPr="00F7062E">
        <w:lastRenderedPageBreak/>
        <w:drawing>
          <wp:inline distT="0" distB="0" distL="0" distR="0" wp14:anchorId="12F6F9D7" wp14:editId="7A2E5702">
            <wp:extent cx="9037320" cy="5831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dhezimi 253 per inventarin 04.03.2024 Tabelat e Excel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7320" cy="583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073321" wp14:editId="7318E797">
            <wp:extent cx="9037320" cy="498411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Udhezimi 253 per inventarin 04.03.2024 Tabelat e Excel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7320" cy="49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4350DA0" wp14:editId="5AB71081">
            <wp:extent cx="8701405" cy="5906770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Udhezimi 253 per inventarin 04.03.2024 Tabelat e Excel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1405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F991E24" wp14:editId="0D6EAE9C">
            <wp:extent cx="8341995" cy="590677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dhezimi 253 per inventarin 04.03.2024 Tabelat e Excel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1995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64098E" wp14:editId="6634C8F7">
            <wp:extent cx="9037320" cy="502412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dhezimi 253 per inventarin 04.03.2024 Tabelat e Excel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7320" cy="502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2ED2247" wp14:editId="120EA7AA">
            <wp:extent cx="8804275" cy="59067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dhezimi 253 per inventarin 04.03.2024 Tabelat e Excel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4275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5B3C14" wp14:editId="5742E8DE">
            <wp:extent cx="9037320" cy="22517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Udhezimi 253 per inventarin 04.03.2024 Tabelat e Excel_Page_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732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7062E" w:rsidRPr="00160B3A" w:rsidSect="00F7062E">
      <w:pgSz w:w="16840" w:h="11910" w:orient="landscape" w:code="9"/>
      <w:pgMar w:top="1304" w:right="1304" w:bottom="1304" w:left="130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278CC" w14:textId="77777777" w:rsidR="005E6908" w:rsidRDefault="005E6908">
      <w:r>
        <w:separator/>
      </w:r>
    </w:p>
  </w:endnote>
  <w:endnote w:type="continuationSeparator" w:id="0">
    <w:p w14:paraId="055DE1E6" w14:textId="77777777" w:rsidR="005E6908" w:rsidRDefault="005E6908">
      <w:r>
        <w:continuationSeparator/>
      </w:r>
    </w:p>
  </w:endnote>
  <w:endnote w:type="continuationNotice" w:id="1">
    <w:p w14:paraId="6204A9E4" w14:textId="77777777" w:rsidR="005E6908" w:rsidRDefault="005E6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688E1" w14:textId="77777777" w:rsidR="005E6908" w:rsidRDefault="005E6908">
      <w:r>
        <w:separator/>
      </w:r>
    </w:p>
  </w:footnote>
  <w:footnote w:type="continuationSeparator" w:id="0">
    <w:p w14:paraId="76D4EEB0" w14:textId="77777777" w:rsidR="005E6908" w:rsidRDefault="005E6908">
      <w:r>
        <w:continuationSeparator/>
      </w:r>
    </w:p>
  </w:footnote>
  <w:footnote w:type="continuationNotice" w:id="1">
    <w:p w14:paraId="6257227A" w14:textId="77777777" w:rsidR="005E6908" w:rsidRDefault="005E69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76E95"/>
    <w:multiLevelType w:val="hybridMultilevel"/>
    <w:tmpl w:val="2DB8595E"/>
    <w:lvl w:ilvl="0" w:tplc="04090017">
      <w:start w:val="1"/>
      <w:numFmt w:val="lowerLetter"/>
      <w:lvlText w:val="%1)"/>
      <w:lvlJc w:val="left"/>
      <w:pPr>
        <w:ind w:left="1541" w:hanging="360"/>
      </w:pPr>
      <w:rPr>
        <w:rFonts w:hint="default"/>
        <w:spacing w:val="-10"/>
        <w:w w:val="99"/>
        <w:sz w:val="24"/>
        <w:szCs w:val="24"/>
        <w:lang w:val="en-US" w:eastAsia="en-US" w:bidi="en-US"/>
      </w:rPr>
    </w:lvl>
    <w:lvl w:ilvl="1" w:tplc="94D4EDE0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en-US"/>
      </w:rPr>
    </w:lvl>
    <w:lvl w:ilvl="2" w:tplc="309C483A">
      <w:numFmt w:val="bullet"/>
      <w:lvlText w:val="•"/>
      <w:lvlJc w:val="left"/>
      <w:pPr>
        <w:ind w:left="3148" w:hanging="360"/>
      </w:pPr>
      <w:rPr>
        <w:rFonts w:hint="default"/>
        <w:lang w:val="en-US" w:eastAsia="en-US" w:bidi="en-US"/>
      </w:rPr>
    </w:lvl>
    <w:lvl w:ilvl="3" w:tplc="50E6E3AA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en-US"/>
      </w:rPr>
    </w:lvl>
    <w:lvl w:ilvl="4" w:tplc="8D36C766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en-US"/>
      </w:rPr>
    </w:lvl>
    <w:lvl w:ilvl="5" w:tplc="1850053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en-US"/>
      </w:rPr>
    </w:lvl>
    <w:lvl w:ilvl="6" w:tplc="0EFAD5FC">
      <w:numFmt w:val="bullet"/>
      <w:lvlText w:val="•"/>
      <w:lvlJc w:val="left"/>
      <w:pPr>
        <w:ind w:left="6364" w:hanging="360"/>
      </w:pPr>
      <w:rPr>
        <w:rFonts w:hint="default"/>
        <w:lang w:val="en-US" w:eastAsia="en-US" w:bidi="en-US"/>
      </w:rPr>
    </w:lvl>
    <w:lvl w:ilvl="7" w:tplc="C9149D52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en-US"/>
      </w:rPr>
    </w:lvl>
    <w:lvl w:ilvl="8" w:tplc="C8DAF9DA">
      <w:numFmt w:val="bullet"/>
      <w:lvlText w:val="•"/>
      <w:lvlJc w:val="left"/>
      <w:pPr>
        <w:ind w:left="7972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A842591"/>
    <w:multiLevelType w:val="hybridMultilevel"/>
    <w:tmpl w:val="F1EC8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AC1203"/>
    <w:multiLevelType w:val="hybridMultilevel"/>
    <w:tmpl w:val="9D1CE1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00B6C"/>
    <w:multiLevelType w:val="hybridMultilevel"/>
    <w:tmpl w:val="D6A06CA8"/>
    <w:lvl w:ilvl="0" w:tplc="21ECAC6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6701A"/>
    <w:multiLevelType w:val="hybridMultilevel"/>
    <w:tmpl w:val="B2587BC0"/>
    <w:lvl w:ilvl="0" w:tplc="F0023274">
      <w:start w:val="1"/>
      <w:numFmt w:val="lowerLetter"/>
      <w:lvlText w:val="%1)"/>
      <w:lvlJc w:val="left"/>
      <w:pPr>
        <w:ind w:left="1181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en-US" w:eastAsia="en-US" w:bidi="en-US"/>
      </w:rPr>
    </w:lvl>
    <w:lvl w:ilvl="1" w:tplc="03F04644">
      <w:numFmt w:val="bullet"/>
      <w:lvlText w:val="-"/>
      <w:lvlJc w:val="left"/>
      <w:pPr>
        <w:ind w:left="132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2" w:tplc="1BACDC36">
      <w:numFmt w:val="bullet"/>
      <w:lvlText w:val="•"/>
      <w:lvlJc w:val="left"/>
      <w:pPr>
        <w:ind w:left="2237" w:hanging="144"/>
      </w:pPr>
      <w:rPr>
        <w:rFonts w:hint="default"/>
        <w:lang w:val="en-US" w:eastAsia="en-US" w:bidi="en-US"/>
      </w:rPr>
    </w:lvl>
    <w:lvl w:ilvl="3" w:tplc="C5BC3064">
      <w:numFmt w:val="bullet"/>
      <w:lvlText w:val="•"/>
      <w:lvlJc w:val="left"/>
      <w:pPr>
        <w:ind w:left="3155" w:hanging="144"/>
      </w:pPr>
      <w:rPr>
        <w:rFonts w:hint="default"/>
        <w:lang w:val="en-US" w:eastAsia="en-US" w:bidi="en-US"/>
      </w:rPr>
    </w:lvl>
    <w:lvl w:ilvl="4" w:tplc="E1ECB790">
      <w:numFmt w:val="bullet"/>
      <w:lvlText w:val="•"/>
      <w:lvlJc w:val="left"/>
      <w:pPr>
        <w:ind w:left="4073" w:hanging="144"/>
      </w:pPr>
      <w:rPr>
        <w:rFonts w:hint="default"/>
        <w:lang w:val="en-US" w:eastAsia="en-US" w:bidi="en-US"/>
      </w:rPr>
    </w:lvl>
    <w:lvl w:ilvl="5" w:tplc="7FF2E4AA">
      <w:numFmt w:val="bullet"/>
      <w:lvlText w:val="•"/>
      <w:lvlJc w:val="left"/>
      <w:pPr>
        <w:ind w:left="4991" w:hanging="144"/>
      </w:pPr>
      <w:rPr>
        <w:rFonts w:hint="default"/>
        <w:lang w:val="en-US" w:eastAsia="en-US" w:bidi="en-US"/>
      </w:rPr>
    </w:lvl>
    <w:lvl w:ilvl="6" w:tplc="D7CA094E">
      <w:numFmt w:val="bullet"/>
      <w:lvlText w:val="•"/>
      <w:lvlJc w:val="left"/>
      <w:pPr>
        <w:ind w:left="5908" w:hanging="144"/>
      </w:pPr>
      <w:rPr>
        <w:rFonts w:hint="default"/>
        <w:lang w:val="en-US" w:eastAsia="en-US" w:bidi="en-US"/>
      </w:rPr>
    </w:lvl>
    <w:lvl w:ilvl="7" w:tplc="5E428E12">
      <w:numFmt w:val="bullet"/>
      <w:lvlText w:val="•"/>
      <w:lvlJc w:val="left"/>
      <w:pPr>
        <w:ind w:left="6826" w:hanging="144"/>
      </w:pPr>
      <w:rPr>
        <w:rFonts w:hint="default"/>
        <w:lang w:val="en-US" w:eastAsia="en-US" w:bidi="en-US"/>
      </w:rPr>
    </w:lvl>
    <w:lvl w:ilvl="8" w:tplc="DF347390">
      <w:numFmt w:val="bullet"/>
      <w:lvlText w:val="•"/>
      <w:lvlJc w:val="left"/>
      <w:pPr>
        <w:ind w:left="7744" w:hanging="144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722"/>
    <w:rsid w:val="00002BB9"/>
    <w:rsid w:val="00044BDC"/>
    <w:rsid w:val="00064592"/>
    <w:rsid w:val="001123C5"/>
    <w:rsid w:val="00160B3A"/>
    <w:rsid w:val="001657D6"/>
    <w:rsid w:val="00174427"/>
    <w:rsid w:val="0018392D"/>
    <w:rsid w:val="001C17A8"/>
    <w:rsid w:val="0023017C"/>
    <w:rsid w:val="00244AD0"/>
    <w:rsid w:val="0026148B"/>
    <w:rsid w:val="00261E6C"/>
    <w:rsid w:val="002A5C20"/>
    <w:rsid w:val="002C504B"/>
    <w:rsid w:val="002D460C"/>
    <w:rsid w:val="002E3BA7"/>
    <w:rsid w:val="002E6668"/>
    <w:rsid w:val="0031404A"/>
    <w:rsid w:val="004613F9"/>
    <w:rsid w:val="00492B66"/>
    <w:rsid w:val="004C2DEE"/>
    <w:rsid w:val="004F7A41"/>
    <w:rsid w:val="005036A8"/>
    <w:rsid w:val="00520A2A"/>
    <w:rsid w:val="00534A49"/>
    <w:rsid w:val="005432E7"/>
    <w:rsid w:val="00563D1F"/>
    <w:rsid w:val="005D6120"/>
    <w:rsid w:val="005E6908"/>
    <w:rsid w:val="00601C73"/>
    <w:rsid w:val="00662A89"/>
    <w:rsid w:val="006B1000"/>
    <w:rsid w:val="006D148B"/>
    <w:rsid w:val="007D0C55"/>
    <w:rsid w:val="007F6B3E"/>
    <w:rsid w:val="00826A30"/>
    <w:rsid w:val="00837682"/>
    <w:rsid w:val="00851038"/>
    <w:rsid w:val="00867D47"/>
    <w:rsid w:val="00894BBF"/>
    <w:rsid w:val="008B1028"/>
    <w:rsid w:val="008E33B6"/>
    <w:rsid w:val="00900E42"/>
    <w:rsid w:val="0095740D"/>
    <w:rsid w:val="00991D2E"/>
    <w:rsid w:val="009B19D5"/>
    <w:rsid w:val="009C01EA"/>
    <w:rsid w:val="009D1654"/>
    <w:rsid w:val="009E3722"/>
    <w:rsid w:val="00B917AE"/>
    <w:rsid w:val="00B934C5"/>
    <w:rsid w:val="00BA4DE0"/>
    <w:rsid w:val="00BF1363"/>
    <w:rsid w:val="00BF14F2"/>
    <w:rsid w:val="00C02701"/>
    <w:rsid w:val="00C220F8"/>
    <w:rsid w:val="00CB638A"/>
    <w:rsid w:val="00CB7185"/>
    <w:rsid w:val="00CC070C"/>
    <w:rsid w:val="00D149BC"/>
    <w:rsid w:val="00D40DD4"/>
    <w:rsid w:val="00D64080"/>
    <w:rsid w:val="00D72847"/>
    <w:rsid w:val="00E02AC1"/>
    <w:rsid w:val="00E220F6"/>
    <w:rsid w:val="00E766B1"/>
    <w:rsid w:val="00EF025E"/>
    <w:rsid w:val="00F0087D"/>
    <w:rsid w:val="00F21C37"/>
    <w:rsid w:val="00F57311"/>
    <w:rsid w:val="00F7062E"/>
    <w:rsid w:val="00F73C73"/>
    <w:rsid w:val="00FD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545A0CA"/>
  <w15:chartTrackingRefBased/>
  <w15:docId w15:val="{92823924-9012-4C4C-A5AE-E8870782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E37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sq-AL" w:bidi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9E3722"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3722"/>
    <w:rPr>
      <w:rFonts w:ascii="Times New Roman" w:eastAsia="Times New Roman" w:hAnsi="Times New Roman" w:cs="Times New Roman"/>
      <w:b/>
      <w:bCs/>
      <w:kern w:val="0"/>
      <w:sz w:val="24"/>
      <w:szCs w:val="24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E372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3722"/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paragraph" w:styleId="ListParagraph">
    <w:name w:val="List Paragraph"/>
    <w:basedOn w:val="Normal"/>
    <w:uiPriority w:val="34"/>
    <w:qFormat/>
    <w:rsid w:val="009E3722"/>
    <w:pPr>
      <w:ind w:left="460" w:hanging="361"/>
      <w:jc w:val="both"/>
    </w:pPr>
  </w:style>
  <w:style w:type="paragraph" w:styleId="Title">
    <w:name w:val="Title"/>
    <w:basedOn w:val="Normal"/>
    <w:link w:val="TitleChar"/>
    <w:qFormat/>
    <w:rsid w:val="00900E42"/>
    <w:pPr>
      <w:widowControl/>
      <w:autoSpaceDE/>
      <w:autoSpaceDN/>
      <w:jc w:val="center"/>
    </w:pPr>
    <w:rPr>
      <w:b/>
      <w:sz w:val="24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900E42"/>
    <w:rPr>
      <w:rFonts w:ascii="Times New Roman" w:eastAsia="Times New Roman" w:hAnsi="Times New Roman" w:cs="Times New Roman"/>
      <w:b/>
      <w:kern w:val="0"/>
      <w:sz w:val="24"/>
      <w:szCs w:val="2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B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BBF"/>
    <w:rPr>
      <w:rFonts w:ascii="Segoe UI" w:eastAsia="Times New Roman" w:hAnsi="Segoe UI" w:cs="Segoe UI"/>
      <w:kern w:val="0"/>
      <w:sz w:val="18"/>
      <w:szCs w:val="18"/>
      <w:lang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640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080"/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40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080"/>
    <w:rPr>
      <w:rFonts w:ascii="Times New Roman" w:eastAsia="Times New Roman" w:hAnsi="Times New Roman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845DD05314DB4BA65B9191486C1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2024-05-16T09:37:10Z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2024-05-15T00:00:00Z</Date_x0020_protokolli>
    <Titulli xmlns="0e656187-b300-4fb0-8bf4-3a50f872073c">Për miratimin e kritereve dhe procedurave për analizimin dhe klasifikimin e çështjeve të prapambetura dhe çështjeve të reja që regjistrohen në gjykata</Titulli>
    <Modifikuesi xmlns="0e656187-b300-4fb0-8bf4-3a50f872073c">Amarilda.Muja</Modifikuesi>
    <Nr_x002e__x0020_prot_x0020_QBZ xmlns="0e656187-b300-4fb0-8bf4-3a50f872073c">855/1</Nr_x002e__x0020_prot_x0020_QBZ>
    <Data_x0020_e_x0020_Modifikimit xmlns="0e656187-b300-4fb0-8bf4-3a50f872073c">2024-05-16T11:56:11Z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2539/1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D0B64-7747-410C-92D6-DA29916FD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CA5873-B089-4E14-BB72-EDE96BB19930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D96B02-1AB1-4840-B141-0E1ECAB44C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procedurave për analizimin dhe klasifikimin e çështjeve të prapambetura dhe çështjeve të reja që regjistrohen në gjykata</vt:lpstr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procedurave për analizimin dhe klasifikimin e çështjeve të prapambetura dhe çështjeve të reja që regjistrohen në gjykata</dc:title>
  <dc:creator>Irena Plaku</dc:creator>
  <cp:lastModifiedBy>Nevila Samarxhi</cp:lastModifiedBy>
  <cp:revision>42</cp:revision>
  <cp:lastPrinted>2024-05-03T09:49:00Z</cp:lastPrinted>
  <dcterms:created xsi:type="dcterms:W3CDTF">2024-03-19T09:11:00Z</dcterms:created>
  <dcterms:modified xsi:type="dcterms:W3CDTF">2024-05-20T08:14:00Z</dcterms:modified>
</cp:coreProperties>
</file>