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95F" w:rsidRPr="000A4B5C" w:rsidRDefault="005C695F" w:rsidP="005C695F">
      <w:pPr>
        <w:pStyle w:val="Akti"/>
      </w:pPr>
      <w:bookmarkStart w:id="0" w:name="_GoBack"/>
      <w:bookmarkEnd w:id="0"/>
      <w:r w:rsidRPr="000A4B5C">
        <w:t>UDHËZIM</w:t>
      </w:r>
    </w:p>
    <w:p w:rsidR="005C695F" w:rsidRPr="000A4B5C" w:rsidRDefault="005C695F" w:rsidP="005C695F">
      <w:pPr>
        <w:pStyle w:val="NumriData"/>
      </w:pPr>
      <w:r w:rsidRPr="000A4B5C">
        <w:t>Nr.4, datë 16.6.2005</w:t>
      </w:r>
    </w:p>
    <w:p w:rsidR="005C695F" w:rsidRPr="000A4B5C" w:rsidRDefault="005C695F" w:rsidP="005C695F">
      <w:pPr>
        <w:pStyle w:val="Paragrafi"/>
        <w:rPr>
          <w:sz w:val="20"/>
        </w:rPr>
      </w:pPr>
    </w:p>
    <w:p w:rsidR="005C695F" w:rsidRPr="000A4B5C" w:rsidRDefault="005C695F" w:rsidP="005C695F">
      <w:pPr>
        <w:pStyle w:val="Titulli"/>
      </w:pPr>
      <w:r w:rsidRPr="000A4B5C">
        <w:t>PËR DISA SHTESA DHE NDRYSHIME NË UDHËZIMIN NR.1, DATË 1.1.1996 TË KËSHILLIT TË MINISTRAVE “PËR PROKURIMIN PUBLIK”, TË NDRYSHUAR</w:t>
      </w:r>
    </w:p>
    <w:p w:rsidR="005C695F" w:rsidRPr="000A4B5C" w:rsidRDefault="005C695F" w:rsidP="005C695F">
      <w:pPr>
        <w:pStyle w:val="Paragrafi"/>
        <w:rPr>
          <w:sz w:val="20"/>
        </w:rPr>
      </w:pPr>
    </w:p>
    <w:p w:rsidR="005C695F" w:rsidRPr="000A4B5C" w:rsidRDefault="005C695F" w:rsidP="005C695F">
      <w:pPr>
        <w:pStyle w:val="BazLigjPropozues"/>
      </w:pPr>
      <w:r w:rsidRPr="000A4B5C">
        <w:t>Në mbështetje të nenit 100 të Kushtetutës dhe të nenit 5 të ligjit nr.7971, datë 26.7.1995 “Për prokurimin publik”, të ndryshuar, me propozimin e Ministrit të Shtetit për Koordinimin, Këshilli i Ministrave</w:t>
      </w:r>
    </w:p>
    <w:p w:rsidR="005C695F" w:rsidRPr="000A4B5C" w:rsidRDefault="005C695F" w:rsidP="005C695F">
      <w:pPr>
        <w:pStyle w:val="Paragrafi"/>
        <w:rPr>
          <w:sz w:val="20"/>
        </w:rPr>
      </w:pPr>
    </w:p>
    <w:p w:rsidR="005C695F" w:rsidRPr="000A4B5C" w:rsidRDefault="005C695F" w:rsidP="005C695F">
      <w:pPr>
        <w:pStyle w:val="VENDOSI"/>
      </w:pPr>
      <w:r w:rsidRPr="000A4B5C">
        <w:t>UDHËZON:</w:t>
      </w:r>
    </w:p>
    <w:p w:rsidR="005C695F" w:rsidRPr="000A4B5C" w:rsidRDefault="005C695F" w:rsidP="005C695F">
      <w:pPr>
        <w:pStyle w:val="Paragrafi"/>
        <w:rPr>
          <w:sz w:val="20"/>
        </w:rPr>
      </w:pPr>
    </w:p>
    <w:p w:rsidR="005C695F" w:rsidRPr="000A4B5C" w:rsidRDefault="005C695F" w:rsidP="005C695F">
      <w:pPr>
        <w:pStyle w:val="Paragrafi"/>
        <w:rPr>
          <w:sz w:val="20"/>
        </w:rPr>
      </w:pPr>
      <w:r w:rsidRPr="000A4B5C">
        <w:rPr>
          <w:sz w:val="20"/>
        </w:rPr>
        <w:t>Në udhëzimin nr.1, datë 1.1.1996 të Këshillit të Ministrave, të bëhen këto shtesa dhe ndyshime:</w:t>
      </w:r>
    </w:p>
    <w:p w:rsidR="005C695F" w:rsidRPr="000A4B5C" w:rsidRDefault="005C695F" w:rsidP="005C695F">
      <w:pPr>
        <w:pStyle w:val="Paragrafi"/>
        <w:rPr>
          <w:sz w:val="20"/>
        </w:rPr>
      </w:pPr>
      <w:r w:rsidRPr="000A4B5C">
        <w:rPr>
          <w:sz w:val="20"/>
        </w:rPr>
        <w:t>1. Në kapitullin I “Enti prokurues dhe urdhri i prokurimit”, në fund të pikës 3, shtohet paragrafi me këtë përmbajtje:</w:t>
      </w:r>
    </w:p>
    <w:p w:rsidR="005C695F" w:rsidRPr="000A4B5C" w:rsidRDefault="005C695F" w:rsidP="005C695F">
      <w:pPr>
        <w:pStyle w:val="Paragrafi"/>
        <w:rPr>
          <w:sz w:val="20"/>
        </w:rPr>
      </w:pPr>
      <w:r w:rsidRPr="000A4B5C">
        <w:rPr>
          <w:sz w:val="20"/>
        </w:rPr>
        <w:t>“Në kontratat e shërbimeve me afat shumëvjeçar, enti prokurues mund të parashikojë klauzola, që bëjnë të mundur rishikimin e vlerës vjetore të kontratuar në fillim të vitit buxhetor pasardhës, në varësi të inflacionit zyrtar të publikuar nga institucioni përkatës.”.</w:t>
      </w:r>
    </w:p>
    <w:p w:rsidR="005C695F" w:rsidRPr="000A4B5C" w:rsidRDefault="005C695F" w:rsidP="005C695F">
      <w:pPr>
        <w:pStyle w:val="Paragrafi"/>
        <w:rPr>
          <w:sz w:val="20"/>
        </w:rPr>
      </w:pPr>
      <w:r w:rsidRPr="000A4B5C">
        <w:rPr>
          <w:sz w:val="20"/>
        </w:rPr>
        <w:t>2. Në kapitullin II “Procedur</w:t>
      </w:r>
      <w:r>
        <w:rPr>
          <w:sz w:val="20"/>
        </w:rPr>
        <w:t xml:space="preserve">at e prokurimit”, në pikën 2, </w:t>
      </w:r>
      <w:r w:rsidRPr="000A4B5C">
        <w:rPr>
          <w:sz w:val="20"/>
        </w:rPr>
        <w:t>pas paragrafit të parë të shkronjës “dh”, “Prokurimi i drejtpërdrejtë“, shtohen paragrafët me këtë përmbajtje:</w:t>
      </w:r>
    </w:p>
    <w:p w:rsidR="005C695F" w:rsidRDefault="005C695F" w:rsidP="005C695F">
      <w:pPr>
        <w:pStyle w:val="Paragrafi"/>
        <w:rPr>
          <w:sz w:val="20"/>
        </w:rPr>
      </w:pPr>
      <w:r w:rsidRPr="000A4B5C">
        <w:rPr>
          <w:sz w:val="20"/>
        </w:rPr>
        <w:t>“Enti prokurues duhet të përzgjedhë kandidatin, i cili do të realizojë këtë procedurë nga një listë e përditësuar, rregullisht të paktën dy herë në vit dhe të publikuar në Buletinin e Prokurimit publik. Përzgjedhja e kandidatit nga kjo listë të bëhet nga një komision, i ngritur posaçërisht për këtë qëllim nga titullari i entit prokurues.</w:t>
      </w:r>
    </w:p>
    <w:p w:rsidR="005C695F" w:rsidRPr="000A4B5C" w:rsidRDefault="005C695F" w:rsidP="005C695F">
      <w:pPr>
        <w:pStyle w:val="Paragrafi"/>
        <w:rPr>
          <w:sz w:val="20"/>
        </w:rPr>
      </w:pPr>
      <w:r w:rsidRPr="000A4B5C">
        <w:rPr>
          <w:sz w:val="20"/>
        </w:rPr>
        <w:t>Në rastin e parashikuar në shkronjën “gj” të pikës 1 të nenit 19 të ligjit nr.7971, datë 26.7.1995 “Për prokurimin publik”, të ndryshuar, për përdorimin e procedurës së prokurimit të drejtpërdrejtë, enti prokurues në varësi të objektit të prokurimit, duhet të vërtetojë në organet e specializuara, si Autoriteti i Konkurrencës, Drejtoria e Markave dhe e Patentave apo në organe të tjera të specializuara, ekskluzivitetin e kandidatit të përzgjedhur për realizimin e këtij objekti.”.</w:t>
      </w:r>
    </w:p>
    <w:p w:rsidR="005C695F" w:rsidRPr="000A4B5C" w:rsidRDefault="005C695F" w:rsidP="005C695F">
      <w:pPr>
        <w:pStyle w:val="Paragrafi"/>
        <w:rPr>
          <w:sz w:val="20"/>
        </w:rPr>
      </w:pPr>
      <w:r w:rsidRPr="000A4B5C">
        <w:rPr>
          <w:sz w:val="20"/>
        </w:rPr>
        <w:t>3. Në kapitullin III “Dokumentet e tenderit”, në shkronjën “b”, “Pjesa e veçantë”, pika 3, “Për shërbimet”, bëhen ndryshimi dhe shtesat, si më poshtë vijon:</w:t>
      </w:r>
    </w:p>
    <w:p w:rsidR="005C695F" w:rsidRPr="000A4B5C" w:rsidRDefault="005C695F" w:rsidP="005C695F">
      <w:pPr>
        <w:pStyle w:val="Paragrafi"/>
        <w:rPr>
          <w:sz w:val="20"/>
        </w:rPr>
      </w:pPr>
      <w:r w:rsidRPr="000A4B5C">
        <w:rPr>
          <w:sz w:val="20"/>
        </w:rPr>
        <w:t>a) Në paragafin e dytë shprehja “…mund të jetë…” zëvendësohet me shprehjen “…do të jetë…”</w:t>
      </w:r>
    </w:p>
    <w:p w:rsidR="005C695F" w:rsidRPr="000A4B5C" w:rsidRDefault="005C695F" w:rsidP="005C695F">
      <w:pPr>
        <w:pStyle w:val="Paragrafi"/>
        <w:rPr>
          <w:sz w:val="20"/>
        </w:rPr>
      </w:pPr>
      <w:r w:rsidRPr="000A4B5C">
        <w:rPr>
          <w:sz w:val="20"/>
        </w:rPr>
        <w:t>b) Pas paragrafit të tretë shtohen paragafët me këtë përmbajtje:</w:t>
      </w:r>
    </w:p>
    <w:p w:rsidR="005C695F" w:rsidRPr="000A4B5C" w:rsidRDefault="005C695F" w:rsidP="005C695F">
      <w:pPr>
        <w:pStyle w:val="Paragrafi"/>
        <w:rPr>
          <w:sz w:val="20"/>
        </w:rPr>
      </w:pPr>
      <w:r w:rsidRPr="000A4B5C">
        <w:rPr>
          <w:sz w:val="20"/>
        </w:rPr>
        <w:t>”Kërkesat për kualifikim, të përcaktuara në shkronjat “a” e “b” të pikës 1 të nenit 12 të ligjit nr.7971, datë 26.7.1995, të ndryshuar, në rastin e shërbimeve komplekse si hoteleri, lavanderi e kuzhinë, përveçse si kritere kualifikuese të përdoren edhe si kritere për vlerësimin e kandidatëve. Enti prokurues duhet të përcaktojë qartë metodologjinë e vlerësimit të ofertave, duke u dhënë kandidatëve mundësi konkurrimi të barabarta.</w:t>
      </w:r>
    </w:p>
    <w:p w:rsidR="005C695F" w:rsidRPr="000A4B5C" w:rsidRDefault="005C695F" w:rsidP="005C695F">
      <w:pPr>
        <w:pStyle w:val="Paragrafi"/>
        <w:rPr>
          <w:sz w:val="20"/>
        </w:rPr>
      </w:pPr>
      <w:r w:rsidRPr="000A4B5C">
        <w:rPr>
          <w:sz w:val="20"/>
        </w:rPr>
        <w:t>Për të arritur te kandidati serioz dhe i besueshëm për realizimin e këtyre shërbimeve, enti prokurues duhet të tregojë se do të vlerësohet më shumë kandidati, që do të paraqesë avantazhe në anën profesionale, teknike, organizative, në personel, burime financiare, makineri dhe pajisjet, të cilat për efekt vlerësimi, detyrimisht, duhet të shprehen në terma monetarë. Vlera e investimit duhet të jetë pjesë e ofertës dhe zë një vend të rëndësishëm në përzgjedhjen e ofertës fituese nga enti prokurues.</w:t>
      </w:r>
    </w:p>
    <w:p w:rsidR="005C695F" w:rsidRPr="000A4B5C" w:rsidRDefault="005C695F" w:rsidP="005C695F">
      <w:pPr>
        <w:pStyle w:val="Paragrafi"/>
        <w:rPr>
          <w:sz w:val="20"/>
        </w:rPr>
      </w:pPr>
      <w:r w:rsidRPr="000A4B5C">
        <w:rPr>
          <w:sz w:val="20"/>
        </w:rPr>
        <w:t>Vlera e investimit dhe realizimi merren, tërësisht, përsipër nga sipërmarrësi dhe pasqyrohen qartë në kontratën e lidhur ndërmjet palëve. Në fund të kontratës, investimi i kryer dhe që nuk mund të hiqet pa dëmtuar sendin apo anën funksionale të tij, i mbetet entit prokurues, duke e zhveshur sipërmarrësin nga çdo përgjegjësi tjetër civile.”.</w:t>
      </w:r>
    </w:p>
    <w:p w:rsidR="005C695F" w:rsidRPr="000A4B5C" w:rsidRDefault="005C695F" w:rsidP="005C695F">
      <w:pPr>
        <w:pStyle w:val="Paragrafi"/>
        <w:rPr>
          <w:sz w:val="20"/>
        </w:rPr>
      </w:pPr>
      <w:r w:rsidRPr="000A4B5C">
        <w:rPr>
          <w:sz w:val="20"/>
        </w:rPr>
        <w:t>Ky udhëzim hyn në fuqi pas botimit në Fletoren Zyrtare.</w:t>
      </w:r>
    </w:p>
    <w:p w:rsidR="005C695F" w:rsidRDefault="005C695F" w:rsidP="005C695F">
      <w:pPr>
        <w:pStyle w:val="Paragrafi"/>
        <w:rPr>
          <w:sz w:val="20"/>
        </w:rPr>
      </w:pPr>
    </w:p>
    <w:p w:rsidR="005C695F" w:rsidRPr="000A4B5C" w:rsidRDefault="005C695F" w:rsidP="005C695F">
      <w:pPr>
        <w:pStyle w:val="Autoriteti"/>
      </w:pPr>
      <w:r w:rsidRPr="000A4B5C">
        <w:t>KRYEMINISTRI</w:t>
      </w:r>
    </w:p>
    <w:p w:rsidR="005C695F" w:rsidRPr="000A4B5C" w:rsidRDefault="005C695F" w:rsidP="005C695F">
      <w:pPr>
        <w:pStyle w:val="AutoritetiEmer"/>
      </w:pPr>
      <w:r w:rsidRPr="000A4B5C">
        <w:t>Fatos Nano</w:t>
      </w:r>
    </w:p>
    <w:sectPr w:rsidR="005C695F" w:rsidRPr="000A4B5C" w:rsidSect="005C695F">
      <w:footerReference w:type="even" r:id="rId6"/>
      <w:footerReference w:type="default" r:id="rId7"/>
      <w:pgSz w:w="11907" w:h="16840" w:code="9"/>
      <w:pgMar w:top="1418" w:right="1418" w:bottom="1418" w:left="1418" w:header="1304" w:footer="1134" w:gutter="0"/>
      <w:pgNumType w:start="175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30F0B">
      <w:r>
        <w:separator/>
      </w:r>
    </w:p>
  </w:endnote>
  <w:endnote w:type="continuationSeparator" w:id="0">
    <w:p w:rsidR="00000000" w:rsidRDefault="0033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95F" w:rsidRDefault="005C695F" w:rsidP="005C695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C695F" w:rsidRDefault="005C695F" w:rsidP="005C695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95F" w:rsidRPr="00054528" w:rsidRDefault="005C695F" w:rsidP="005C695F">
    <w:pPr>
      <w:pStyle w:val="Footer"/>
      <w:framePr w:wrap="around" w:vAnchor="text" w:hAnchor="margin" w:xAlign="outside" w:y="1"/>
      <w:rPr>
        <w:rStyle w:val="PageNumber"/>
        <w:rFonts w:ascii="CG Times" w:hAnsi="CG Times"/>
        <w:sz w:val="22"/>
        <w:szCs w:val="22"/>
      </w:rPr>
    </w:pPr>
    <w:r w:rsidRPr="00054528">
      <w:rPr>
        <w:rStyle w:val="PageNumber"/>
        <w:rFonts w:ascii="CG Times" w:hAnsi="CG Times"/>
        <w:sz w:val="22"/>
        <w:szCs w:val="22"/>
      </w:rPr>
      <w:fldChar w:fldCharType="begin"/>
    </w:r>
    <w:r w:rsidRPr="00054528">
      <w:rPr>
        <w:rStyle w:val="PageNumber"/>
        <w:rFonts w:ascii="CG Times" w:hAnsi="CG Times"/>
        <w:sz w:val="22"/>
        <w:szCs w:val="22"/>
      </w:rPr>
      <w:instrText xml:space="preserve">PAGE  </w:instrText>
    </w:r>
    <w:r w:rsidRPr="00054528">
      <w:rPr>
        <w:rStyle w:val="PageNumber"/>
        <w:rFonts w:ascii="CG Times" w:hAnsi="CG Times"/>
        <w:sz w:val="22"/>
        <w:szCs w:val="22"/>
      </w:rPr>
      <w:fldChar w:fldCharType="separate"/>
    </w:r>
    <w:r w:rsidR="00330F0B">
      <w:rPr>
        <w:rStyle w:val="PageNumber"/>
        <w:rFonts w:ascii="CG Times" w:hAnsi="CG Times"/>
        <w:noProof/>
        <w:sz w:val="22"/>
        <w:szCs w:val="22"/>
      </w:rPr>
      <w:t>1753</w:t>
    </w:r>
    <w:r w:rsidRPr="00054528">
      <w:rPr>
        <w:rStyle w:val="PageNumber"/>
        <w:rFonts w:ascii="CG Times" w:hAnsi="CG Times"/>
        <w:sz w:val="22"/>
        <w:szCs w:val="22"/>
      </w:rPr>
      <w:fldChar w:fldCharType="end"/>
    </w:r>
  </w:p>
  <w:p w:rsidR="005C695F" w:rsidRDefault="005C695F" w:rsidP="005C695F">
    <w:pPr>
      <w:pStyle w:val="Footer"/>
      <w:ind w:right="360" w:firstLine="360"/>
      <w:rPr>
        <w:lang w:val="it-IT"/>
      </w:rPr>
    </w:pPr>
  </w:p>
  <w:p w:rsidR="005C695F" w:rsidRDefault="005C695F">
    <w:pPr>
      <w:pStyle w:val="Footer"/>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30F0B">
      <w:r>
        <w:separator/>
      </w:r>
    </w:p>
  </w:footnote>
  <w:footnote w:type="continuationSeparator" w:id="0">
    <w:p w:rsidR="00000000" w:rsidRDefault="00330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30F0B"/>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695F"/>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9FE434-00EA-4183-8C99-F173D7CF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95F"/>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C695F"/>
    <w:rPr>
      <w:rFonts w:ascii="CG Times" w:hAnsi="CG Times"/>
      <w:caps/>
      <w:sz w:val="22"/>
      <w:szCs w:val="22"/>
      <w:lang w:val="en-GB" w:eastAsia="en-US" w:bidi="ar-SA"/>
    </w:rPr>
  </w:style>
  <w:style w:type="paragraph" w:styleId="Footer">
    <w:name w:val="footer"/>
    <w:basedOn w:val="Normal"/>
    <w:rsid w:val="005C695F"/>
    <w:pPr>
      <w:tabs>
        <w:tab w:val="center" w:pos="4320"/>
        <w:tab w:val="right" w:pos="8640"/>
      </w:tabs>
    </w:pPr>
  </w:style>
  <w:style w:type="character" w:styleId="PageNumber">
    <w:name w:val="page number"/>
    <w:basedOn w:val="DefaultParagraphFont"/>
    <w:rsid w:val="005C695F"/>
  </w:style>
  <w:style w:type="character" w:customStyle="1" w:styleId="TitulliChar">
    <w:name w:val="Titulli Char"/>
    <w:basedOn w:val="DefaultParagraphFont"/>
    <w:link w:val="Titulli"/>
    <w:rsid w:val="005C695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