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E05" w:rsidRPr="00384852" w:rsidRDefault="00DF3E05" w:rsidP="00DF3E05">
      <w:pPr>
        <w:pStyle w:val="Akti"/>
        <w:keepNext w:val="0"/>
      </w:pPr>
      <w:r>
        <w:t>U</w:t>
      </w:r>
      <w:r w:rsidRPr="00384852">
        <w:t>D</w:t>
      </w:r>
      <w:r>
        <w:t>H</w:t>
      </w:r>
      <w:r w:rsidRPr="00384852">
        <w:t>Ë</w:t>
      </w:r>
      <w:r>
        <w:t>ZI</w:t>
      </w:r>
      <w:r w:rsidRPr="00384852">
        <w:t>M</w:t>
      </w:r>
    </w:p>
    <w:p w:rsidR="00DF3E05" w:rsidRPr="00384852" w:rsidRDefault="00DF3E05" w:rsidP="00DF3E05">
      <w:pPr>
        <w:pStyle w:val="NumriData"/>
        <w:keepNext w:val="0"/>
      </w:pPr>
      <w:r>
        <w:tab/>
        <w:t>Nr. 4, datë 12.12.2012</w:t>
      </w:r>
    </w:p>
    <w:p w:rsidR="00DF3E05" w:rsidRPr="00D66359" w:rsidRDefault="00DF3E05" w:rsidP="00DF3E05">
      <w:pPr>
        <w:pStyle w:val="Paragrafi"/>
        <w:rPr>
          <w:sz w:val="16"/>
        </w:rPr>
      </w:pPr>
    </w:p>
    <w:p w:rsidR="00DF3E05" w:rsidRPr="00384852" w:rsidRDefault="00DF3E05" w:rsidP="00DF3E05">
      <w:pPr>
        <w:pStyle w:val="Titulli"/>
        <w:keepNext w:val="0"/>
      </w:pPr>
      <w:r w:rsidRPr="00384852">
        <w:t>PËR</w:t>
      </w:r>
      <w:r>
        <w:t xml:space="preserve"> </w:t>
      </w:r>
      <w:r w:rsidRPr="00384852">
        <w:t>CAKTIMIN E MASËS SË SHPENZIMEVE DHE PAGESAVE</w:t>
      </w:r>
      <w:r>
        <w:t xml:space="preserve"> </w:t>
      </w:r>
      <w:r w:rsidRPr="00384852">
        <w:t>TË</w:t>
      </w:r>
      <w:r>
        <w:t xml:space="preserve"> </w:t>
      </w:r>
      <w:r w:rsidRPr="00384852">
        <w:t>EKSPERTËVE DHE DËSHMITARËVE GJATË PROCESIT GJYQËSOR</w:t>
      </w:r>
    </w:p>
    <w:p w:rsidR="00DF3E05" w:rsidRPr="00D66359" w:rsidRDefault="00DF3E05" w:rsidP="00DF3E05">
      <w:pPr>
        <w:pStyle w:val="Paragrafi"/>
        <w:ind w:firstLine="0"/>
        <w:rPr>
          <w:sz w:val="20"/>
        </w:rPr>
      </w:pPr>
    </w:p>
    <w:p w:rsidR="00DF3E05" w:rsidRPr="00384852" w:rsidRDefault="00DF3E05" w:rsidP="00DF3E05">
      <w:pPr>
        <w:pStyle w:val="Paragrafi"/>
      </w:pPr>
      <w:r w:rsidRPr="00384852">
        <w:t>Në mbështetje të nenit 100 të</w:t>
      </w:r>
      <w:r>
        <w:t xml:space="preserve"> Kushtetutës dhe të nenit 105/a</w:t>
      </w:r>
      <w:r w:rsidRPr="00384852">
        <w:t xml:space="preserve"> të</w:t>
      </w:r>
      <w:r>
        <w:t xml:space="preserve"> ligjit nr.8116, datë 29.3.1996</w:t>
      </w:r>
      <w:r w:rsidRPr="00384852">
        <w:t xml:space="preserve"> “Kodi i Procedurës Civile i Republikës së Shqipërisë”, të ndryshuar, me propozimin e Ministrit të Drejtësisë, Këshilli i Ministrave</w:t>
      </w:r>
    </w:p>
    <w:p w:rsidR="00DF3E05" w:rsidRPr="00EA3770" w:rsidRDefault="00DF3E05" w:rsidP="00DF3E05">
      <w:pPr>
        <w:pStyle w:val="Paragrafi"/>
        <w:ind w:firstLine="0"/>
        <w:rPr>
          <w:sz w:val="14"/>
        </w:rPr>
      </w:pPr>
    </w:p>
    <w:p w:rsidR="00DF3E05" w:rsidRPr="00384852" w:rsidRDefault="00DF3E05" w:rsidP="00DF3E05">
      <w:pPr>
        <w:pStyle w:val="VENDOSI"/>
        <w:keepNext w:val="0"/>
      </w:pPr>
      <w:r w:rsidRPr="00384852">
        <w:t>UDHËZON:</w:t>
      </w:r>
    </w:p>
    <w:p w:rsidR="00DF3E05" w:rsidRPr="00EA3770" w:rsidRDefault="00DF3E05" w:rsidP="00DF3E05">
      <w:pPr>
        <w:pStyle w:val="Paragrafi"/>
        <w:rPr>
          <w:sz w:val="12"/>
        </w:rPr>
      </w:pPr>
    </w:p>
    <w:p w:rsidR="00DF3E05" w:rsidRPr="00384852" w:rsidRDefault="00DF3E05" w:rsidP="00DF3E05">
      <w:pPr>
        <w:pStyle w:val="Paragrafi"/>
      </w:pPr>
      <w:r>
        <w:t xml:space="preserve">I. </w:t>
      </w:r>
      <w:r w:rsidRPr="00384852">
        <w:t>DISPOZITA TË PËRGJITHSHME</w:t>
      </w:r>
    </w:p>
    <w:p w:rsidR="00DF3E05" w:rsidRPr="00384852" w:rsidRDefault="00DF3E05" w:rsidP="00DF3E05">
      <w:pPr>
        <w:pStyle w:val="Paragrafi"/>
      </w:pPr>
      <w:r>
        <w:t xml:space="preserve">1. </w:t>
      </w:r>
      <w:r w:rsidRPr="00384852">
        <w:t>Masa e shpenzimeve të dëshmitarëve dhe pagesës së ekspertëve pjesëmarrës në seanca gjyqësore të përcaktohet sipas rregullave të këtij udhëzimi.</w:t>
      </w:r>
    </w:p>
    <w:p w:rsidR="00DF3E05" w:rsidRPr="00384852" w:rsidRDefault="00DF3E05" w:rsidP="00DF3E05">
      <w:pPr>
        <w:pStyle w:val="Paragrafi"/>
      </w:pPr>
      <w:r>
        <w:t xml:space="preserve">2. </w:t>
      </w:r>
      <w:r w:rsidRPr="00384852">
        <w:t>Çdo vit, gjykata e rrethit gjyqësor publikon listën e ekspertëve të licencuar dhe përditëson listën, në rastet kur autoritetet licencuese marrin masa administrative të pezullimit të licencës.</w:t>
      </w:r>
    </w:p>
    <w:p w:rsidR="00DF3E05" w:rsidRPr="00384852" w:rsidRDefault="00DF3E05" w:rsidP="00DF3E05">
      <w:pPr>
        <w:pStyle w:val="Paragrafi"/>
      </w:pPr>
      <w:r>
        <w:t xml:space="preserve">3. </w:t>
      </w:r>
      <w:r w:rsidRPr="00384852">
        <w:t>Gjykata thërret ekspertë të licencuar, të përcaktuar në listën që ajo disponon.</w:t>
      </w:r>
    </w:p>
    <w:p w:rsidR="00DF3E05" w:rsidRPr="00384852" w:rsidRDefault="00DF3E05" w:rsidP="00DF3E05">
      <w:pPr>
        <w:pStyle w:val="Paragrafi"/>
      </w:pPr>
      <w:r>
        <w:t xml:space="preserve">4. </w:t>
      </w:r>
      <w:r w:rsidRPr="00384852">
        <w:t>Në rast se në listë nuk figurojnë ekspertë në fushën e kërkuar ose kur asnjë nga ekspertët që figuron në listë nuk është i disponueshëm, Gjykata thërret ekspertë të tjerë, referuar veçantisë së fushës së kërkuar.</w:t>
      </w:r>
    </w:p>
    <w:p w:rsidR="00DF3E05" w:rsidRPr="00384852" w:rsidRDefault="00DF3E05" w:rsidP="00DF3E05">
      <w:pPr>
        <w:pStyle w:val="Paragrafi"/>
      </w:pPr>
      <w:r>
        <w:t xml:space="preserve">5. </w:t>
      </w:r>
      <w:r w:rsidRPr="00384852">
        <w:t xml:space="preserve">Dëshmitarët në një proces gjyqësor kanë të drejtën e mbulimit të shpenzimeve për dëshminë e dhënë. </w:t>
      </w:r>
    </w:p>
    <w:p w:rsidR="00DF3E05" w:rsidRPr="00384852" w:rsidRDefault="00DF3E05" w:rsidP="00DF3E05">
      <w:pPr>
        <w:pStyle w:val="Paragrafi"/>
      </w:pPr>
      <w:r w:rsidRPr="00384852">
        <w:t xml:space="preserve"> </w:t>
      </w:r>
      <w:r>
        <w:t xml:space="preserve">II. </w:t>
      </w:r>
      <w:r w:rsidRPr="00384852">
        <w:t>KRITERET E PËRCAKTIMIT TË SHPENZIMEVE DHE PAGESAVE TË EKSPERTËVE</w:t>
      </w:r>
    </w:p>
    <w:p w:rsidR="00DF3E05" w:rsidRPr="00384852" w:rsidRDefault="00DF3E05" w:rsidP="00DF3E05">
      <w:pPr>
        <w:pStyle w:val="Paragrafi"/>
      </w:pPr>
      <w:r>
        <w:t xml:space="preserve">1. </w:t>
      </w:r>
      <w:r w:rsidRPr="00384852">
        <w:t>Caktimi i shpenzimeve që u takojnë ekspertëve bëhet në bazë të kushteve të mëposhtme:</w:t>
      </w:r>
    </w:p>
    <w:p w:rsidR="00DF3E05" w:rsidRPr="00384852" w:rsidRDefault="00DF3E05" w:rsidP="00DF3E05">
      <w:pPr>
        <w:pStyle w:val="Paragrafi"/>
      </w:pPr>
      <w:r>
        <w:t xml:space="preserve">a) </w:t>
      </w:r>
      <w:r w:rsidRPr="00384852">
        <w:t xml:space="preserve">Kur eksperti banon në një largësi deri në 100 km nga gjykata ku është thirrur për të kryer ekspertizën, trajtimi financiar i tij përfshin vetëm shpenzimet e transportit, kundrejt dokumentit tatimor përkatës, në bazë të legjislacionit në fuqi për procedurat tatimore. </w:t>
      </w:r>
    </w:p>
    <w:p w:rsidR="00DF3E05" w:rsidRPr="00384852" w:rsidRDefault="00DF3E05" w:rsidP="00DF3E05">
      <w:pPr>
        <w:pStyle w:val="Paragrafi"/>
      </w:pPr>
      <w:r>
        <w:t xml:space="preserve">b) </w:t>
      </w:r>
      <w:r w:rsidRPr="00384852">
        <w:t>Kur eksperti banon në një largësi mbi 100 km nga gjykata ku është thirrur për të kryer ekspertizën, atij i përballohen shpenzimet e mëposhtme:</w:t>
      </w:r>
    </w:p>
    <w:p w:rsidR="00DF3E05" w:rsidRPr="00384852" w:rsidRDefault="00DF3E05" w:rsidP="00DF3E05">
      <w:pPr>
        <w:pStyle w:val="Paragrafi"/>
      </w:pPr>
      <w:r>
        <w:t xml:space="preserve">i) </w:t>
      </w:r>
      <w:r w:rsidRPr="00384852">
        <w:t>Dietë ditore, jo më shumë se 2</w:t>
      </w:r>
      <w:r>
        <w:t xml:space="preserve"> </w:t>
      </w:r>
      <w:r w:rsidRPr="00384852">
        <w:t>500 (dy mijë e pesëqind) lekë në ditë, kur ekspertiza zgjat më shumë se një ditë. Për efekt të llogaritjes së dietës, në këtë rast, data e nisjes dhe ajo e kthimit llogariten një ditë e plotë;</w:t>
      </w:r>
    </w:p>
    <w:p w:rsidR="00DF3E05" w:rsidRPr="00384852" w:rsidRDefault="00DF3E05" w:rsidP="00DF3E05">
      <w:pPr>
        <w:pStyle w:val="Paragrafi"/>
      </w:pPr>
      <w:r>
        <w:t xml:space="preserve">ii) </w:t>
      </w:r>
      <w:r w:rsidRPr="00384852">
        <w:t>Shpenzimet e fjetjes, kundrejt dokumentit tatimor përkatës, në bazë të legjislacionit në fuqi për procedurat tatimore, të paraqitur nga hoteli e të shoqëruar me kuponin tatimor, por jo më shumë se 3 000 (tre mijë) lekë, për çdo natë;</w:t>
      </w:r>
    </w:p>
    <w:p w:rsidR="00DF3E05" w:rsidRPr="00384852" w:rsidRDefault="00DF3E05" w:rsidP="00DF3E05">
      <w:pPr>
        <w:pStyle w:val="Paragrafi"/>
      </w:pPr>
      <w:r>
        <w:t xml:space="preserve">iii) </w:t>
      </w:r>
      <w:r w:rsidRPr="00384852">
        <w:t xml:space="preserve">Shpenzimet e transportit, kundrejt dokumentit tatimor përkatës, në bazë të legjislacionit në fuqi për procedurat tatimore, por jo më shumë se tarifa përkatëse, sipas distancës kilometrike të linjës, të miratuar me vendimin nr.66, datë </w:t>
      </w:r>
      <w:r>
        <w:t>27.2.2007 të Këshillit të Ministrave</w:t>
      </w:r>
      <w:r w:rsidRPr="00384852">
        <w:t xml:space="preserve"> “Për ndryshimin e tarifave të transportit të udhëtarëve”, të ndryshuar.</w:t>
      </w:r>
    </w:p>
    <w:p w:rsidR="00DF3E05" w:rsidRPr="00384852" w:rsidRDefault="00DF3E05" w:rsidP="00DF3E05">
      <w:pPr>
        <w:pStyle w:val="Paragrafi"/>
      </w:pPr>
      <w:r>
        <w:t xml:space="preserve">2. </w:t>
      </w:r>
      <w:r w:rsidRPr="00384852">
        <w:t>Pagesa për punën e kryer për ekspertimin nga eksperti i licencuar nuk mund të tejkalojë shumën 40 000 (dyzet mijë) lekë.</w:t>
      </w:r>
    </w:p>
    <w:p w:rsidR="00DF3E05" w:rsidRPr="00384852" w:rsidRDefault="00DF3E05" w:rsidP="00DF3E05">
      <w:pPr>
        <w:pStyle w:val="Paragrafi"/>
      </w:pPr>
      <w:r w:rsidRPr="00384852">
        <w:t xml:space="preserve"> </w:t>
      </w:r>
      <w:r>
        <w:t xml:space="preserve">III. </w:t>
      </w:r>
      <w:r w:rsidRPr="00384852">
        <w:t>KRITERET  E PËRCAKTIMIT TË SHPENZIMEVE TË DËSHMITARËVE</w:t>
      </w:r>
    </w:p>
    <w:p w:rsidR="00DF3E05" w:rsidRPr="00384852" w:rsidRDefault="00DF3E05" w:rsidP="00DF3E05">
      <w:pPr>
        <w:pStyle w:val="Paragrafi"/>
      </w:pPr>
      <w:r w:rsidRPr="00384852">
        <w:t>1.</w:t>
      </w:r>
      <w:r>
        <w:t xml:space="preserve"> </w:t>
      </w:r>
      <w:r w:rsidRPr="00384852">
        <w:t>Caktimi i shpenzimeve, që u takon dëshmitarëve, bëhet, si më poshtë vijon:</w:t>
      </w:r>
    </w:p>
    <w:p w:rsidR="00DF3E05" w:rsidRPr="00384852" w:rsidRDefault="00DF3E05" w:rsidP="00DF3E05">
      <w:pPr>
        <w:pStyle w:val="Paragrafi"/>
      </w:pPr>
      <w:r>
        <w:t xml:space="preserve">a) </w:t>
      </w:r>
      <w:r w:rsidRPr="00384852">
        <w:t xml:space="preserve">Kur dëshmitari banon në një largësi deri në 100 km nga gjykata ku është thirrur për të dëshmuar, mbulimi i shpenzimeve të përfshijë vetëm shpenzimet e transportit, kundrejt dokumentit tatimor përkatës, por jo më shumë se tarifat përkatëse sipas distancës kilometrike të linjës, të miratuar me </w:t>
      </w:r>
      <w:r>
        <w:t>vendimin nr.307, datë 20.7.1992 të Këshillit të Ministrave</w:t>
      </w:r>
      <w:r w:rsidRPr="00384852">
        <w:t xml:space="preserve"> “Për ndryshimin e tarifave të transportit të udhëtarëve”.</w:t>
      </w:r>
    </w:p>
    <w:p w:rsidR="00DF3E05" w:rsidRDefault="00DF3E05" w:rsidP="00DF3E05">
      <w:pPr>
        <w:pStyle w:val="Paragrafi"/>
      </w:pPr>
      <w:r>
        <w:lastRenderedPageBreak/>
        <w:t xml:space="preserve"> b) </w:t>
      </w:r>
      <w:r w:rsidRPr="00384852">
        <w:t>Kur dëshmitari banon në një largësi mbi 100 km nga gjykata ku është thirrur për të dëshmuar, atij i përb</w:t>
      </w:r>
      <w:r>
        <w:t>allohen shpenzimet e mëposhtme:</w:t>
      </w:r>
    </w:p>
    <w:p w:rsidR="00DF3E05" w:rsidRDefault="00DF3E05" w:rsidP="00DF3E05">
      <w:pPr>
        <w:pStyle w:val="Paragrafi"/>
      </w:pPr>
      <w:r>
        <w:t xml:space="preserve">i) </w:t>
      </w:r>
      <w:r w:rsidRPr="00384852">
        <w:t xml:space="preserve">Dietë ditore, në masën jo më shumë se 2 500 (dy mijë e pesëqind) lekë në ditë; </w:t>
      </w:r>
    </w:p>
    <w:p w:rsidR="00DF3E05" w:rsidRPr="00384852" w:rsidRDefault="00DF3E05" w:rsidP="00DF3E05">
      <w:pPr>
        <w:pStyle w:val="Paragrafi"/>
      </w:pPr>
      <w:r w:rsidRPr="00384852">
        <w:t>ii</w:t>
      </w:r>
      <w:r>
        <w:t xml:space="preserve">) </w:t>
      </w:r>
      <w:r w:rsidRPr="00384852">
        <w:t>Shpenzimet e fjetjes, kundrejt dokumentit tatimor përkatës, në bazë të legjislacionit në fuqi për procedurat tatimore, të paraqitur nga hoteli e të shoqëruar me kuponin tatimor, por jo më shumë se 3000 (tre mijë) lekë, për çdo natë;</w:t>
      </w:r>
    </w:p>
    <w:p w:rsidR="00DF3E05" w:rsidRDefault="00DF3E05" w:rsidP="00DF3E05">
      <w:pPr>
        <w:pStyle w:val="Paragrafi"/>
      </w:pPr>
      <w:r>
        <w:t xml:space="preserve"> iii) </w:t>
      </w:r>
      <w:r w:rsidRPr="00384852">
        <w:t xml:space="preserve">Shpenzimet   e   transportit,  kundrejt    dokumentit   tatimor përkatës, në bazë të legjislacionit në fuqi për procedurat tatimore, por jo më shumë se tarifa përkatëse, sipas distancës kilometrike të linjës, të miratuar me </w:t>
      </w:r>
      <w:r>
        <w:t>vendimin nr.307, datë 20.7.1992 të Këshillit të Ministrave</w:t>
      </w:r>
      <w:r w:rsidRPr="00384852">
        <w:t xml:space="preserve"> “Për tarifat e transportit të udhëtarëve”.</w:t>
      </w:r>
    </w:p>
    <w:p w:rsidR="00DF3E05" w:rsidRPr="00384852" w:rsidRDefault="00DF3E05" w:rsidP="00DF3E05">
      <w:pPr>
        <w:pStyle w:val="Paragrafi"/>
      </w:pPr>
      <w:r w:rsidRPr="00384852">
        <w:t>c)</w:t>
      </w:r>
      <w:r>
        <w:t xml:space="preserve"> </w:t>
      </w:r>
      <w:r w:rsidRPr="00384852">
        <w:t>Kur dëshmitari largohet nga vend i punës, shpërblehet në vlerë të  barabartë me pagën ditore të ndërprerë. Shpërblimi kërkohet nga dëshmitari me anë të paraqitjes së një dokumenti me karakter vërtetues të vendit të punës dhe vlerës së pagës.</w:t>
      </w:r>
    </w:p>
    <w:p w:rsidR="00DF3E05" w:rsidRPr="00384852" w:rsidRDefault="00DF3E05" w:rsidP="00DF3E05">
      <w:pPr>
        <w:pStyle w:val="Paragrafi"/>
      </w:pPr>
      <w:r w:rsidRPr="00384852">
        <w:t>2. Nuk gëzojnë të drejtën e pagesës për dëshmitë e dhëna të dënuarit gjatë vuajtjes së dënimit në institucionet e ekzekutimit të vendimeve penale.</w:t>
      </w:r>
    </w:p>
    <w:p w:rsidR="00DF3E05" w:rsidRPr="00384852" w:rsidRDefault="00DF3E05" w:rsidP="00DF3E05">
      <w:pPr>
        <w:pStyle w:val="Paragrafi"/>
      </w:pPr>
      <w:r>
        <w:t xml:space="preserve">IV. </w:t>
      </w:r>
      <w:r w:rsidRPr="00384852">
        <w:t xml:space="preserve">SHPENZIME TË VEÇANTA  </w:t>
      </w:r>
    </w:p>
    <w:p w:rsidR="00DF3E05" w:rsidRPr="00384852" w:rsidRDefault="00DF3E05" w:rsidP="00DF3E05">
      <w:pPr>
        <w:pStyle w:val="Paragrafi"/>
      </w:pPr>
      <w:r w:rsidRPr="00384852">
        <w:t>Pagesat e përkthyesve të caktohen në bazë të udhëzimit të përbashkët të Ministrit të Drejtësisë dhe të Ministrit të Fin</w:t>
      </w:r>
      <w:r>
        <w:t>ancave, nr.3165, datë 12.5.2004</w:t>
      </w:r>
      <w:r w:rsidRPr="00384852">
        <w:t xml:space="preserve"> “Për  kriteret dhe procedurat e përzgjedhjes së përkthyesve të jashtëm, tarifat e pagesës së përkthyesve të jashtëm dhe tarifat e përkthimit zyrtar që duhet të paguajnë të tretët”, në bazë faqesh. Në rast se përkthyesit do të thirren për t’u paraqitur në gjykatë për të kryer shërbimet e tyre, përveç pagesës, u mbulohen </w:t>
      </w:r>
      <w:r>
        <w:t>edhe shpenzimet ditore në të një</w:t>
      </w:r>
      <w:r w:rsidRPr="00384852">
        <w:t xml:space="preserve">jtën masë, referuar ekspertëve dhe dëshmitarëve. </w:t>
      </w:r>
    </w:p>
    <w:p w:rsidR="00DF3E05" w:rsidRPr="00384852" w:rsidRDefault="00DF3E05" w:rsidP="00DF3E05">
      <w:pPr>
        <w:pStyle w:val="Paragrafi"/>
      </w:pPr>
      <w:r>
        <w:t xml:space="preserve">V. </w:t>
      </w:r>
      <w:r w:rsidRPr="00384852">
        <w:t>DISPOZITA TË FUNDIT</w:t>
      </w:r>
    </w:p>
    <w:p w:rsidR="00DF3E05" w:rsidRPr="00384852" w:rsidRDefault="00DF3E05" w:rsidP="00DF3E05">
      <w:pPr>
        <w:pStyle w:val="Paragrafi"/>
      </w:pPr>
      <w:r>
        <w:t xml:space="preserve">1. </w:t>
      </w:r>
      <w:r w:rsidRPr="00384852">
        <w:t>Dokument tatimor, për efekt të këtij udhëzimi, do të konsiderohet çdo biletë transporti e miratuar nga Ministria e Financave, Drejtoria e Përgjithshme e Tatimeve, si dhe çdo faturë e thjeshtë apo me TVSH, e cila detyrimisht duhet të shoqërohet me kupon tatimor.</w:t>
      </w:r>
    </w:p>
    <w:p w:rsidR="00DF3E05" w:rsidRPr="00384852" w:rsidRDefault="00DF3E05" w:rsidP="00DF3E05">
      <w:pPr>
        <w:pStyle w:val="Paragrafi"/>
      </w:pPr>
      <w:r>
        <w:t xml:space="preserve">2. </w:t>
      </w:r>
      <w:r w:rsidRPr="00384852">
        <w:t>Ngarkohen Ministria e Drejtësisë dhe Ministria e Financave për zbatimin e këtij udhëzimi.</w:t>
      </w:r>
    </w:p>
    <w:p w:rsidR="00DF3E05" w:rsidRPr="00384852" w:rsidRDefault="00DF3E05" w:rsidP="00DF3E05">
      <w:pPr>
        <w:pStyle w:val="Paragrafi"/>
      </w:pPr>
      <w:r w:rsidRPr="00384852">
        <w:t>Ky udhëzim hyn në fuqi pas botimit në Fletoren Zyrtare.</w:t>
      </w:r>
    </w:p>
    <w:p w:rsidR="00DF3E05" w:rsidRDefault="00DF3E05" w:rsidP="00DF3E05">
      <w:pPr>
        <w:pStyle w:val="Autoriteti"/>
        <w:keepNext w:val="0"/>
      </w:pPr>
      <w:r>
        <w:t>Kryeministri</w:t>
      </w:r>
    </w:p>
    <w:p w:rsidR="00DF3E05" w:rsidRDefault="00DF3E05" w:rsidP="00DF3E05">
      <w:pPr>
        <w:pStyle w:val="AutoritetiEmer"/>
      </w:pPr>
      <w:r>
        <w:t>Sali Berisha</w:t>
      </w:r>
    </w:p>
    <w:p w:rsidR="00000000" w:rsidRDefault="00DF3E05"/>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defaultTabStop w:val="720"/>
  <w:characterSpacingControl w:val="doNotCompress"/>
  <w:compat>
    <w:useFELayout/>
  </w:compat>
  <w:rsids>
    <w:rsidRoot w:val="00DF3E05"/>
    <w:rsid w:val="00DF3E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F3E05"/>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Autoriteti">
    <w:name w:val="Autoriteti"/>
    <w:next w:val="Normal"/>
    <w:link w:val="AutoritetiChar"/>
    <w:rsid w:val="00DF3E05"/>
    <w:pPr>
      <w:keepNext/>
      <w:widowControl w:val="0"/>
      <w:spacing w:after="0" w:line="240" w:lineRule="auto"/>
      <w:jc w:val="right"/>
    </w:pPr>
    <w:rPr>
      <w:rFonts w:ascii="CG Times" w:eastAsia="MS Mincho" w:hAnsi="CG Times" w:cs="CG Times"/>
      <w:caps/>
      <w:lang w:val="en-GB"/>
    </w:rPr>
  </w:style>
  <w:style w:type="paragraph" w:customStyle="1" w:styleId="AutoritetiEmer">
    <w:name w:val="Autoriteti_Emer"/>
    <w:next w:val="Normal"/>
    <w:rsid w:val="00DF3E05"/>
    <w:pPr>
      <w:widowControl w:val="0"/>
      <w:spacing w:after="0" w:line="240" w:lineRule="auto"/>
      <w:jc w:val="right"/>
    </w:pPr>
    <w:rPr>
      <w:rFonts w:ascii="CG Times" w:eastAsia="MS Mincho" w:hAnsi="CG Times" w:cs="CG Times"/>
      <w:b/>
      <w:bCs/>
      <w:lang w:val="en-GB"/>
    </w:rPr>
  </w:style>
  <w:style w:type="paragraph" w:customStyle="1" w:styleId="NumriData">
    <w:name w:val="Numri_Data"/>
    <w:next w:val="Normal"/>
    <w:link w:val="NumriDataChar"/>
    <w:rsid w:val="00DF3E05"/>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locked/>
    <w:rsid w:val="00DF3E05"/>
    <w:rPr>
      <w:rFonts w:ascii="CG Times" w:eastAsia="MS Mincho" w:hAnsi="CG Times" w:cs="CG Times"/>
      <w:b/>
      <w:bCs/>
      <w:lang w:val="en-GB"/>
    </w:rPr>
  </w:style>
  <w:style w:type="paragraph" w:customStyle="1" w:styleId="Paragrafi">
    <w:name w:val="Paragrafi"/>
    <w:link w:val="ParagrafiChar"/>
    <w:rsid w:val="00DF3E05"/>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DF3E05"/>
    <w:rPr>
      <w:rFonts w:ascii="CG Times" w:eastAsia="MS Mincho" w:hAnsi="CG Times" w:cs="CG Times"/>
    </w:rPr>
  </w:style>
  <w:style w:type="paragraph" w:customStyle="1" w:styleId="Titulli">
    <w:name w:val="Titulli"/>
    <w:next w:val="Normal"/>
    <w:link w:val="TitulliChar"/>
    <w:rsid w:val="00DF3E05"/>
    <w:pPr>
      <w:keepNext/>
      <w:widowControl w:val="0"/>
      <w:spacing w:after="0" w:line="240" w:lineRule="auto"/>
      <w:jc w:val="center"/>
      <w:outlineLvl w:val="1"/>
    </w:pPr>
    <w:rPr>
      <w:rFonts w:ascii="CG Times" w:eastAsia="MS Mincho" w:hAnsi="CG Times" w:cs="CG Times"/>
      <w:b/>
      <w:bCs/>
      <w:caps/>
      <w:lang w:val="en-GB"/>
    </w:rPr>
  </w:style>
  <w:style w:type="paragraph" w:customStyle="1" w:styleId="VENDOSI">
    <w:name w:val="VENDOSI"/>
    <w:next w:val="Normal"/>
    <w:link w:val="VENDOSIChar"/>
    <w:rsid w:val="00DF3E05"/>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DF3E05"/>
    <w:rPr>
      <w:rFonts w:ascii="CG Times" w:eastAsia="MS Mincho" w:hAnsi="CG Times" w:cs="CG Times"/>
      <w:caps/>
      <w:lang w:val="en-GB"/>
    </w:rPr>
  </w:style>
  <w:style w:type="character" w:customStyle="1" w:styleId="TitulliChar">
    <w:name w:val="Titulli Char"/>
    <w:basedOn w:val="DefaultParagraphFont"/>
    <w:link w:val="Titulli"/>
    <w:rsid w:val="00DF3E05"/>
    <w:rPr>
      <w:rFonts w:ascii="CG Times" w:eastAsia="MS Mincho" w:hAnsi="CG Times" w:cs="CG Times"/>
      <w:b/>
      <w:bCs/>
      <w:caps/>
      <w:lang w:val="en-GB"/>
    </w:rPr>
  </w:style>
  <w:style w:type="character" w:customStyle="1" w:styleId="AutoritetiChar">
    <w:name w:val="Autoriteti Char"/>
    <w:basedOn w:val="DefaultParagraphFont"/>
    <w:link w:val="Autoriteti"/>
    <w:locked/>
    <w:rsid w:val="00DF3E05"/>
    <w:rPr>
      <w:rFonts w:ascii="CG Times" w:eastAsia="MS Mincho" w:hAnsi="CG Times" w:cs="CG Times"/>
      <w:caps/>
      <w:lang w:val="en-GB"/>
    </w:rPr>
  </w:style>
  <w:style w:type="character" w:customStyle="1" w:styleId="AktiChar">
    <w:name w:val="Akti Char"/>
    <w:basedOn w:val="DefaultParagraphFont"/>
    <w:link w:val="Akti"/>
    <w:rsid w:val="00DF3E05"/>
    <w:rPr>
      <w:rFonts w:ascii="CG Times" w:eastAsia="MS Mincho" w:hAnsi="CG Times" w:cs="CG Times"/>
      <w:b/>
      <w:bCs/>
      <w:caps/>
      <w:color w:val="00000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812</Words>
  <Characters>4632</Characters>
  <Application>Microsoft Office Word</Application>
  <DocSecurity>0</DocSecurity>
  <Lines>38</Lines>
  <Paragraphs>10</Paragraphs>
  <ScaleCrop>false</ScaleCrop>
  <Company>Grizli777</Company>
  <LinksUpToDate>false</LinksUpToDate>
  <CharactersWithSpaces>5434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2014-09-04T08:37:00Z</dcterms:created>
  <dcterms:modified xsi:type="dcterms:W3CDTF">2014-09-04T08:37:00Z</dcterms:modified>
</cp:coreProperties>
</file>