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CF329" w14:textId="77777777" w:rsidR="00D53BD9" w:rsidRPr="00D53BD9" w:rsidRDefault="00D53BD9" w:rsidP="005506C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D53BD9">
        <w:rPr>
          <w:rFonts w:ascii="Garamond" w:eastAsiaTheme="minorHAnsi" w:hAnsi="Garamond"/>
          <w:b/>
          <w:bCs/>
          <w:color w:val="000000"/>
          <w:sz w:val="24"/>
          <w:szCs w:val="24"/>
          <w:lang w:val="sq-AL"/>
        </w:rPr>
        <w:t>UDHËZIM</w:t>
      </w:r>
    </w:p>
    <w:p w14:paraId="66CCF32A" w14:textId="77777777" w:rsidR="00D53BD9" w:rsidRPr="00D53BD9" w:rsidRDefault="00D53BD9" w:rsidP="005506C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D53BD9">
        <w:rPr>
          <w:rFonts w:ascii="Garamond" w:eastAsiaTheme="minorHAnsi" w:hAnsi="Garamond"/>
          <w:b/>
          <w:bCs/>
          <w:color w:val="000000"/>
          <w:sz w:val="24"/>
          <w:szCs w:val="24"/>
          <w:lang w:val="sq-AL"/>
        </w:rPr>
        <w:t xml:space="preserve">Nr. </w:t>
      </w:r>
      <w:r w:rsidR="005506CC">
        <w:rPr>
          <w:rFonts w:ascii="Garamond" w:eastAsiaTheme="minorHAnsi" w:hAnsi="Garamond"/>
          <w:b/>
          <w:bCs/>
          <w:color w:val="000000"/>
          <w:sz w:val="24"/>
          <w:szCs w:val="24"/>
          <w:lang w:val="sq-AL"/>
        </w:rPr>
        <w:t>1</w:t>
      </w:r>
      <w:r w:rsidRPr="00D53BD9">
        <w:rPr>
          <w:rFonts w:ascii="Garamond" w:eastAsiaTheme="minorHAnsi" w:hAnsi="Garamond"/>
          <w:b/>
          <w:bCs/>
          <w:color w:val="000000"/>
          <w:sz w:val="24"/>
          <w:szCs w:val="24"/>
          <w:lang w:val="sq-AL"/>
        </w:rPr>
        <w:t xml:space="preserve">, datë </w:t>
      </w:r>
      <w:r w:rsidR="005506CC">
        <w:rPr>
          <w:rFonts w:ascii="Garamond" w:eastAsiaTheme="minorHAnsi" w:hAnsi="Garamond"/>
          <w:b/>
          <w:bCs/>
          <w:color w:val="000000"/>
          <w:sz w:val="24"/>
          <w:szCs w:val="24"/>
          <w:lang w:val="sq-AL"/>
        </w:rPr>
        <w:t>26.5.2022</w:t>
      </w:r>
    </w:p>
    <w:p w14:paraId="66CCF32B" w14:textId="77777777" w:rsidR="00D53BD9" w:rsidRPr="00D53BD9" w:rsidRDefault="00D53BD9" w:rsidP="005506C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6CCF32C" w14:textId="77777777" w:rsidR="00D53BD9" w:rsidRPr="00D53BD9" w:rsidRDefault="00D53BD9" w:rsidP="005506CC">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D53BD9">
        <w:rPr>
          <w:rFonts w:ascii="Garamond" w:eastAsiaTheme="minorHAnsi" w:hAnsi="Garamond"/>
          <w:b/>
          <w:bCs/>
          <w:color w:val="000000"/>
          <w:sz w:val="24"/>
          <w:szCs w:val="24"/>
          <w:lang w:val="sq-AL"/>
        </w:rPr>
        <w:t>PËR PËRCAKTIMIN E RREGULLAVE PËR HEQJEN DORË</w:t>
      </w:r>
      <w:r>
        <w:rPr>
          <w:rFonts w:ascii="Garamond" w:eastAsiaTheme="minorHAnsi" w:hAnsi="Garamond"/>
          <w:b/>
          <w:bCs/>
          <w:color w:val="000000"/>
          <w:sz w:val="24"/>
          <w:szCs w:val="24"/>
          <w:lang w:val="sq-AL"/>
        </w:rPr>
        <w:t xml:space="preserve"> </w:t>
      </w:r>
      <w:r w:rsidRPr="00D53BD9">
        <w:rPr>
          <w:rFonts w:ascii="Garamond" w:eastAsiaTheme="minorHAnsi" w:hAnsi="Garamond"/>
          <w:b/>
          <w:bCs/>
          <w:color w:val="000000"/>
          <w:sz w:val="24"/>
          <w:szCs w:val="24"/>
          <w:lang w:val="sq-AL"/>
        </w:rPr>
        <w:t>NGA REKURSET E DEPOZITUARA NGA ADMINISTRATA SHTETËRORE NËN PËRGJEGJËSINË E KËSHILLIT TË MINISTRAVE, TË PASHQYRTUARA NGA GJYKATA E LARTË, PËR DISA ÇËSHTJE ME NATYRË CIVILE DHE ADMINISTRATIVE</w:t>
      </w:r>
    </w:p>
    <w:p w14:paraId="66CCF32D"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66CCF32E" w14:textId="6E36159E"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Në mbështetje të nenit 100 të Kushtetutës, të nenit 472 e vijues të Kodit të Procedurës Civile dhe të nenit 56 e vijues të ligjit nr.</w:t>
      </w:r>
      <w:r w:rsidR="00E357D8">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49/2012, “Për gjykatat administrative dhe gjykimin e mosmarrëveshjeve administrative”, të ndryshuar, duke mbajtur në konsideratë stokun e çështjeve gjyqësore të prapambetura dhe numrin e lartë të çështjeve të reja që regjistrohen në Gjykatën e Lartë, ngarkesën e krijuar për shkak të numrit të vogël të gjyqtarëve efektivë në Gjykatën e Lartë, si dhe rëndësinë jetike të rritjes së </w:t>
      </w:r>
      <w:proofErr w:type="spellStart"/>
      <w:r w:rsidRPr="00D53BD9">
        <w:rPr>
          <w:rFonts w:ascii="Garamond" w:eastAsiaTheme="minorHAnsi" w:hAnsi="Garamond"/>
          <w:color w:val="000000"/>
          <w:sz w:val="24"/>
          <w:szCs w:val="24"/>
          <w:lang w:val="sq-AL"/>
        </w:rPr>
        <w:t>efi</w:t>
      </w:r>
      <w:r w:rsidR="00E357D8">
        <w:rPr>
          <w:rFonts w:ascii="Garamond" w:eastAsiaTheme="minorHAnsi" w:hAnsi="Garamond"/>
          <w:color w:val="000000"/>
          <w:sz w:val="24"/>
          <w:szCs w:val="24"/>
          <w:lang w:val="sq-AL"/>
        </w:rPr>
        <w:t>ci</w:t>
      </w:r>
      <w:r w:rsidRPr="00D53BD9">
        <w:rPr>
          <w:rFonts w:ascii="Garamond" w:eastAsiaTheme="minorHAnsi" w:hAnsi="Garamond"/>
          <w:color w:val="000000"/>
          <w:sz w:val="24"/>
          <w:szCs w:val="24"/>
          <w:lang w:val="sq-AL"/>
        </w:rPr>
        <w:t>encës</w:t>
      </w:r>
      <w:proofErr w:type="spellEnd"/>
      <w:r w:rsidRPr="00D53BD9">
        <w:rPr>
          <w:rFonts w:ascii="Garamond" w:eastAsiaTheme="minorHAnsi" w:hAnsi="Garamond"/>
          <w:color w:val="000000"/>
          <w:sz w:val="24"/>
          <w:szCs w:val="24"/>
          <w:lang w:val="sq-AL"/>
        </w:rPr>
        <w:t xml:space="preserve"> në sistemin e drejtësisë dhe zbatimin e plotë të reformës në drejtësi, si një nga objektivat dhe prioritetet madhore të Këshillit të Ministrave, me propozimin e ministrit të Drejtësisë, Këshilli i Ministrave</w:t>
      </w:r>
    </w:p>
    <w:p w14:paraId="66CCF32F" w14:textId="77777777" w:rsidR="00D53BD9" w:rsidRPr="00D53BD9" w:rsidRDefault="00D53BD9" w:rsidP="00D53BD9">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66CCF330" w14:textId="77777777" w:rsidR="00D53BD9" w:rsidRPr="00D53BD9" w:rsidRDefault="00D53BD9" w:rsidP="00D53BD9">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D53BD9">
        <w:rPr>
          <w:rFonts w:ascii="Garamond" w:eastAsiaTheme="minorHAnsi" w:hAnsi="Garamond"/>
          <w:bCs/>
          <w:color w:val="000000"/>
          <w:sz w:val="24"/>
          <w:szCs w:val="24"/>
          <w:lang w:val="sq-AL"/>
        </w:rPr>
        <w:t>UDHËZON:</w:t>
      </w:r>
    </w:p>
    <w:p w14:paraId="66CCF331"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66CCF332"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1.</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Administrata shtetërore, nën përgjegjësinë e Këshillit të Ministrave, heq dorë nga rekurset e paraqitura përpara hyrjes në fuqi të këtij udhëzimi, kundër vendimeve të gjykatave të apelit dhe të Gjykatës Administrative të Apelit, për çështjet me natyrë civile dhe administrative me objekt:</w:t>
      </w:r>
    </w:p>
    <w:p w14:paraId="66CCF333" w14:textId="02C0486F"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a)</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zgjidhjen e mosmarrëveshjeve që lindin nga marrëdhëniet e punës, në të cilat administrata shtetërore, në përgjegjësinë e Këshillit të Ministrave, shfaqet në cilësinë e punëdhënësit, kur gjykata e apelit apo Gjykata Administrative e Apelit ka vendosur lënien në fuqi ose ndryshimin e vendimit të gjykatës së shkallës së parë që ka vendosur pranimin e padisë dhe përmbushjen e detyrimit nga institucioni, në vlerë më të vogël se </w:t>
      </w:r>
      <w:proofErr w:type="spellStart"/>
      <w:r w:rsidRPr="00D53BD9">
        <w:rPr>
          <w:rFonts w:ascii="Garamond" w:eastAsiaTheme="minorHAnsi" w:hAnsi="Garamond"/>
          <w:color w:val="000000"/>
          <w:sz w:val="24"/>
          <w:szCs w:val="24"/>
          <w:lang w:val="sq-AL"/>
        </w:rPr>
        <w:t>dyzetfishi</w:t>
      </w:r>
      <w:proofErr w:type="spellEnd"/>
      <w:r w:rsidRPr="00D53BD9">
        <w:rPr>
          <w:rFonts w:ascii="Garamond" w:eastAsiaTheme="minorHAnsi" w:hAnsi="Garamond"/>
          <w:color w:val="000000"/>
          <w:sz w:val="24"/>
          <w:szCs w:val="24"/>
          <w:lang w:val="sq-AL"/>
        </w:rPr>
        <w:t xml:space="preserve"> i pagës minimale, në shkallë vendi;</w:t>
      </w:r>
    </w:p>
    <w:p w14:paraId="66CCF334"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b)</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njohjen/vërtetimin e vjetërsisë në punë, si dhe vërtetësinë/pavërtetësinë/njohjen e të dhënave të dokumentit (librezë pune, regjistër themeltar, </w:t>
      </w:r>
      <w:proofErr w:type="spellStart"/>
      <w:r w:rsidRPr="00D53BD9">
        <w:rPr>
          <w:rFonts w:ascii="Garamond" w:eastAsiaTheme="minorHAnsi" w:hAnsi="Garamond"/>
          <w:color w:val="000000"/>
          <w:sz w:val="24"/>
          <w:szCs w:val="24"/>
          <w:lang w:val="sq-AL"/>
        </w:rPr>
        <w:t>listëpagesa</w:t>
      </w:r>
      <w:proofErr w:type="spellEnd"/>
      <w:r w:rsidRPr="00D53BD9">
        <w:rPr>
          <w:rFonts w:ascii="Garamond" w:eastAsiaTheme="minorHAnsi" w:hAnsi="Garamond"/>
          <w:color w:val="000000"/>
          <w:sz w:val="24"/>
          <w:szCs w:val="24"/>
          <w:lang w:val="sq-AL"/>
        </w:rPr>
        <w:t>, libër pagash, vërtetim e të tjerë);</w:t>
      </w:r>
    </w:p>
    <w:p w14:paraId="66CCF335"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c)</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shpërblimin për dëmet pasurore apo </w:t>
      </w:r>
      <w:proofErr w:type="spellStart"/>
      <w:r w:rsidRPr="00D53BD9">
        <w:rPr>
          <w:rFonts w:ascii="Garamond" w:eastAsiaTheme="minorHAnsi" w:hAnsi="Garamond"/>
          <w:color w:val="000000"/>
          <w:sz w:val="24"/>
          <w:szCs w:val="24"/>
          <w:lang w:val="sq-AL"/>
        </w:rPr>
        <w:t>jopasurore</w:t>
      </w:r>
      <w:proofErr w:type="spellEnd"/>
      <w:r w:rsidRPr="00D53BD9">
        <w:rPr>
          <w:rFonts w:ascii="Garamond" w:eastAsiaTheme="minorHAnsi" w:hAnsi="Garamond"/>
          <w:color w:val="000000"/>
          <w:sz w:val="24"/>
          <w:szCs w:val="24"/>
          <w:lang w:val="sq-AL"/>
        </w:rPr>
        <w:t xml:space="preserve">, </w:t>
      </w:r>
      <w:proofErr w:type="spellStart"/>
      <w:r w:rsidRPr="00D53BD9">
        <w:rPr>
          <w:rFonts w:ascii="Garamond" w:eastAsiaTheme="minorHAnsi" w:hAnsi="Garamond"/>
          <w:color w:val="000000"/>
          <w:sz w:val="24"/>
          <w:szCs w:val="24"/>
          <w:lang w:val="sq-AL"/>
        </w:rPr>
        <w:t>kontraktore</w:t>
      </w:r>
      <w:proofErr w:type="spellEnd"/>
      <w:r w:rsidRPr="00D53BD9">
        <w:rPr>
          <w:rFonts w:ascii="Garamond" w:eastAsiaTheme="minorHAnsi" w:hAnsi="Garamond"/>
          <w:color w:val="000000"/>
          <w:sz w:val="24"/>
          <w:szCs w:val="24"/>
          <w:lang w:val="sq-AL"/>
        </w:rPr>
        <w:t xml:space="preserve"> ose </w:t>
      </w:r>
      <w:proofErr w:type="spellStart"/>
      <w:r w:rsidRPr="00D53BD9">
        <w:rPr>
          <w:rFonts w:ascii="Garamond" w:eastAsiaTheme="minorHAnsi" w:hAnsi="Garamond"/>
          <w:color w:val="000000"/>
          <w:sz w:val="24"/>
          <w:szCs w:val="24"/>
          <w:lang w:val="sq-AL"/>
        </w:rPr>
        <w:t>jashtëkontraktore</w:t>
      </w:r>
      <w:proofErr w:type="spellEnd"/>
      <w:r w:rsidRPr="00D53BD9">
        <w:rPr>
          <w:rFonts w:ascii="Garamond" w:eastAsiaTheme="minorHAnsi" w:hAnsi="Garamond"/>
          <w:color w:val="000000"/>
          <w:sz w:val="24"/>
          <w:szCs w:val="24"/>
          <w:lang w:val="sq-AL"/>
        </w:rPr>
        <w:t xml:space="preserve"> ndaj personave fizikë e juridikë, privatë, vendas e të huaj, kur gjykata e apelit apo Gjykata Administrative e Apelit ka vendosur lënien në fuqi ose ndryshimin e vendimit të gjykatës së shkallës së parë që ka vendosur pranimin e padisë dhe shpërblimin e dëmit nga institucioni, në vlerë më të vogël se </w:t>
      </w:r>
      <w:proofErr w:type="spellStart"/>
      <w:r w:rsidRPr="00D53BD9">
        <w:rPr>
          <w:rFonts w:ascii="Garamond" w:eastAsiaTheme="minorHAnsi" w:hAnsi="Garamond"/>
          <w:color w:val="000000"/>
          <w:sz w:val="24"/>
          <w:szCs w:val="24"/>
          <w:lang w:val="sq-AL"/>
        </w:rPr>
        <w:t>dyzetfishi</w:t>
      </w:r>
      <w:proofErr w:type="spellEnd"/>
      <w:r w:rsidRPr="00D53BD9">
        <w:rPr>
          <w:rFonts w:ascii="Garamond" w:eastAsiaTheme="minorHAnsi" w:hAnsi="Garamond"/>
          <w:color w:val="000000"/>
          <w:sz w:val="24"/>
          <w:szCs w:val="24"/>
          <w:lang w:val="sq-AL"/>
        </w:rPr>
        <w:t xml:space="preserve"> i pagës minimale, në shkallë vendi;</w:t>
      </w:r>
    </w:p>
    <w:p w14:paraId="66CCF336"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 xml:space="preserve"> ç)</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ndryshimin, shfuqizimin apo konstatimin e pavlefshmërisë absolute të aktit administrativ, të nxjerrë nga organi publik, kur plotëson një nga këto kushte:</w:t>
      </w:r>
    </w:p>
    <w:p w14:paraId="66CCF337"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i.</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Këto kërkime nuk janë të shoqëruar me kërkimin për shpërblimin e dëmit apo për shlyerjen e detyrimeve të tjera financiare, si dhe nuk dëmtojnë interesat pasurore të shtetit; ose </w:t>
      </w:r>
    </w:p>
    <w:p w14:paraId="66CCF338"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D53BD9">
        <w:rPr>
          <w:rFonts w:ascii="Garamond" w:eastAsiaTheme="minorHAnsi" w:hAnsi="Garamond"/>
          <w:color w:val="000000"/>
          <w:sz w:val="24"/>
          <w:szCs w:val="24"/>
          <w:lang w:val="sq-AL"/>
        </w:rPr>
        <w:t>ii</w:t>
      </w:r>
      <w:proofErr w:type="spellEnd"/>
      <w:r w:rsidRPr="00D53BD9">
        <w:rPr>
          <w:rFonts w:ascii="Garamond" w:eastAsiaTheme="minorHAnsi" w:hAnsi="Garamond"/>
          <w:color w:val="000000"/>
          <w:sz w:val="24"/>
          <w:szCs w:val="24"/>
          <w:lang w:val="sq-AL"/>
        </w:rPr>
        <w:t>.</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Gjykata e apelit ose Gjykata Administrative e Apelit ka vendosur lënien në fuqi ose ndryshimin e vendimit të gjykatës së shkallës së parë për pranimin e padisë dhe detyrimin e organit publik për shpërblimin e dëmit apo shlyerjen e detyrimeve të tjera financiare, në vlerë më të vogël se </w:t>
      </w:r>
      <w:proofErr w:type="spellStart"/>
      <w:r w:rsidRPr="00D53BD9">
        <w:rPr>
          <w:rFonts w:ascii="Garamond" w:eastAsiaTheme="minorHAnsi" w:hAnsi="Garamond"/>
          <w:color w:val="000000"/>
          <w:sz w:val="24"/>
          <w:szCs w:val="24"/>
          <w:lang w:val="sq-AL"/>
        </w:rPr>
        <w:t>dyzetfishi</w:t>
      </w:r>
      <w:proofErr w:type="spellEnd"/>
      <w:r w:rsidRPr="00D53BD9">
        <w:rPr>
          <w:rFonts w:ascii="Garamond" w:eastAsiaTheme="minorHAnsi" w:hAnsi="Garamond"/>
          <w:color w:val="000000"/>
          <w:sz w:val="24"/>
          <w:szCs w:val="24"/>
          <w:lang w:val="sq-AL"/>
        </w:rPr>
        <w:t xml:space="preserve"> i pagës minimale, në shkallë vendi;</w:t>
      </w:r>
    </w:p>
    <w:p w14:paraId="66CCF339"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d)</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detyrimin e organit publik për të nxjerrë aktin administrativ për të kryer veprimin administrativ ose një veprim tjetër administrativ, kur plotëson një nga këto kushte:</w:t>
      </w:r>
    </w:p>
    <w:p w14:paraId="66CCF33A"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i.</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Këto kërkime nuk janë të shoqëruara me kërkimin për shpërblimin e dëmit apo për shlyerjen e detyrimeve të tjera financiare, si dhe nuk dëmtojnë interesat pasurore të shtetit; ose </w:t>
      </w:r>
    </w:p>
    <w:p w14:paraId="66CCF33B"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D53BD9">
        <w:rPr>
          <w:rFonts w:ascii="Garamond" w:eastAsiaTheme="minorHAnsi" w:hAnsi="Garamond"/>
          <w:color w:val="000000"/>
          <w:sz w:val="24"/>
          <w:szCs w:val="24"/>
          <w:lang w:val="sq-AL"/>
        </w:rPr>
        <w:t>ii</w:t>
      </w:r>
      <w:proofErr w:type="spellEnd"/>
      <w:r w:rsidRPr="00D53BD9">
        <w:rPr>
          <w:rFonts w:ascii="Garamond" w:eastAsiaTheme="minorHAnsi" w:hAnsi="Garamond"/>
          <w:color w:val="000000"/>
          <w:sz w:val="24"/>
          <w:szCs w:val="24"/>
          <w:lang w:val="sq-AL"/>
        </w:rPr>
        <w:t>.</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Gjykata e apelit ose Gjykata Administrative e Apelit ka vendosur lënien në fuqi ose ndryshimin e vendimit të gjykatës së shkallës së parë për pranimin e padisë dhe detyrimin e organit publik për shpërblimin e dëmit apo shlyerjen e detyrimeve të tjera financiare, në vlerë më të vogël se </w:t>
      </w:r>
      <w:proofErr w:type="spellStart"/>
      <w:r w:rsidRPr="00D53BD9">
        <w:rPr>
          <w:rFonts w:ascii="Garamond" w:eastAsiaTheme="minorHAnsi" w:hAnsi="Garamond"/>
          <w:color w:val="000000"/>
          <w:sz w:val="24"/>
          <w:szCs w:val="24"/>
          <w:lang w:val="sq-AL"/>
        </w:rPr>
        <w:t>dyzetfishi</w:t>
      </w:r>
      <w:proofErr w:type="spellEnd"/>
      <w:r w:rsidRPr="00D53BD9">
        <w:rPr>
          <w:rFonts w:ascii="Garamond" w:eastAsiaTheme="minorHAnsi" w:hAnsi="Garamond"/>
          <w:color w:val="000000"/>
          <w:sz w:val="24"/>
          <w:szCs w:val="24"/>
          <w:lang w:val="sq-AL"/>
        </w:rPr>
        <w:t xml:space="preserve"> i pagës minimale, në shkallë vendi.</w:t>
      </w:r>
    </w:p>
    <w:p w14:paraId="66CCF33C"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lastRenderedPageBreak/>
        <w:t>2.</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Përveç çështjeve me objekt të cilësuar, sipas pikës 1, të këtij udhëzimi, administrata shtetërore, nën përgjegjësinë e Këshillit të Ministrave, heq dorë nga rekurset e paraqitura, përpara hyrjes në fuqi të këtij udhëzimi edhe për:</w:t>
      </w:r>
    </w:p>
    <w:p w14:paraId="66CCF33D"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a)</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paditë e tjera, pavarësisht llojit të kërkimeve në objekt, të depozituara prej institucioneve të administratës shtetërore, nën përgjegjësinë e Këshillit të Ministrave, për të gjitha çështjet administrative dhe civile me vlerë më të vogël se </w:t>
      </w:r>
      <w:proofErr w:type="spellStart"/>
      <w:r w:rsidRPr="00D53BD9">
        <w:rPr>
          <w:rFonts w:ascii="Garamond" w:eastAsiaTheme="minorHAnsi" w:hAnsi="Garamond"/>
          <w:color w:val="000000"/>
          <w:sz w:val="24"/>
          <w:szCs w:val="24"/>
          <w:lang w:val="sq-AL"/>
        </w:rPr>
        <w:t>dyzetfishi</w:t>
      </w:r>
      <w:proofErr w:type="spellEnd"/>
      <w:r w:rsidRPr="00D53BD9">
        <w:rPr>
          <w:rFonts w:ascii="Garamond" w:eastAsiaTheme="minorHAnsi" w:hAnsi="Garamond"/>
          <w:color w:val="000000"/>
          <w:sz w:val="24"/>
          <w:szCs w:val="24"/>
          <w:lang w:val="sq-AL"/>
        </w:rPr>
        <w:t xml:space="preserve"> i pagës minimale, në shkallë vendi, për të cilat gjykatat e apelit ose Gjykata Administrative e Apelit kanë vendosur lënien në fuqi të vendimit të gjykatës së shkallës së parë për rrëzimin e padisë;</w:t>
      </w:r>
    </w:p>
    <w:p w14:paraId="66CCF33E"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b)</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paditë që, pavarësisht llojit të kërkimeve në objekt dhe vlerës së tyre, rezultojnë të kenë mbetur pa objekt, për shkak të shuarjes së rrethanave të çështjes;</w:t>
      </w:r>
    </w:p>
    <w:p w14:paraId="66CCF33F"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c)</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paditë për të cilat, pavarësisht llojit të kërkimeve në objekt, gjykata e apelit apo Gjykata Administrative e Apelit ka vendosur lënien në fuqi ose ndryshimin e vendimit të gjykatës së shkallës së parë për pranimin e padisë dhe përmbushjen e detyrimit dhe/ose shpërblimin e dëmit nga organi publik, në vlerë më të vogël se </w:t>
      </w:r>
      <w:proofErr w:type="spellStart"/>
      <w:r w:rsidRPr="00D53BD9">
        <w:rPr>
          <w:rFonts w:ascii="Garamond" w:eastAsiaTheme="minorHAnsi" w:hAnsi="Garamond"/>
          <w:color w:val="000000"/>
          <w:sz w:val="24"/>
          <w:szCs w:val="24"/>
          <w:lang w:val="sq-AL"/>
        </w:rPr>
        <w:t>dyzetfishi</w:t>
      </w:r>
      <w:proofErr w:type="spellEnd"/>
      <w:r w:rsidRPr="00D53BD9">
        <w:rPr>
          <w:rFonts w:ascii="Garamond" w:eastAsiaTheme="minorHAnsi" w:hAnsi="Garamond"/>
          <w:color w:val="000000"/>
          <w:sz w:val="24"/>
          <w:szCs w:val="24"/>
          <w:lang w:val="sq-AL"/>
        </w:rPr>
        <w:t xml:space="preserve"> i pagës minimale, në shkallë vendi, i cili është ekzekutuar plotësisht dhe që plotëson një nga kushtet e mëposhtme: </w:t>
      </w:r>
    </w:p>
    <w:p w14:paraId="66CCF340" w14:textId="043D3A5D"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i.</w:t>
      </w:r>
      <w:r>
        <w:rPr>
          <w:rFonts w:ascii="Garamond" w:eastAsiaTheme="minorHAnsi" w:hAnsi="Garamond"/>
          <w:color w:val="000000"/>
          <w:sz w:val="24"/>
          <w:szCs w:val="24"/>
          <w:lang w:val="sq-AL"/>
        </w:rPr>
        <w:t xml:space="preserve"> </w:t>
      </w:r>
      <w:r w:rsidR="00CF7428" w:rsidRPr="00D53BD9">
        <w:rPr>
          <w:rFonts w:ascii="Garamond" w:eastAsiaTheme="minorHAnsi" w:hAnsi="Garamond"/>
          <w:color w:val="000000"/>
          <w:sz w:val="24"/>
          <w:szCs w:val="24"/>
          <w:lang w:val="sq-AL"/>
        </w:rPr>
        <w:t>çë</w:t>
      </w:r>
      <w:r w:rsidRPr="00D53BD9">
        <w:rPr>
          <w:rFonts w:ascii="Garamond" w:eastAsiaTheme="minorHAnsi" w:hAnsi="Garamond"/>
          <w:color w:val="000000"/>
          <w:sz w:val="24"/>
          <w:szCs w:val="24"/>
          <w:lang w:val="sq-AL"/>
        </w:rPr>
        <w:t>shtja është humbur nga organi publik në të dyja shkallët e para të gjykimit; ose</w:t>
      </w:r>
    </w:p>
    <w:p w14:paraId="66CCF341" w14:textId="7B8FBD9C"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D53BD9">
        <w:rPr>
          <w:rFonts w:ascii="Garamond" w:eastAsiaTheme="minorHAnsi" w:hAnsi="Garamond"/>
          <w:color w:val="000000"/>
          <w:sz w:val="24"/>
          <w:szCs w:val="24"/>
          <w:lang w:val="sq-AL"/>
        </w:rPr>
        <w:t>ii</w:t>
      </w:r>
      <w:proofErr w:type="spellEnd"/>
      <w:r w:rsidRPr="00D53BD9">
        <w:rPr>
          <w:rFonts w:ascii="Garamond" w:eastAsiaTheme="minorHAnsi" w:hAnsi="Garamond"/>
          <w:color w:val="000000"/>
          <w:sz w:val="24"/>
          <w:szCs w:val="24"/>
          <w:lang w:val="sq-AL"/>
        </w:rPr>
        <w:t>.</w:t>
      </w:r>
      <w:r>
        <w:rPr>
          <w:rFonts w:ascii="Garamond" w:eastAsiaTheme="minorHAnsi" w:hAnsi="Garamond"/>
          <w:color w:val="000000"/>
          <w:sz w:val="24"/>
          <w:szCs w:val="24"/>
          <w:lang w:val="sq-AL"/>
        </w:rPr>
        <w:t xml:space="preserve"> </w:t>
      </w:r>
      <w:r w:rsidR="00CF7428" w:rsidRPr="00D53BD9">
        <w:rPr>
          <w:rFonts w:ascii="Garamond" w:eastAsiaTheme="minorHAnsi" w:hAnsi="Garamond"/>
          <w:color w:val="000000"/>
          <w:sz w:val="24"/>
          <w:szCs w:val="24"/>
          <w:lang w:val="sq-AL"/>
        </w:rPr>
        <w:t>ç</w:t>
      </w:r>
      <w:r w:rsidRPr="00D53BD9">
        <w:rPr>
          <w:rFonts w:ascii="Garamond" w:eastAsiaTheme="minorHAnsi" w:hAnsi="Garamond"/>
          <w:color w:val="000000"/>
          <w:sz w:val="24"/>
          <w:szCs w:val="24"/>
          <w:lang w:val="sq-AL"/>
        </w:rPr>
        <w:t xml:space="preserve">ështja vlerësohet si e </w:t>
      </w:r>
      <w:proofErr w:type="spellStart"/>
      <w:r w:rsidRPr="00D53BD9">
        <w:rPr>
          <w:rFonts w:ascii="Garamond" w:eastAsiaTheme="minorHAnsi" w:hAnsi="Garamond"/>
          <w:color w:val="000000"/>
          <w:sz w:val="24"/>
          <w:szCs w:val="24"/>
          <w:lang w:val="sq-AL"/>
        </w:rPr>
        <w:t>pafitueshme</w:t>
      </w:r>
      <w:proofErr w:type="spellEnd"/>
      <w:r w:rsidRPr="00D53BD9">
        <w:rPr>
          <w:rFonts w:ascii="Garamond" w:eastAsiaTheme="minorHAnsi" w:hAnsi="Garamond"/>
          <w:color w:val="000000"/>
          <w:sz w:val="24"/>
          <w:szCs w:val="24"/>
          <w:lang w:val="sq-AL"/>
        </w:rPr>
        <w:t xml:space="preserve">, nisur nga vendimet </w:t>
      </w:r>
      <w:proofErr w:type="spellStart"/>
      <w:r w:rsidRPr="00D53BD9">
        <w:rPr>
          <w:rFonts w:ascii="Garamond" w:eastAsiaTheme="minorHAnsi" w:hAnsi="Garamond"/>
          <w:color w:val="000000"/>
          <w:sz w:val="24"/>
          <w:szCs w:val="24"/>
          <w:lang w:val="sq-AL"/>
        </w:rPr>
        <w:t>unifikuese</w:t>
      </w:r>
      <w:proofErr w:type="spellEnd"/>
      <w:r w:rsidRPr="00D53BD9">
        <w:rPr>
          <w:rFonts w:ascii="Garamond" w:eastAsiaTheme="minorHAnsi" w:hAnsi="Garamond"/>
          <w:color w:val="000000"/>
          <w:sz w:val="24"/>
          <w:szCs w:val="24"/>
          <w:lang w:val="sq-AL"/>
        </w:rPr>
        <w:t xml:space="preserve">/njësuese të kolegjeve të bashkuara ose të kolegjeve të veçanta. </w:t>
      </w:r>
      <w:bookmarkStart w:id="0" w:name="_GoBack"/>
      <w:bookmarkEnd w:id="0"/>
    </w:p>
    <w:p w14:paraId="66CCF342"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3.</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Rregullat e parashikuara në pikat 1 dhe 2, të këtij udhëzimi, zbatohen edhe nga shoqëritë tregtare me mbi 50% kapital shtetëror, aksionet ose kuotat e të cilave zotërohen nga institucionet e administratës shtetërore, nën përgjegjësinë e Këshillit të Ministrave.</w:t>
      </w:r>
    </w:p>
    <w:p w14:paraId="66CCF343"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4.</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Heqja dorë nga rekursi, sipas këtij udhëzimi, bëhet vetëm në rastet kur Gjykata e Lartë nuk ka vendosur pezullimin e ekzekutimit të vendimit të formës së prerë deri në momentin e hyrjes në fuqi të këtij udhëzimi. </w:t>
      </w:r>
    </w:p>
    <w:p w14:paraId="66CCF344"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5.</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Heqja dorë nga rekursi bëhet me shkrim, sipas rregullave të përcaktuara në legjislacionin procedural civil dhe administrativ, pasi organi administrativ ta ketë arsyetuar atë në bazë të një prej rasteve të parashikuara në dispozitat e këtij udhëzimi. </w:t>
      </w:r>
    </w:p>
    <w:p w14:paraId="66CCF345"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6.</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Në rastet kur institucioni përfaqësohet nga Avokatura e Shtetit, kjo e fundit shqyrton kërkesën e institucionit ndërgjyqës për heqjen dorë nga rekursi, përpara se ajo të dorëzohet pranë Gjykatës së Lartë. Në rast se edhe Avokatura e Shtetit konstaton rrethanat e heqjes dorë, sipas përcaktimeve të këtij udhëzimi, ajo vijon me paraqitjen e kërkesës për heqjen dorë nga rekursi pranë Gjykatës së Lartë.</w:t>
      </w:r>
    </w:p>
    <w:p w14:paraId="66CCF346" w14:textId="77777777" w:rsidR="00D53BD9" w:rsidRPr="00D53BD9" w:rsidRDefault="00D53BD9" w:rsidP="00D53BD9">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D53BD9">
        <w:rPr>
          <w:rFonts w:ascii="Garamond" w:eastAsiaTheme="minorHAnsi" w:hAnsi="Garamond"/>
          <w:color w:val="000000"/>
          <w:sz w:val="24"/>
          <w:szCs w:val="24"/>
          <w:lang w:val="sq-AL"/>
        </w:rPr>
        <w:t>7.</w:t>
      </w:r>
      <w:r>
        <w:rPr>
          <w:rFonts w:ascii="Garamond" w:eastAsiaTheme="minorHAnsi" w:hAnsi="Garamond"/>
          <w:color w:val="000000"/>
          <w:sz w:val="24"/>
          <w:szCs w:val="24"/>
          <w:lang w:val="sq-AL"/>
        </w:rPr>
        <w:t xml:space="preserve"> </w:t>
      </w:r>
      <w:r w:rsidRPr="00D53BD9">
        <w:rPr>
          <w:rFonts w:ascii="Garamond" w:eastAsiaTheme="minorHAnsi" w:hAnsi="Garamond"/>
          <w:color w:val="000000"/>
          <w:sz w:val="24"/>
          <w:szCs w:val="24"/>
          <w:lang w:val="sq-AL"/>
        </w:rPr>
        <w:t xml:space="preserve">Ngarkohen institucionet e administratës shtetërore dhe shoqëritë tregtare me mbi 50% kapital shtetëror, aksionet ose kuotat e të cilave zotërohen nga institucionet e administratës shtetërore, nën përgjegjësinë e Këshillit të Ministrave, për zbatimin e këtij udhëzimi. </w:t>
      </w:r>
    </w:p>
    <w:p w14:paraId="66CCF347" w14:textId="77777777" w:rsidR="00D53BD9" w:rsidRPr="00D53BD9" w:rsidRDefault="00D53BD9" w:rsidP="00D53BD9">
      <w:pPr>
        <w:tabs>
          <w:tab w:val="left" w:pos="1500"/>
        </w:tabs>
        <w:autoSpaceDE w:val="0"/>
        <w:autoSpaceDN w:val="0"/>
        <w:adjustRightInd w:val="0"/>
        <w:spacing w:after="0" w:line="240" w:lineRule="auto"/>
        <w:ind w:firstLine="284"/>
        <w:jc w:val="both"/>
        <w:rPr>
          <w:rFonts w:ascii="Garamond" w:eastAsiaTheme="minorHAnsi" w:hAnsi="Garamond"/>
          <w:b/>
          <w:bCs/>
          <w:color w:val="000000"/>
          <w:sz w:val="24"/>
          <w:szCs w:val="24"/>
          <w:lang w:val="sq-AL"/>
        </w:rPr>
      </w:pPr>
      <w:r w:rsidRPr="00D53BD9">
        <w:rPr>
          <w:rFonts w:ascii="Garamond" w:eastAsiaTheme="minorHAnsi" w:hAnsi="Garamond"/>
          <w:color w:val="000000"/>
          <w:sz w:val="24"/>
          <w:szCs w:val="24"/>
          <w:lang w:val="sq-AL"/>
        </w:rPr>
        <w:t>Ky udhë</w:t>
      </w:r>
      <w:r>
        <w:rPr>
          <w:rFonts w:ascii="Garamond" w:eastAsiaTheme="minorHAnsi" w:hAnsi="Garamond"/>
          <w:color w:val="000000"/>
          <w:sz w:val="24"/>
          <w:szCs w:val="24"/>
          <w:lang w:val="sq-AL"/>
        </w:rPr>
        <w:t>zim hyn në fuqi pas botimit në Fletoren Zyrtare</w:t>
      </w:r>
      <w:r w:rsidRPr="00D53BD9">
        <w:rPr>
          <w:rFonts w:ascii="Garamond" w:eastAsiaTheme="minorHAnsi" w:hAnsi="Garamond"/>
          <w:color w:val="000000"/>
          <w:sz w:val="24"/>
          <w:szCs w:val="24"/>
          <w:lang w:val="sq-AL"/>
        </w:rPr>
        <w:t xml:space="preserve">. </w:t>
      </w:r>
    </w:p>
    <w:p w14:paraId="66CCF348" w14:textId="77777777" w:rsidR="00D53BD9" w:rsidRPr="00D53BD9" w:rsidRDefault="00D53BD9" w:rsidP="00D53BD9">
      <w:pPr>
        <w:autoSpaceDE w:val="0"/>
        <w:autoSpaceDN w:val="0"/>
        <w:adjustRightInd w:val="0"/>
        <w:spacing w:after="0" w:line="240" w:lineRule="auto"/>
        <w:ind w:firstLine="284"/>
        <w:jc w:val="right"/>
        <w:rPr>
          <w:rFonts w:ascii="Garamond" w:eastAsiaTheme="minorHAnsi" w:hAnsi="Garamond"/>
          <w:b/>
          <w:bCs/>
          <w:color w:val="000000"/>
          <w:sz w:val="24"/>
          <w:szCs w:val="24"/>
          <w:lang w:val="sq-AL"/>
        </w:rPr>
      </w:pPr>
    </w:p>
    <w:p w14:paraId="66CCF349" w14:textId="77777777" w:rsidR="00D53BD9" w:rsidRPr="00D53BD9" w:rsidRDefault="00D53BD9" w:rsidP="00D53BD9">
      <w:pPr>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D53BD9">
        <w:rPr>
          <w:rFonts w:ascii="Garamond" w:eastAsiaTheme="minorHAnsi" w:hAnsi="Garamond"/>
          <w:bCs/>
          <w:color w:val="000000"/>
          <w:sz w:val="24"/>
          <w:szCs w:val="24"/>
          <w:lang w:val="sq-AL"/>
        </w:rPr>
        <w:t>KRYEMINISTËR</w:t>
      </w:r>
    </w:p>
    <w:p w14:paraId="66CCF34A" w14:textId="77777777" w:rsidR="00861296" w:rsidRPr="00D53BD9" w:rsidRDefault="00D53BD9" w:rsidP="00D53BD9">
      <w:pPr>
        <w:autoSpaceDE w:val="0"/>
        <w:autoSpaceDN w:val="0"/>
        <w:adjustRightInd w:val="0"/>
        <w:spacing w:after="0" w:line="240" w:lineRule="auto"/>
        <w:ind w:firstLine="284"/>
        <w:jc w:val="right"/>
        <w:rPr>
          <w:rFonts w:ascii="Garamond" w:hAnsi="Garamond"/>
          <w:sz w:val="24"/>
          <w:szCs w:val="24"/>
        </w:rPr>
      </w:pPr>
      <w:r w:rsidRPr="00D53BD9">
        <w:rPr>
          <w:rFonts w:ascii="Garamond" w:eastAsiaTheme="minorHAnsi" w:hAnsi="Garamond"/>
          <w:b/>
          <w:bCs/>
          <w:color w:val="000000"/>
          <w:sz w:val="24"/>
          <w:szCs w:val="24"/>
          <w:lang w:val="sq-AL"/>
        </w:rPr>
        <w:t xml:space="preserve">Edi </w:t>
      </w:r>
      <w:proofErr w:type="spellStart"/>
      <w:r w:rsidRPr="00D53BD9">
        <w:rPr>
          <w:rFonts w:ascii="Garamond" w:eastAsiaTheme="minorHAnsi" w:hAnsi="Garamond"/>
          <w:b/>
          <w:bCs/>
          <w:color w:val="000000"/>
          <w:sz w:val="24"/>
          <w:szCs w:val="24"/>
          <w:lang w:val="sq-AL"/>
        </w:rPr>
        <w:t>Rama</w:t>
      </w:r>
      <w:proofErr w:type="spellEnd"/>
      <w:r>
        <w:rPr>
          <w:rFonts w:ascii="Garamond" w:eastAsiaTheme="minorHAnsi" w:hAnsi="Garamond"/>
          <w:b/>
          <w:bCs/>
          <w:color w:val="000000"/>
          <w:sz w:val="24"/>
          <w:szCs w:val="24"/>
          <w:lang w:val="sq-AL"/>
        </w:rPr>
        <w:t xml:space="preserve"> </w:t>
      </w:r>
    </w:p>
    <w:sectPr w:rsidR="00861296" w:rsidRPr="00D53BD9" w:rsidSect="00FC7297">
      <w:footerReference w:type="default" r:id="rId13"/>
      <w:pgSz w:w="11907" w:h="16839" w:code="9"/>
      <w:pgMar w:top="1440" w:right="1440" w:bottom="1440" w:left="1440" w:header="720" w:footer="11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A0E423" w14:textId="77777777" w:rsidR="00E357D8" w:rsidRDefault="00E357D8" w:rsidP="00074DBC">
      <w:pPr>
        <w:spacing w:after="0" w:line="240" w:lineRule="auto"/>
      </w:pPr>
      <w:r>
        <w:separator/>
      </w:r>
    </w:p>
  </w:endnote>
  <w:endnote w:type="continuationSeparator" w:id="0">
    <w:p w14:paraId="429D33B1" w14:textId="77777777" w:rsidR="00E357D8" w:rsidRDefault="00E357D8" w:rsidP="00074DBC">
      <w:pPr>
        <w:spacing w:after="0" w:line="240" w:lineRule="auto"/>
      </w:pPr>
      <w:r>
        <w:continuationSeparator/>
      </w:r>
    </w:p>
  </w:endnote>
  <w:endnote w:type="continuationNotice" w:id="1">
    <w:p w14:paraId="689ADF11" w14:textId="77777777" w:rsidR="00F81C7D" w:rsidRDefault="00F81C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CF34F" w14:textId="77777777" w:rsidR="00E357D8" w:rsidRPr="00453560" w:rsidRDefault="00E357D8">
    <w:pPr>
      <w:pStyle w:val="Footer"/>
      <w:jc w:val="right"/>
      <w:rPr>
        <w:rFonts w:ascii="Times New Roman" w:hAnsi="Times New Roman"/>
        <w:sz w:val="24"/>
      </w:rPr>
    </w:pPr>
  </w:p>
  <w:p w14:paraId="66CCF350" w14:textId="77777777" w:rsidR="00E357D8" w:rsidRDefault="00E357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34466" w14:textId="77777777" w:rsidR="00E357D8" w:rsidRDefault="00E357D8" w:rsidP="00074DBC">
      <w:pPr>
        <w:spacing w:after="0" w:line="240" w:lineRule="auto"/>
      </w:pPr>
      <w:r>
        <w:separator/>
      </w:r>
    </w:p>
  </w:footnote>
  <w:footnote w:type="continuationSeparator" w:id="0">
    <w:p w14:paraId="71F0F08D" w14:textId="77777777" w:rsidR="00E357D8" w:rsidRDefault="00E357D8" w:rsidP="00074DBC">
      <w:pPr>
        <w:spacing w:after="0" w:line="240" w:lineRule="auto"/>
      </w:pPr>
      <w:r>
        <w:continuationSeparator/>
      </w:r>
    </w:p>
  </w:footnote>
  <w:footnote w:type="continuationNotice" w:id="1">
    <w:p w14:paraId="36F9A12D" w14:textId="77777777" w:rsidR="00F81C7D" w:rsidRDefault="00F81C7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16A87"/>
    <w:multiLevelType w:val="hybridMultilevel"/>
    <w:tmpl w:val="7138D4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E87094"/>
    <w:multiLevelType w:val="hybridMultilevel"/>
    <w:tmpl w:val="6F1858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2317AD"/>
    <w:multiLevelType w:val="hybridMultilevel"/>
    <w:tmpl w:val="BC92C3B8"/>
    <w:lvl w:ilvl="0" w:tplc="1914609C">
      <w:start w:val="1"/>
      <w:numFmt w:val="lowerRoman"/>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21031ED1"/>
    <w:multiLevelType w:val="hybridMultilevel"/>
    <w:tmpl w:val="6E682D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8E0C8E"/>
    <w:multiLevelType w:val="hybridMultilevel"/>
    <w:tmpl w:val="4B86E5B6"/>
    <w:lvl w:ilvl="0" w:tplc="28162B9E">
      <w:start w:val="1"/>
      <w:numFmt w:val="decimal"/>
      <w:lvlText w:val="%1."/>
      <w:lvlJc w:val="left"/>
      <w:pPr>
        <w:ind w:left="36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155367"/>
    <w:multiLevelType w:val="hybridMultilevel"/>
    <w:tmpl w:val="5FD61E3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9916D2"/>
    <w:multiLevelType w:val="hybridMultilevel"/>
    <w:tmpl w:val="CEB0D95E"/>
    <w:lvl w:ilvl="0" w:tplc="78F26374">
      <w:start w:val="1"/>
      <w:numFmt w:val="decimal"/>
      <w:lvlText w:val="%1."/>
      <w:lvlJc w:val="left"/>
      <w:pPr>
        <w:ind w:left="644"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095782"/>
    <w:multiLevelType w:val="hybridMultilevel"/>
    <w:tmpl w:val="CA522F78"/>
    <w:lvl w:ilvl="0" w:tplc="8A7E9D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662E6F"/>
    <w:multiLevelType w:val="hybridMultilevel"/>
    <w:tmpl w:val="BCE29FCC"/>
    <w:lvl w:ilvl="0" w:tplc="F0302068">
      <w:start w:val="1"/>
      <w:numFmt w:val="decimal"/>
      <w:lvlText w:val="%1."/>
      <w:lvlJc w:val="left"/>
      <w:pPr>
        <w:ind w:left="927" w:hanging="360"/>
      </w:pPr>
      <w:rPr>
        <w:rFonts w:hint="default"/>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9">
    <w:nsid w:val="70431A7E"/>
    <w:multiLevelType w:val="hybridMultilevel"/>
    <w:tmpl w:val="D9D083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5"/>
  </w:num>
  <w:num w:numId="5">
    <w:abstractNumId w:val="1"/>
  </w:num>
  <w:num w:numId="6">
    <w:abstractNumId w:val="2"/>
  </w:num>
  <w:num w:numId="7">
    <w:abstractNumId w:val="9"/>
  </w:num>
  <w:num w:numId="8">
    <w:abstractNumId w:val="7"/>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73E"/>
    <w:rsid w:val="00006774"/>
    <w:rsid w:val="0000721A"/>
    <w:rsid w:val="00021BD4"/>
    <w:rsid w:val="00025790"/>
    <w:rsid w:val="00026C4B"/>
    <w:rsid w:val="00027079"/>
    <w:rsid w:val="00036AB0"/>
    <w:rsid w:val="000475D1"/>
    <w:rsid w:val="000475D8"/>
    <w:rsid w:val="00047B7C"/>
    <w:rsid w:val="00047E8A"/>
    <w:rsid w:val="00055921"/>
    <w:rsid w:val="00055CFD"/>
    <w:rsid w:val="00061481"/>
    <w:rsid w:val="00063F90"/>
    <w:rsid w:val="00064C11"/>
    <w:rsid w:val="000726A3"/>
    <w:rsid w:val="00072E39"/>
    <w:rsid w:val="000748BB"/>
    <w:rsid w:val="00074DBC"/>
    <w:rsid w:val="0007570A"/>
    <w:rsid w:val="00076140"/>
    <w:rsid w:val="00087EC5"/>
    <w:rsid w:val="00090C78"/>
    <w:rsid w:val="00095A93"/>
    <w:rsid w:val="000B0E05"/>
    <w:rsid w:val="000B4B83"/>
    <w:rsid w:val="000B6C9B"/>
    <w:rsid w:val="000B7489"/>
    <w:rsid w:val="000B77D2"/>
    <w:rsid w:val="000C2190"/>
    <w:rsid w:val="000C5984"/>
    <w:rsid w:val="000D01D6"/>
    <w:rsid w:val="000D41FE"/>
    <w:rsid w:val="000E3692"/>
    <w:rsid w:val="000F395B"/>
    <w:rsid w:val="000F656E"/>
    <w:rsid w:val="000F77DC"/>
    <w:rsid w:val="00101F10"/>
    <w:rsid w:val="00105964"/>
    <w:rsid w:val="00114390"/>
    <w:rsid w:val="00114C0D"/>
    <w:rsid w:val="001235E3"/>
    <w:rsid w:val="00125741"/>
    <w:rsid w:val="00125F7B"/>
    <w:rsid w:val="00126F7B"/>
    <w:rsid w:val="001354B7"/>
    <w:rsid w:val="001402AC"/>
    <w:rsid w:val="00142938"/>
    <w:rsid w:val="001429E8"/>
    <w:rsid w:val="00143C6D"/>
    <w:rsid w:val="00143D04"/>
    <w:rsid w:val="001621AE"/>
    <w:rsid w:val="00166317"/>
    <w:rsid w:val="00175660"/>
    <w:rsid w:val="00195692"/>
    <w:rsid w:val="001A2CB9"/>
    <w:rsid w:val="001B03B2"/>
    <w:rsid w:val="001B178F"/>
    <w:rsid w:val="001B2B58"/>
    <w:rsid w:val="001D064A"/>
    <w:rsid w:val="001D1E55"/>
    <w:rsid w:val="001D2E2A"/>
    <w:rsid w:val="001E4A77"/>
    <w:rsid w:val="001F256A"/>
    <w:rsid w:val="001F4C9E"/>
    <w:rsid w:val="0021083B"/>
    <w:rsid w:val="00210C4E"/>
    <w:rsid w:val="002121F9"/>
    <w:rsid w:val="00216484"/>
    <w:rsid w:val="00221A58"/>
    <w:rsid w:val="00224A10"/>
    <w:rsid w:val="0022517F"/>
    <w:rsid w:val="00227F10"/>
    <w:rsid w:val="00231D57"/>
    <w:rsid w:val="002330FD"/>
    <w:rsid w:val="00253189"/>
    <w:rsid w:val="00267A77"/>
    <w:rsid w:val="0027104D"/>
    <w:rsid w:val="002832F9"/>
    <w:rsid w:val="002873EB"/>
    <w:rsid w:val="0028765B"/>
    <w:rsid w:val="002A67F7"/>
    <w:rsid w:val="002B205D"/>
    <w:rsid w:val="002B3C82"/>
    <w:rsid w:val="002C4CD7"/>
    <w:rsid w:val="002C710D"/>
    <w:rsid w:val="002D053B"/>
    <w:rsid w:val="002D71F2"/>
    <w:rsid w:val="002E673E"/>
    <w:rsid w:val="003007A4"/>
    <w:rsid w:val="00303A1D"/>
    <w:rsid w:val="003148AA"/>
    <w:rsid w:val="003151CA"/>
    <w:rsid w:val="00316504"/>
    <w:rsid w:val="003200D2"/>
    <w:rsid w:val="0032230F"/>
    <w:rsid w:val="00327C67"/>
    <w:rsid w:val="00346194"/>
    <w:rsid w:val="00363CEE"/>
    <w:rsid w:val="0037302D"/>
    <w:rsid w:val="003877D9"/>
    <w:rsid w:val="003918A7"/>
    <w:rsid w:val="003940D6"/>
    <w:rsid w:val="003978E1"/>
    <w:rsid w:val="003A512A"/>
    <w:rsid w:val="003B6150"/>
    <w:rsid w:val="003B7D75"/>
    <w:rsid w:val="003C05B1"/>
    <w:rsid w:val="003C6C6E"/>
    <w:rsid w:val="003D7BA0"/>
    <w:rsid w:val="003E19FC"/>
    <w:rsid w:val="003E2521"/>
    <w:rsid w:val="003E373A"/>
    <w:rsid w:val="003F33C7"/>
    <w:rsid w:val="003F357B"/>
    <w:rsid w:val="003F42E3"/>
    <w:rsid w:val="003F58E5"/>
    <w:rsid w:val="0040207F"/>
    <w:rsid w:val="004044A8"/>
    <w:rsid w:val="0040632A"/>
    <w:rsid w:val="00414051"/>
    <w:rsid w:val="004202C9"/>
    <w:rsid w:val="00427C95"/>
    <w:rsid w:val="00430DAB"/>
    <w:rsid w:val="00453560"/>
    <w:rsid w:val="00491E0E"/>
    <w:rsid w:val="004C03A4"/>
    <w:rsid w:val="004E1797"/>
    <w:rsid w:val="004E19A2"/>
    <w:rsid w:val="004E473D"/>
    <w:rsid w:val="004F2672"/>
    <w:rsid w:val="00500751"/>
    <w:rsid w:val="00503583"/>
    <w:rsid w:val="00510881"/>
    <w:rsid w:val="00526636"/>
    <w:rsid w:val="005460EE"/>
    <w:rsid w:val="005506CC"/>
    <w:rsid w:val="00552814"/>
    <w:rsid w:val="005534AD"/>
    <w:rsid w:val="005569C1"/>
    <w:rsid w:val="00563912"/>
    <w:rsid w:val="00566338"/>
    <w:rsid w:val="00575EEC"/>
    <w:rsid w:val="00581F33"/>
    <w:rsid w:val="0058232A"/>
    <w:rsid w:val="005A1CB2"/>
    <w:rsid w:val="005B1FE7"/>
    <w:rsid w:val="005C0D2D"/>
    <w:rsid w:val="005C113B"/>
    <w:rsid w:val="005C4EC3"/>
    <w:rsid w:val="005C7711"/>
    <w:rsid w:val="005E275E"/>
    <w:rsid w:val="005F64F8"/>
    <w:rsid w:val="00600CEE"/>
    <w:rsid w:val="00601213"/>
    <w:rsid w:val="00601AEC"/>
    <w:rsid w:val="0061387D"/>
    <w:rsid w:val="0061573C"/>
    <w:rsid w:val="00623B5E"/>
    <w:rsid w:val="00625D10"/>
    <w:rsid w:val="006301B1"/>
    <w:rsid w:val="0063726F"/>
    <w:rsid w:val="006403DE"/>
    <w:rsid w:val="006468EE"/>
    <w:rsid w:val="00647DEF"/>
    <w:rsid w:val="00647F96"/>
    <w:rsid w:val="00652E83"/>
    <w:rsid w:val="00655FF5"/>
    <w:rsid w:val="0066528E"/>
    <w:rsid w:val="00670BC0"/>
    <w:rsid w:val="00671274"/>
    <w:rsid w:val="0069293F"/>
    <w:rsid w:val="00695561"/>
    <w:rsid w:val="006A0458"/>
    <w:rsid w:val="006A4753"/>
    <w:rsid w:val="006A6837"/>
    <w:rsid w:val="006B2505"/>
    <w:rsid w:val="006B7B51"/>
    <w:rsid w:val="006D7FED"/>
    <w:rsid w:val="006E2FBE"/>
    <w:rsid w:val="00703133"/>
    <w:rsid w:val="007069C8"/>
    <w:rsid w:val="007071D3"/>
    <w:rsid w:val="00727809"/>
    <w:rsid w:val="007352CC"/>
    <w:rsid w:val="00746A04"/>
    <w:rsid w:val="00751587"/>
    <w:rsid w:val="0076190B"/>
    <w:rsid w:val="00762D46"/>
    <w:rsid w:val="007669C9"/>
    <w:rsid w:val="00781759"/>
    <w:rsid w:val="007913EA"/>
    <w:rsid w:val="007B0D65"/>
    <w:rsid w:val="007B1833"/>
    <w:rsid w:val="007C32A7"/>
    <w:rsid w:val="007C348E"/>
    <w:rsid w:val="007C54AD"/>
    <w:rsid w:val="007D110D"/>
    <w:rsid w:val="007D5BF4"/>
    <w:rsid w:val="007D7642"/>
    <w:rsid w:val="008132E5"/>
    <w:rsid w:val="00821A02"/>
    <w:rsid w:val="008470C1"/>
    <w:rsid w:val="008501FA"/>
    <w:rsid w:val="00861296"/>
    <w:rsid w:val="0086599A"/>
    <w:rsid w:val="0087320B"/>
    <w:rsid w:val="00890617"/>
    <w:rsid w:val="00891538"/>
    <w:rsid w:val="008924C5"/>
    <w:rsid w:val="0089283D"/>
    <w:rsid w:val="0089513F"/>
    <w:rsid w:val="008A4731"/>
    <w:rsid w:val="008B097B"/>
    <w:rsid w:val="008B1DC6"/>
    <w:rsid w:val="008B3513"/>
    <w:rsid w:val="008C1721"/>
    <w:rsid w:val="008D028C"/>
    <w:rsid w:val="008D77C8"/>
    <w:rsid w:val="008F1972"/>
    <w:rsid w:val="00901165"/>
    <w:rsid w:val="00904A69"/>
    <w:rsid w:val="009070A6"/>
    <w:rsid w:val="009142C5"/>
    <w:rsid w:val="00921397"/>
    <w:rsid w:val="0092181C"/>
    <w:rsid w:val="00924861"/>
    <w:rsid w:val="009402E1"/>
    <w:rsid w:val="00940DDB"/>
    <w:rsid w:val="00945337"/>
    <w:rsid w:val="00950850"/>
    <w:rsid w:val="0095675F"/>
    <w:rsid w:val="00957893"/>
    <w:rsid w:val="00960B7E"/>
    <w:rsid w:val="009610DF"/>
    <w:rsid w:val="00961CE5"/>
    <w:rsid w:val="00967510"/>
    <w:rsid w:val="0097387D"/>
    <w:rsid w:val="00974986"/>
    <w:rsid w:val="009918D5"/>
    <w:rsid w:val="009943F9"/>
    <w:rsid w:val="0099527D"/>
    <w:rsid w:val="009A0E42"/>
    <w:rsid w:val="009A5780"/>
    <w:rsid w:val="009B4B96"/>
    <w:rsid w:val="009D0BC0"/>
    <w:rsid w:val="009D483D"/>
    <w:rsid w:val="009D65BE"/>
    <w:rsid w:val="009E1BDF"/>
    <w:rsid w:val="009E2042"/>
    <w:rsid w:val="009F197F"/>
    <w:rsid w:val="009F4E69"/>
    <w:rsid w:val="009F6DD9"/>
    <w:rsid w:val="00A043DD"/>
    <w:rsid w:val="00A06788"/>
    <w:rsid w:val="00A10474"/>
    <w:rsid w:val="00A23D4A"/>
    <w:rsid w:val="00A3292D"/>
    <w:rsid w:val="00A3557F"/>
    <w:rsid w:val="00A360ED"/>
    <w:rsid w:val="00A55BC9"/>
    <w:rsid w:val="00A561B0"/>
    <w:rsid w:val="00A610D1"/>
    <w:rsid w:val="00AA01D5"/>
    <w:rsid w:val="00AB7D3B"/>
    <w:rsid w:val="00AB7F92"/>
    <w:rsid w:val="00AD307B"/>
    <w:rsid w:val="00AD4CB8"/>
    <w:rsid w:val="00AD52B7"/>
    <w:rsid w:val="00AD6E7A"/>
    <w:rsid w:val="00AE0E64"/>
    <w:rsid w:val="00AE5462"/>
    <w:rsid w:val="00B07086"/>
    <w:rsid w:val="00B11CDB"/>
    <w:rsid w:val="00B2016C"/>
    <w:rsid w:val="00B21D93"/>
    <w:rsid w:val="00B51EE6"/>
    <w:rsid w:val="00B52998"/>
    <w:rsid w:val="00B52D43"/>
    <w:rsid w:val="00B56578"/>
    <w:rsid w:val="00B56642"/>
    <w:rsid w:val="00B64F82"/>
    <w:rsid w:val="00B72846"/>
    <w:rsid w:val="00B83CD8"/>
    <w:rsid w:val="00B85B1E"/>
    <w:rsid w:val="00B90B85"/>
    <w:rsid w:val="00B95628"/>
    <w:rsid w:val="00B95841"/>
    <w:rsid w:val="00BA03BA"/>
    <w:rsid w:val="00BB5034"/>
    <w:rsid w:val="00BC5B6C"/>
    <w:rsid w:val="00BD4B1A"/>
    <w:rsid w:val="00BD7DEB"/>
    <w:rsid w:val="00BE771C"/>
    <w:rsid w:val="00BF7CBE"/>
    <w:rsid w:val="00C000B8"/>
    <w:rsid w:val="00C02B16"/>
    <w:rsid w:val="00C07E84"/>
    <w:rsid w:val="00C07F38"/>
    <w:rsid w:val="00C130B1"/>
    <w:rsid w:val="00C17EB4"/>
    <w:rsid w:val="00C27D1A"/>
    <w:rsid w:val="00C37EA3"/>
    <w:rsid w:val="00C466DE"/>
    <w:rsid w:val="00C53B62"/>
    <w:rsid w:val="00C55557"/>
    <w:rsid w:val="00C73869"/>
    <w:rsid w:val="00C814E9"/>
    <w:rsid w:val="00C8352F"/>
    <w:rsid w:val="00C922F9"/>
    <w:rsid w:val="00CA5377"/>
    <w:rsid w:val="00CB5DB7"/>
    <w:rsid w:val="00CC2513"/>
    <w:rsid w:val="00CC5F4D"/>
    <w:rsid w:val="00CD001D"/>
    <w:rsid w:val="00CF0AA3"/>
    <w:rsid w:val="00CF7428"/>
    <w:rsid w:val="00D141AB"/>
    <w:rsid w:val="00D220A2"/>
    <w:rsid w:val="00D2247F"/>
    <w:rsid w:val="00D275CA"/>
    <w:rsid w:val="00D33B2E"/>
    <w:rsid w:val="00D53BD9"/>
    <w:rsid w:val="00D75BC8"/>
    <w:rsid w:val="00D822FE"/>
    <w:rsid w:val="00DA42FD"/>
    <w:rsid w:val="00DB1516"/>
    <w:rsid w:val="00DD50CF"/>
    <w:rsid w:val="00DD7926"/>
    <w:rsid w:val="00DE21F5"/>
    <w:rsid w:val="00DE56E6"/>
    <w:rsid w:val="00DE6CBE"/>
    <w:rsid w:val="00E064C9"/>
    <w:rsid w:val="00E17FA3"/>
    <w:rsid w:val="00E211B0"/>
    <w:rsid w:val="00E357D8"/>
    <w:rsid w:val="00E36CC0"/>
    <w:rsid w:val="00E5016B"/>
    <w:rsid w:val="00E51F76"/>
    <w:rsid w:val="00E60092"/>
    <w:rsid w:val="00E61564"/>
    <w:rsid w:val="00E6307E"/>
    <w:rsid w:val="00E636D2"/>
    <w:rsid w:val="00E7188C"/>
    <w:rsid w:val="00E728EA"/>
    <w:rsid w:val="00E761C2"/>
    <w:rsid w:val="00E87E20"/>
    <w:rsid w:val="00E90F76"/>
    <w:rsid w:val="00E93DE3"/>
    <w:rsid w:val="00E97EA8"/>
    <w:rsid w:val="00EA2542"/>
    <w:rsid w:val="00EA7A85"/>
    <w:rsid w:val="00EB4052"/>
    <w:rsid w:val="00EC04D8"/>
    <w:rsid w:val="00ED271E"/>
    <w:rsid w:val="00EF0A21"/>
    <w:rsid w:val="00F049A3"/>
    <w:rsid w:val="00F1090B"/>
    <w:rsid w:val="00F15266"/>
    <w:rsid w:val="00F15319"/>
    <w:rsid w:val="00F226AA"/>
    <w:rsid w:val="00F32008"/>
    <w:rsid w:val="00F552A4"/>
    <w:rsid w:val="00F67DF2"/>
    <w:rsid w:val="00F75758"/>
    <w:rsid w:val="00F7682D"/>
    <w:rsid w:val="00F76BF0"/>
    <w:rsid w:val="00F81C7D"/>
    <w:rsid w:val="00F8574A"/>
    <w:rsid w:val="00F942C3"/>
    <w:rsid w:val="00FA04CC"/>
    <w:rsid w:val="00FB0139"/>
    <w:rsid w:val="00FB7145"/>
    <w:rsid w:val="00FC7297"/>
    <w:rsid w:val="00FC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CF329"/>
  <w15:docId w15:val="{BA34457E-2F83-4905-9784-468B6A21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73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673E"/>
    <w:pPr>
      <w:spacing w:after="0" w:line="240" w:lineRule="auto"/>
    </w:pPr>
    <w:rPr>
      <w:rFonts w:ascii="Calibri" w:eastAsia="Calibri" w:hAnsi="Calibri" w:cs="Times New Roman"/>
    </w:rPr>
  </w:style>
  <w:style w:type="paragraph" w:styleId="ListParagraph">
    <w:name w:val="List Paragraph"/>
    <w:basedOn w:val="Normal"/>
    <w:uiPriority w:val="34"/>
    <w:qFormat/>
    <w:rsid w:val="002E673E"/>
    <w:pPr>
      <w:ind w:left="720"/>
      <w:contextualSpacing/>
    </w:pPr>
  </w:style>
  <w:style w:type="paragraph" w:styleId="Header">
    <w:name w:val="header"/>
    <w:basedOn w:val="Normal"/>
    <w:link w:val="HeaderChar"/>
    <w:uiPriority w:val="99"/>
    <w:unhideWhenUsed/>
    <w:rsid w:val="00074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DBC"/>
    <w:rPr>
      <w:rFonts w:ascii="Calibri" w:eastAsia="Calibri" w:hAnsi="Calibri" w:cs="Times New Roman"/>
    </w:rPr>
  </w:style>
  <w:style w:type="paragraph" w:styleId="Footer">
    <w:name w:val="footer"/>
    <w:basedOn w:val="Normal"/>
    <w:link w:val="FooterChar"/>
    <w:uiPriority w:val="99"/>
    <w:unhideWhenUsed/>
    <w:rsid w:val="00074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DBC"/>
    <w:rPr>
      <w:rFonts w:ascii="Calibri" w:eastAsia="Calibri" w:hAnsi="Calibri" w:cs="Times New Roman"/>
    </w:rPr>
  </w:style>
  <w:style w:type="paragraph" w:styleId="BalloonText">
    <w:name w:val="Balloon Text"/>
    <w:basedOn w:val="Normal"/>
    <w:link w:val="BalloonTextChar"/>
    <w:uiPriority w:val="99"/>
    <w:semiHidden/>
    <w:unhideWhenUsed/>
    <w:rsid w:val="00074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BC"/>
    <w:rPr>
      <w:rFonts w:ascii="Tahoma" w:eastAsia="Calibri" w:hAnsi="Tahoma" w:cs="Tahoma"/>
      <w:sz w:val="16"/>
      <w:szCs w:val="16"/>
    </w:rPr>
  </w:style>
  <w:style w:type="table" w:styleId="TableGrid">
    <w:name w:val="Table Grid"/>
    <w:basedOn w:val="TableNormal"/>
    <w:uiPriority w:val="59"/>
    <w:rsid w:val="000E369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761C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468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2022-05-30T11:02:21Z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2022-05-26T22:00:00Z</Date_x0020_protokolli>
    <Titulli xmlns="0e656187-b300-4fb0-8bf4-3a50f872073c">Për përcaktimin e rregullave për heqjen dorë nga rekurset e depozituara nga administrata shtetërore nën përgjegjësinë e Këshillit të Ministrave, të pashqyrtuara nga Gjykata e Lartë, për disa çështje me natyrë civile dhe administrative</Titulli>
    <Modifikuesi xmlns="0e656187-b300-4fb0-8bf4-3a50f872073c">Suada.Daci</Modifikuesi>
    <Nr_x002e__x0020_prot_x0020_QBZ xmlns="0e656187-b300-4fb0-8bf4-3a50f872073c">837</Nr_x002e__x0020_prot_x0020_QBZ>
    <Data_x0020_e_x0020_Modifikimit xmlns="0e656187-b300-4fb0-8bf4-3a50f872073c">2022-05-30T12:58:21Z</Data_x0020_e_x0020_Modifikimit>
    <Dekretuar xmlns="0e656187-b300-4fb0-8bf4-3a50f872073c">false</Dekretuar>
    <Data xmlns="0e656187-b300-4fb0-8bf4-3a50f872073c">2022-05-25T22:00:00Z</Data>
    <Nr_x002e__x0020_protokolli_x0020_i_x0020_aktit xmlns="0e656187-b300-4fb0-8bf4-3a50f872073c">2715/1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BA988368D1A48C79CC1CC221E5EEE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BA988368D1A48C79CC1CC221E5EEE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83EE4-B123-41FB-8732-920DA312633E}">
  <ds:schemaRefs>
    <ds:schemaRef ds:uri="http://purl.org/dc/terms/"/>
    <ds:schemaRef ds:uri="http://purl.org/dc/elements/1.1/"/>
    <ds:schemaRef ds:uri="http://schemas.microsoft.com/office/2006/metadata/properties"/>
    <ds:schemaRef ds:uri="0e656187-b300-4fb0-8bf4-3a50f872073c"/>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C9B3AECF-B1CA-4ACB-A0B0-0B740B8EE64F}">
  <ds:schemaRefs>
    <ds:schemaRef ds:uri="http://schemas.microsoft.com/sharepoint/v3/contenttype/forms"/>
  </ds:schemaRefs>
</ds:datastoreItem>
</file>

<file path=customXml/itemProps3.xml><?xml version="1.0" encoding="utf-8"?>
<ds:datastoreItem xmlns:ds="http://schemas.openxmlformats.org/officeDocument/2006/customXml" ds:itemID="{014E6827-8377-4D3D-ADB2-F16262F57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6A1BF9-3146-47D1-B979-8AC1A6D5782C}">
  <ds:schemaRefs>
    <ds:schemaRef ds:uri="http://schemas.microsoft.com/sharepoint/v3/contenttype/forms"/>
  </ds:schemaRefs>
</ds:datastoreItem>
</file>

<file path=customXml/itemProps5.xml><?xml version="1.0" encoding="utf-8"?>
<ds:datastoreItem xmlns:ds="http://schemas.openxmlformats.org/officeDocument/2006/customXml" ds:itemID="{7B73251D-6F7A-4BFE-BD54-9A0C3C1BC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C8756B9-5EB1-48C7-92A1-40B75BD8F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PROJEKTUDHEZIMI PER KM</vt:lpstr>
    </vt:vector>
  </TitlesOfParts>
  <Company/>
  <LinksUpToDate>false</LinksUpToDate>
  <CharactersWithSpaces>6790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PROJEKTUDHEZIMI PER KM</dc:title>
  <dc:creator>elsa</dc:creator>
  <cp:lastModifiedBy>Jorina Kryeziu</cp:lastModifiedBy>
  <cp:revision>11</cp:revision>
  <cp:lastPrinted>2022-05-25T13:41:00Z</cp:lastPrinted>
  <dcterms:created xsi:type="dcterms:W3CDTF">2022-05-25T13:42:00Z</dcterms:created>
  <dcterms:modified xsi:type="dcterms:W3CDTF">2022-05-31T07:32:00Z</dcterms:modified>
</cp:coreProperties>
</file>