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EB0" w:rsidRPr="007E29FC" w:rsidRDefault="002E4EB0" w:rsidP="002E4EB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UDHËZIM</w:t>
      </w:r>
    </w:p>
    <w:p w:rsidR="002E4EB0" w:rsidRPr="007E29FC" w:rsidRDefault="002E4EB0" w:rsidP="002E4EB0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22, datë 24.9.2012</w:t>
      </w:r>
    </w:p>
    <w:p w:rsidR="002E4EB0" w:rsidRPr="004F0F93" w:rsidRDefault="002E4EB0" w:rsidP="002E4EB0">
      <w:pPr>
        <w:pStyle w:val="Paragrafi"/>
        <w:rPr>
          <w:sz w:val="18"/>
          <w:szCs w:val="21"/>
          <w:lang w:val="sq-AL"/>
        </w:rPr>
      </w:pPr>
    </w:p>
    <w:p w:rsidR="002E4EB0" w:rsidRPr="00E407C6" w:rsidRDefault="002E4EB0" w:rsidP="002E4EB0">
      <w:pPr>
        <w:pStyle w:val="Titulli"/>
        <w:rPr>
          <w:sz w:val="18"/>
          <w:lang w:val="sq-AL"/>
        </w:rPr>
      </w:pPr>
      <w:r w:rsidRPr="00E407C6">
        <w:rPr>
          <w:lang w:val="sq-AL"/>
        </w:rPr>
        <w:t>PËR PËRCAKTIMIN E RREGULLAVE PËR RUAJTJEN E SIGURISË TË TË DHËNAVE PERSONALE TË PËRPUNUARA NGA KONTROLLUESIT E VEGJËL</w:t>
      </w:r>
      <w:r w:rsidRPr="00E407C6">
        <w:rPr>
          <w:lang w:val="sq-AL"/>
        </w:rPr>
        <w:br/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Mbështetur në shkronjën “f” të pikës 1 të nenit 31, si dhe në përputhje me detyrimet e përcaktuara në nenin 27 të ligjit nr. 9887, datë 10.3.2008 “Për mbrojtjen e të dhënave personale”, të ndryshuar, Komisioneri për Mbrojtjen e të Dhënave Personale;</w:t>
      </w:r>
    </w:p>
    <w:p w:rsidR="002E4EB0" w:rsidRPr="004F0F93" w:rsidRDefault="002E4EB0" w:rsidP="002E4EB0">
      <w:pPr>
        <w:pStyle w:val="Paragrafi"/>
        <w:rPr>
          <w:sz w:val="20"/>
          <w:szCs w:val="21"/>
          <w:lang w:val="sq-AL"/>
        </w:rPr>
      </w:pPr>
    </w:p>
    <w:p w:rsidR="002E4EB0" w:rsidRPr="007E29FC" w:rsidRDefault="002E4EB0" w:rsidP="002E4EB0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UDHËZON:</w:t>
      </w:r>
    </w:p>
    <w:p w:rsidR="002E4EB0" w:rsidRPr="004F0F93" w:rsidRDefault="002E4EB0" w:rsidP="002E4EB0">
      <w:pPr>
        <w:pStyle w:val="Paragrafi"/>
        <w:rPr>
          <w:sz w:val="20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1. Parashikimin e masave themelore teknike dhe organizative, për mbrojtjen e të dhënave personale të përpunuara nga kontrolluesit e vegjël të të dhënave ose përpunuesit, më poshtë referuar subjektet përpunuese të të dhënave personale dhe rregullat e bashkëpunimit të tyre me Komisionerin.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Kontrollues ose përpunues të vegjël konsiderohen të gjitha subjektet përpunuese të të dhënave personale, të cilët: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a) Përpunojnë të dhëna personale në mënyrë elektronike ose manuale, duke angazhuar më pak se 6 persona për kryerjen e tij, qoftë në mënyrë të drejtpërdrejtë ose me anë të përpunuesve;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b) Nuk përpunojnë të dhëna sensitive.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Kategoritë kryesore të përdoruesve, që detyrohen të ruajnë sigurinë e të dhënave personale, janë: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a) Administratorët e sistemeve të teknologjisë së informacionit, komunikimit (më tej të quajtur TIK) dhe të sigurisë së tyre, të cilët zbatojnë këtë detyrim kur subjekti, i cili përpunon të dhëna personale ka një sistem TIK të brendshëm dhe/ose të jashtëm të instaluar për këtë qëllim;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b) Operatorët e të dhënave personale (të punësuarit, të kontraktuarit etj.), të cilët përpunojnë të dhëna personale me qëllim, përmbushjen e detyrave të tyre kur punojnë për subjektin përpunues të të dhënave personale.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4. Përveç sa parashikohet në udhëzimin nr. 2, datë 25.2.2010 “Për detyrimet e kontrolluesve dhe përpunuesve përpara se të përpunojnë të dhënat personale”, subjektet përpunuese, duhet të përpunojnë të dhënat personale në përputhje me rregullat e përcaktuara në këtë udhëzim.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5. Subjektet përpunuese janë përgjegjës për sigurinë e të dhënave personale, duke i mbrojtur ato nga dëmtimet aksidentale apo të paligjshme ose shkatërrimi, humbja aksidentale, ndryshimi, aksesi i paautorizuar dhe vënia në dispozicion e personave të paautorizuar, si dhe kundër çdo forme tjetër të paautorizuar të përpunimit. Për këtë qëllim, ato duhet të marrin masat e duhura teknike dhe organizative, të përshtatshme për mënyrën e përpunimit dhe duhet të marrin në konsideratë mbi të gjitha: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a) Mjetet ekzistuese teknike;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b) Nivelin e rrezikut të mundshëm që mund të shkelë sigurinë ose funksionimin e sistemit të të dhënave personale.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6. Subjektet përpunuese duhet të vërtetojnë nivelin dhe përmbajtjen e masave teknike, organizative të marra sipas paragrafit 5.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7. Çdo subjekt përpunues mund të autorizojë, me shkrim, një person përgjegjës për mbikëqyrjen e sigurisë së të dhënave personale.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8. Standardet minimale për sigurinë e të dhënave personale duhet të përfshijnë:</w:t>
      </w:r>
    </w:p>
    <w:p w:rsidR="002E4EB0" w:rsidRPr="007E29FC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7E29FC">
        <w:rPr>
          <w:b/>
          <w:sz w:val="21"/>
          <w:szCs w:val="21"/>
          <w:lang w:val="sq-AL"/>
        </w:rPr>
        <w:t>a) Analizën e riskut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Analiza e riskut identifikon kërcënimet që prekin pjesë individuale të sistemit të arkivimit, të afta të shkelin sigurinë apo funksionimin e tij. Rezultati i analizës së riskut do të jetë një listë e kërcënimeve që mund të rrezikojnë konfidencialitetin, integritetin dhe disponueshmërinë e të dhënave personale të përpunuara, ndërkohë që ajo do të deklarojë edhe shkallën e riskut të mundshëm, propozimet e masave për eliminimin apo minimizimin e ndikimit të riskut dhe një listë të rreziqeve të mbetura.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Analiza e riskut kryhet në mënyrë periodike, me qëllim identifikimin e rreziqeve kryesore ndaj të cilave sistemet janë të ekspozuara, si dhe dokumentimin e tyre në mënyrë të kuptueshme për praktikën e veprimtarisë së subjekteve përpunuese;</w:t>
      </w:r>
    </w:p>
    <w:p w:rsidR="002E4EB0" w:rsidRPr="007E29FC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7E29FC">
        <w:rPr>
          <w:b/>
          <w:sz w:val="21"/>
          <w:szCs w:val="21"/>
          <w:lang w:val="sq-AL"/>
        </w:rPr>
        <w:t>b) Sigurinë fizike dhe të ambientit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lastRenderedPageBreak/>
        <w:t xml:space="preserve">1. Sistemet e përpunimit të informacionit, programe ose pajisje TIK ku mbahet një </w:t>
      </w:r>
      <w:r w:rsidRPr="007E29FC">
        <w:rPr>
          <w:i/>
          <w:sz w:val="21"/>
          <w:szCs w:val="21"/>
          <w:lang w:val="sq-AL"/>
        </w:rPr>
        <w:t>databaze</w:t>
      </w:r>
      <w:r w:rsidRPr="007E29FC">
        <w:rPr>
          <w:sz w:val="21"/>
          <w:szCs w:val="21"/>
          <w:lang w:val="sq-AL"/>
        </w:rPr>
        <w:t xml:space="preserve"> duhet të aksesohen me fjalëkalim. Gjithmonë të bëhet </w:t>
      </w:r>
      <w:r w:rsidRPr="007E29FC">
        <w:rPr>
          <w:i/>
          <w:sz w:val="21"/>
          <w:szCs w:val="21"/>
          <w:lang w:val="sq-AL"/>
        </w:rPr>
        <w:t>backup</w:t>
      </w:r>
      <w:r w:rsidRPr="007E29FC">
        <w:rPr>
          <w:sz w:val="21"/>
          <w:szCs w:val="21"/>
          <w:lang w:val="sq-AL"/>
        </w:rPr>
        <w:t xml:space="preserve">-i (një kopje sigurie) i të dhënave në një ambient tjetër të sigurt.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2. Të lejohet aksesi fizik në pajisjet TIK për përpunimin e të dhënave personale, vetëm për personat e autorizuar dhe të mbahen regjistrime të identitetit të tyre.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3. Të shkatërrohen përfundimisht të gjitha pajisjet fizike që mbajnë të dhëna personale, kur ato e kanë përmbushur qëllimin për të cilin ishin grumbulluar ose përpunuar dhe në veçanti, letrat e printuara, përfshirë fotokopjet, fotografitë dhe mbartës të tjerë të dhënash: CD ROM, DVD ROM, TAPE (kaseta regjistruese të </w:t>
      </w:r>
      <w:r w:rsidRPr="007E29FC">
        <w:rPr>
          <w:i/>
          <w:sz w:val="21"/>
          <w:szCs w:val="21"/>
          <w:lang w:val="sq-AL"/>
        </w:rPr>
        <w:t>back up</w:t>
      </w:r>
      <w:r w:rsidRPr="007E29FC">
        <w:rPr>
          <w:sz w:val="21"/>
          <w:szCs w:val="21"/>
          <w:lang w:val="sq-AL"/>
        </w:rPr>
        <w:t>), formularë, regjistra fizikë.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4. Në rastin e pajisjeve elektronike portative për ruajtjen e të dhënave, si dhe pajisjeve memorizuese të tjera, shkatërrimi duhet të bëhet në përmbajtje, në atë mënyrë që të mos jetë i mundur rigjenerimi i informacionit.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5. Të zbatohet politika për “</w:t>
      </w:r>
      <w:r w:rsidRPr="007E29FC">
        <w:rPr>
          <w:i/>
          <w:sz w:val="21"/>
          <w:szCs w:val="21"/>
          <w:lang w:val="sq-AL"/>
        </w:rPr>
        <w:t>tavolinat e pastra</w:t>
      </w:r>
      <w:r w:rsidRPr="007E29FC">
        <w:rPr>
          <w:sz w:val="21"/>
          <w:szCs w:val="21"/>
          <w:lang w:val="sq-AL"/>
        </w:rPr>
        <w:t>” në rastet kur kontraktohen ofrues të shërbimeve, të cilët lejohen të hyjnë në ambientet tuaja edhe në mungesën tuaj, siç janë: pastrimi i zyrës dhe mirëmbajtja e saj, siguria e ndërtesës, shërbimet teknike etj.</w:t>
      </w:r>
    </w:p>
    <w:p w:rsidR="002E4EB0" w:rsidRPr="007E29FC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7E29FC">
        <w:rPr>
          <w:b/>
          <w:sz w:val="21"/>
          <w:szCs w:val="21"/>
          <w:lang w:val="sq-AL"/>
        </w:rPr>
        <w:t>c) Sigurinë logjike të pajisjeve TIK të përpunimit të të dhënave personale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1. Nëse keni në zotërim pajisje TIK për përpunimin e të dhënave personale: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a. Të disponohen programe (</w:t>
      </w:r>
      <w:r w:rsidRPr="007E29FC">
        <w:rPr>
          <w:i/>
          <w:sz w:val="21"/>
          <w:szCs w:val="21"/>
          <w:lang w:val="sq-AL"/>
        </w:rPr>
        <w:t>softëare</w:t>
      </w:r>
      <w:r w:rsidRPr="007E29FC">
        <w:rPr>
          <w:sz w:val="21"/>
          <w:szCs w:val="21"/>
          <w:lang w:val="sq-AL"/>
        </w:rPr>
        <w:t>) të ligjshëm për përpunimin e të dhënave personale që mundësojnë përditësimet e sigurisë për përdoruesit e ligjshëm;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b. Të instalohen masa sigurie për: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Garantimin e aksesit individual për t’i mundësuar çdo përdoruesi të punojë në llogarinë personale, duke përdorur mjete identifikimi si “emër përdoruesi” dhe “fjalëkalim”;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Kufizimin e mundësisë për të lidhur pajisje të jashtme vetëm në varësi të qëllimit që kërkohet, si dhe kontrollin e vazhdueshëm të tyre, duke bllokuar rrugë të tjera të aksesit.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c. Në rast përdorimi të një shërbimi të jashtëm, të kontraktuar për mirëmbajtjen e pajisjeve TIK të përpunimit të të dhënave personale: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Punonjësi i palës së kontraktuar, i cili mund të ketë akses në të dhënat personale gjatë zbatimit të detyrave, të trajtohet si përpunuesi juaj;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- Të përfshihet siguria përkatëse e përpunimit të të dhënave në kontratën me këtë palë, duke i garantuar këtij të fundit, akses formal në të dhënat personale apo sistemet, të cilat mbartin të dhëna personale.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d. Në rast përdorimi të një shërbimi të jashtëm, duke marrë me qira pajisjet TIK për përpunimin e të dhënave personale, atëherë: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Të përdoren komponentët e sigurisë që këshillohen nga ofruesi i shërbimit;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- Me mbarimin e kontratës së qirasë, të shkatërrohen të dhënat personale nga sistemet dhe pajisjet që do t’i kthehen pronarit të pajisjeve TIK, në atë mënyrë që të mos jetë e mundur që informacioni i mëparshëm të rigjenerohet.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Aksesi në rrjetet publike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a. Nëse është e mundur, të kontraktohen ofrues të shërbimit të aksesit në internet që ofrojnë komponentë të sigurisë së rrjetit dhe të instalohen, nëse është e nevojshme, në pajisjet TIK që janë në përdorim;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b. Në rast marrje me qira të pajisjeve për përpunimin e të dhënave personale nga një palë e tretë e specializuar, të kontraktohet shërbimi që ofron komponentë të përditësuar të sigurisë së rrjetit;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c. Në rast përdorimi të lidhjes me internet pa kabllo (</w:t>
      </w:r>
      <w:r w:rsidRPr="007E29FC">
        <w:rPr>
          <w:i/>
          <w:sz w:val="21"/>
          <w:szCs w:val="21"/>
          <w:lang w:val="sq-AL"/>
        </w:rPr>
        <w:t>ëireless</w:t>
      </w:r>
      <w:r w:rsidRPr="007E29FC">
        <w:rPr>
          <w:sz w:val="21"/>
          <w:szCs w:val="21"/>
          <w:lang w:val="sq-AL"/>
        </w:rPr>
        <w:t xml:space="preserve">), të mos përdoren pika aksesi të pakoduara dhe të zbatohen standardet e sigurisë për lidhje të tilla. </w:t>
      </w:r>
    </w:p>
    <w:p w:rsidR="002E4EB0" w:rsidRPr="007E29FC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7E29FC">
        <w:rPr>
          <w:b/>
          <w:sz w:val="21"/>
          <w:szCs w:val="21"/>
          <w:lang w:val="sq-AL"/>
        </w:rPr>
        <w:t>ç) Sigurinë e personelit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1) Të punësuarit duhet të informohen mbi rreziqet kryesore ndaj të cilave janë të ekspozuar.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2) Në rastet e punësimeve të reja, të zhvillohen trajnime në varësi të rrezikut të identifikuar dhe për të dhënat personale në lidhje me punësimin të ruhet konfidencialiteti.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3) Të udhëzohet personeli përkatës për ruajtjen e konfidencialitetit të të gjitha mënyrave të verifikimit, idendifikimit që janë vënë në dispozicion, për aksesin në pajisjet TIK të disponueshme, që përdoren për përpunimin e të dhënave personale.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4) Të ndalohet aksesi menjëherë pasi punonjësit nuk i kërkohet më të përpunojë të dhënat personale.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9. Për subjektet që përpunojnë të dhëna personale në mënyrë manuale, zbatohen dispozitat e </w:t>
      </w:r>
      <w:r w:rsidRPr="007E29FC">
        <w:rPr>
          <w:sz w:val="21"/>
          <w:szCs w:val="21"/>
          <w:lang w:val="sq-AL"/>
        </w:rPr>
        <w:lastRenderedPageBreak/>
        <w:t>parashikuara në pikën 22 të kapitullit III të udhëzimit nr. 21, datë 10.9.2012 “Për përcaktimin e rregullave për ruajtjen e sigurisë së të dhënave personale të përpunuara nga kontrolluesit e mëdhenj”.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Për zbatimin e këtij udhëzimi ngarkohen kontrolluesit publikë e privatë në territorin e Republikës së Shqipërisë, të përcaktuar në pikën 2 të tij.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Moszbatimi i kërkesave të këtij udhëzimi, përbën shkelje të ligjit për mbrojtjen e të dhënave personale dhe dënohet sipas nenit 39 të ligjit “Për mbrojtjen e të dhënave personale”, i ndryshuar. 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udhëzim hyn në fuqi 6 muaj pas botimit në Fletoren Zyrtare.</w:t>
      </w:r>
    </w:p>
    <w:p w:rsidR="002E4EB0" w:rsidRPr="007E29FC" w:rsidRDefault="002E4EB0" w:rsidP="002E4EB0">
      <w:pPr>
        <w:pStyle w:val="Paragrafi"/>
        <w:rPr>
          <w:sz w:val="21"/>
          <w:szCs w:val="21"/>
          <w:lang w:val="sq-AL"/>
        </w:rPr>
      </w:pPr>
    </w:p>
    <w:p w:rsidR="002E4EB0" w:rsidRPr="007E29FC" w:rsidRDefault="002E4EB0" w:rsidP="002E4EB0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KOMISIONERI</w:t>
      </w:r>
    </w:p>
    <w:p w:rsidR="002E4EB0" w:rsidRPr="007E29FC" w:rsidRDefault="002E4EB0" w:rsidP="002E4EB0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Flora Çabej (Pogaçe)</w:t>
      </w:r>
    </w:p>
    <w:sectPr w:rsidR="002E4EB0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EB0"/>
    <w:rsid w:val="002E4EB0"/>
    <w:rsid w:val="0087520D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418638-D0B2-45B6-BB12-DFBB0E9A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E4E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E4E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E4E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E4E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E4E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E4E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E4E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4E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E4E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E4E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4E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E4E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E4E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