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4EB0" w:rsidRPr="001939AB" w:rsidRDefault="002E4EB0" w:rsidP="002E4EB0">
      <w:pPr>
        <w:pStyle w:val="Akti"/>
        <w:rPr>
          <w:color w:val="auto"/>
          <w:sz w:val="21"/>
          <w:szCs w:val="21"/>
          <w:lang w:val="sq-AL"/>
        </w:rPr>
      </w:pPr>
      <w:r w:rsidRPr="001939AB">
        <w:rPr>
          <w:color w:val="auto"/>
          <w:sz w:val="21"/>
          <w:szCs w:val="21"/>
          <w:lang w:val="sq-AL"/>
        </w:rPr>
        <w:t>UDHËZIM</w:t>
      </w:r>
      <w:bookmarkStart w:id="0" w:name="_GoBack"/>
      <w:bookmarkEnd w:id="0"/>
    </w:p>
    <w:p w:rsidR="002E4EB0" w:rsidRPr="001939AB" w:rsidRDefault="002E4EB0" w:rsidP="002E4EB0">
      <w:pPr>
        <w:pStyle w:val="NumriData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Nr. 22, datë 24.9.2012</w:t>
      </w:r>
    </w:p>
    <w:p w:rsidR="002E4EB0" w:rsidRPr="001939AB" w:rsidRDefault="002E4EB0" w:rsidP="002E4EB0">
      <w:pPr>
        <w:pStyle w:val="Paragrafi"/>
        <w:rPr>
          <w:sz w:val="18"/>
          <w:szCs w:val="21"/>
          <w:lang w:val="sq-AL"/>
        </w:rPr>
      </w:pPr>
    </w:p>
    <w:p w:rsidR="002E4EB0" w:rsidRPr="001939AB" w:rsidRDefault="002E4EB0" w:rsidP="002E4EB0">
      <w:pPr>
        <w:pStyle w:val="Titulli"/>
        <w:rPr>
          <w:rFonts w:ascii="Garamond" w:hAnsi="Garamond"/>
          <w:b w:val="0"/>
          <w:i/>
          <w:sz w:val="24"/>
          <w:szCs w:val="24"/>
          <w:lang w:val="sq-AL"/>
        </w:rPr>
      </w:pPr>
      <w:r w:rsidRPr="001939AB">
        <w:rPr>
          <w:lang w:val="sq-AL"/>
        </w:rPr>
        <w:t xml:space="preserve">PËR PËRCAKTIMIN E RREGULLAVE PËR RUAJTJEN E SIGURISË TË TË DHËNAVE PERSONALE TË PËRPUNUARA NGA </w:t>
      </w:r>
      <w:r w:rsidR="008A63C8" w:rsidRPr="001939AB">
        <w:rPr>
          <w:i/>
          <w:lang w:val="sq-AL"/>
        </w:rPr>
        <w:t>subjektet përpunuese të vogla</w:t>
      </w:r>
      <w:r w:rsidRPr="001939AB">
        <w:rPr>
          <w:lang w:val="sq-AL"/>
        </w:rPr>
        <w:br/>
      </w:r>
      <w:r w:rsidR="0085444F" w:rsidRPr="001939AB">
        <w:rPr>
          <w:rFonts w:ascii="Garamond" w:hAnsi="Garamond"/>
          <w:b w:val="0"/>
          <w:i/>
          <w:sz w:val="24"/>
          <w:szCs w:val="24"/>
          <w:lang w:val="sq-AL"/>
        </w:rPr>
        <w:t>(</w:t>
      </w:r>
      <w:r w:rsidR="0085444F" w:rsidRPr="001939AB">
        <w:rPr>
          <w:rFonts w:ascii="Garamond" w:hAnsi="Garamond"/>
          <w:b w:val="0"/>
          <w:i/>
          <w:caps w:val="0"/>
          <w:sz w:val="24"/>
          <w:szCs w:val="24"/>
          <w:lang w:val="sq-AL"/>
        </w:rPr>
        <w:t>ndryshuar me udhëzimin nr. 34, datë 21.1.2013</w:t>
      </w:r>
      <w:r w:rsidR="0085444F" w:rsidRPr="001939AB">
        <w:rPr>
          <w:rFonts w:ascii="Garamond" w:hAnsi="Garamond"/>
          <w:b w:val="0"/>
          <w:i/>
          <w:sz w:val="24"/>
          <w:szCs w:val="24"/>
          <w:lang w:val="sq-AL"/>
        </w:rPr>
        <w:t>)</w:t>
      </w:r>
    </w:p>
    <w:p w:rsidR="0085444F" w:rsidRPr="001939AB" w:rsidRDefault="0085444F" w:rsidP="0085444F">
      <w:pPr>
        <w:jc w:val="right"/>
        <w:rPr>
          <w:i/>
          <w:lang w:val="sq-AL"/>
        </w:rPr>
      </w:pPr>
      <w:r w:rsidRPr="001939AB">
        <w:rPr>
          <w:i/>
          <w:lang w:val="sq-AL"/>
        </w:rPr>
        <w:t>(i përditësuar)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Mbështetur në shkronjën “f” të pikës 1 të nenit 31, si dhe në përputhje me detyrimet e përcaktuara në nenin 27 të ligjit nr. 9887, datë 10.3.2008 “Për mbrojtjen e të dhënave personale”, të ndryshuar, Komisioneri për Mbrojtjen e të Dhënave Personale;</w:t>
      </w:r>
    </w:p>
    <w:p w:rsidR="002E4EB0" w:rsidRPr="001939AB" w:rsidRDefault="002E4EB0" w:rsidP="002E4EB0">
      <w:pPr>
        <w:pStyle w:val="Paragrafi"/>
        <w:rPr>
          <w:sz w:val="20"/>
          <w:szCs w:val="21"/>
          <w:lang w:val="sq-AL"/>
        </w:rPr>
      </w:pPr>
    </w:p>
    <w:p w:rsidR="002E4EB0" w:rsidRPr="001939AB" w:rsidRDefault="002E4EB0" w:rsidP="002E4EB0">
      <w:pPr>
        <w:pStyle w:val="VENDOS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UDHËZON:</w:t>
      </w:r>
    </w:p>
    <w:p w:rsidR="002E4EB0" w:rsidRPr="001939AB" w:rsidRDefault="002E4EB0" w:rsidP="002E4EB0">
      <w:pPr>
        <w:pStyle w:val="Paragrafi"/>
        <w:rPr>
          <w:sz w:val="20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1. Parashikimin e masave themelore </w:t>
      </w:r>
      <w:r w:rsidR="00376022" w:rsidRPr="001939AB">
        <w:rPr>
          <w:i/>
          <w:lang w:val="sq-AL"/>
        </w:rPr>
        <w:t>teknike, organizative edhe në lidhje me personelin</w:t>
      </w:r>
      <w:r w:rsidRPr="001939AB">
        <w:rPr>
          <w:sz w:val="21"/>
          <w:szCs w:val="21"/>
          <w:lang w:val="sq-AL"/>
        </w:rPr>
        <w:t xml:space="preserve">, për mbrojtjen e të dhënave personale të përpunuara nga kontrolluesit e vegjël të të dhënave ose përpunuesit, më poshtë referuar subjektet përpunuese të të dhënave personale dhe rregullat e bashkëpunimit të tyre me Komisionerin. </w:t>
      </w:r>
    </w:p>
    <w:p w:rsidR="002E4EB0" w:rsidRPr="001939AB" w:rsidRDefault="002E4EB0" w:rsidP="008F59D6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2. </w:t>
      </w:r>
      <w:r w:rsidR="008F59D6" w:rsidRPr="001939AB">
        <w:rPr>
          <w:i/>
          <w:lang w:val="sq-AL"/>
        </w:rPr>
        <w:t>Subjekte përpunuese të vogla janë kontrolluesit ose përpunuesit, të cilët përpunojnë të dhëna personale në mënyrë elektronike ose manuale, duke shfrytëzuar më pak se 6 persona për të kryer përpunimin, qoftë në mënyrë të drejtpërdrejtë ose me anë të përpunuesve.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3. Kategoritë kryesore të përdoruesve, që detyrohen të ruajnë sigurinë e të dhënave personale, janë: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a) Administratorët e sistemeve të teknologjisë së informacionit, komunikimit (më tej të quajtur TIK) dhe të sigurisë së tyre, të cilët zbatojnë këtë detyrim kur subjekti, i cili përpunon të dhëna personale ka një sistem TIK të brendshëm dhe/ose të jashtëm të instaluar për këtë qëllim;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b) Operatorët e të dhënave personale (të punësuarit, të kontraktuarit etj.), të cilët përpunojnë të dhëna personale me qëllim, përmbushjen e detyrave të tyre kur punojnë për subjektin përpunues të të dhënave personale.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4. Përveç sa parashikohet në udhëzimin nr. </w:t>
      </w:r>
      <w:r w:rsidR="004B2A74" w:rsidRPr="001939AB">
        <w:rPr>
          <w:i/>
          <w:lang w:val="sq-AL"/>
        </w:rPr>
        <w:t>24, datë 27.12.2012 “Për detyrimet e kontrolluesve përpara se të përpunojnë të dhënat personale</w:t>
      </w:r>
      <w:r w:rsidRPr="001939AB">
        <w:rPr>
          <w:sz w:val="21"/>
          <w:szCs w:val="21"/>
          <w:lang w:val="sq-AL"/>
        </w:rPr>
        <w:t xml:space="preserve">”, subjektet përpunuese, duhet të përpunojnë të dhënat personale në përputhje me rregullat e përcaktuara në këtë udhëzim.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5. Subjektet përpunuese janë përgjegjës për sigurinë e të dhënave personale, duke i mbrojtur ato nga dëmtimet aksidentale apo të paligjshme ose shkatërrimi, humbja aksidentale, ndryshimi, aksesi i paautorizuar dhe vënia në dispozicion e personave të paautorizuar, si dhe kundër çdo forme tjetër të paautorizuar të përpunimit. Për këtë qëllim, ato duhet të marrin masat e duhura</w:t>
      </w:r>
      <w:r w:rsidR="005C1FD1" w:rsidRPr="001939AB">
        <w:rPr>
          <w:lang w:val="sq-AL"/>
        </w:rPr>
        <w:t xml:space="preserve"> </w:t>
      </w:r>
      <w:r w:rsidR="005C1FD1" w:rsidRPr="001939AB">
        <w:rPr>
          <w:i/>
          <w:lang w:val="sq-AL"/>
        </w:rPr>
        <w:t>teknike, organizative edhe në lidhje me personelin</w:t>
      </w:r>
      <w:r w:rsidRPr="001939AB">
        <w:rPr>
          <w:sz w:val="21"/>
          <w:szCs w:val="21"/>
          <w:lang w:val="sq-AL"/>
        </w:rPr>
        <w:t>, të përshtatshme për mënyrën e përpunimit dhe duhet të marrin në konsideratë mbi të gjitha: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a) Mjetet ekzistuese teknike;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b) Nivelin e rrezikut të mundshëm që mund të shkelë sigurinë ose funksionimin e sistemit të të dhënave personale.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6. Subjektet përpunuese duhet të vërtetojnë nivelin dhe përmbajtjen e masave teknike, organizative</w:t>
      </w:r>
      <w:r w:rsidR="001C524D" w:rsidRPr="001939AB">
        <w:rPr>
          <w:sz w:val="21"/>
          <w:szCs w:val="21"/>
          <w:lang w:val="sq-AL"/>
        </w:rPr>
        <w:t xml:space="preserve"> </w:t>
      </w:r>
      <w:r w:rsidR="001C524D" w:rsidRPr="001939AB">
        <w:rPr>
          <w:i/>
          <w:lang w:val="sq-AL"/>
        </w:rPr>
        <w:t>edhe në lidhje me personelin</w:t>
      </w:r>
      <w:r w:rsidRPr="001939AB">
        <w:rPr>
          <w:sz w:val="21"/>
          <w:szCs w:val="21"/>
          <w:lang w:val="sq-AL"/>
        </w:rPr>
        <w:t xml:space="preserve"> të marra sipas paragrafit 5.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7. Çdo subjekt përpunues mund të autorizojë, me shkrim, një person përgjegjës për mbikëqyrjen e sigurisë së të dhënave personale.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8. Standardet minimale për sigurinë e të dhënave personale duhet të përfshijnë:</w:t>
      </w:r>
    </w:p>
    <w:p w:rsidR="002E4EB0" w:rsidRPr="001939AB" w:rsidRDefault="002E4EB0" w:rsidP="002E4EB0">
      <w:pPr>
        <w:pStyle w:val="Paragrafi"/>
        <w:rPr>
          <w:b/>
          <w:sz w:val="21"/>
          <w:szCs w:val="21"/>
          <w:lang w:val="sq-AL"/>
        </w:rPr>
      </w:pPr>
      <w:r w:rsidRPr="001939AB">
        <w:rPr>
          <w:b/>
          <w:sz w:val="21"/>
          <w:szCs w:val="21"/>
          <w:lang w:val="sq-AL"/>
        </w:rPr>
        <w:t>a) Analizën e riskut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1. Analiza e riskut identifikon kërcënimet që prekin pjesë individuale të sistemit të arkivimit, të afta të shkelin sigurinë apo funksionimin e tij. Rezultati i analizës së riskut do të jetë një listë e kërcënimeve që mund të rrezikojnë konfidencialitetin, integritetin dhe disponueshmërinë e të dhënave personale të përpunuara, ndërkohë që ajo do të deklarojë edhe shkallën e riskut të mundshëm, propozimet e masave për eliminimin apo minimizimin e ndikimit të riskut dhe një listë të rreziqeve të mbetura.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2.</w:t>
      </w:r>
      <w:r w:rsidR="00E75C0F" w:rsidRPr="001939AB">
        <w:rPr>
          <w:lang w:val="sq-AL"/>
        </w:rPr>
        <w:t xml:space="preserve"> </w:t>
      </w:r>
      <w:r w:rsidR="00E75C0F" w:rsidRPr="001939AB">
        <w:rPr>
          <w:i/>
          <w:lang w:val="sq-AL"/>
        </w:rPr>
        <w:t>Analiza e riskut kryhet në mënyrë periodike dhe dokumentohet në mënyrë të kuptueshme për praktikën e veprimtarisë së subjekteve  përpunuese</w:t>
      </w:r>
      <w:r w:rsidRPr="001939AB">
        <w:rPr>
          <w:i/>
          <w:sz w:val="21"/>
          <w:szCs w:val="21"/>
          <w:lang w:val="sq-AL"/>
        </w:rPr>
        <w:t>;</w:t>
      </w:r>
    </w:p>
    <w:p w:rsidR="00BC3B31" w:rsidRPr="001939AB" w:rsidRDefault="00BC3B31" w:rsidP="002E4EB0">
      <w:pPr>
        <w:pStyle w:val="Paragrafi"/>
        <w:rPr>
          <w:b/>
          <w:sz w:val="21"/>
          <w:szCs w:val="21"/>
          <w:lang w:val="sq-AL"/>
        </w:rPr>
      </w:pPr>
    </w:p>
    <w:p w:rsidR="002E4EB0" w:rsidRPr="001939AB" w:rsidRDefault="002E4EB0" w:rsidP="002E4EB0">
      <w:pPr>
        <w:pStyle w:val="Paragrafi"/>
        <w:rPr>
          <w:b/>
          <w:sz w:val="21"/>
          <w:szCs w:val="21"/>
          <w:lang w:val="sq-AL"/>
        </w:rPr>
      </w:pPr>
      <w:r w:rsidRPr="001939AB">
        <w:rPr>
          <w:b/>
          <w:sz w:val="21"/>
          <w:szCs w:val="21"/>
          <w:lang w:val="sq-AL"/>
        </w:rPr>
        <w:lastRenderedPageBreak/>
        <w:t>b) Sigurinë fizike dhe të ambientit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1. Sistemet e përpunimit të informacionit, programe ose pajisje TIK ku mbahet një </w:t>
      </w:r>
      <w:r w:rsidRPr="001939AB">
        <w:rPr>
          <w:i/>
          <w:sz w:val="21"/>
          <w:szCs w:val="21"/>
          <w:lang w:val="sq-AL"/>
        </w:rPr>
        <w:t>databaze</w:t>
      </w:r>
      <w:r w:rsidRPr="001939AB">
        <w:rPr>
          <w:sz w:val="21"/>
          <w:szCs w:val="21"/>
          <w:lang w:val="sq-AL"/>
        </w:rPr>
        <w:t xml:space="preserve"> duhet të aksesohen me fjalëkalim. Gjithmonë të bëhet </w:t>
      </w:r>
      <w:r w:rsidRPr="001939AB">
        <w:rPr>
          <w:i/>
          <w:sz w:val="21"/>
          <w:szCs w:val="21"/>
          <w:lang w:val="sq-AL"/>
        </w:rPr>
        <w:t>backup</w:t>
      </w:r>
      <w:r w:rsidRPr="001939AB">
        <w:rPr>
          <w:sz w:val="21"/>
          <w:szCs w:val="21"/>
          <w:lang w:val="sq-AL"/>
        </w:rPr>
        <w:t xml:space="preserve">-i (një kopje sigurie) i të dhënave në një ambient tjetër të sigurt.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2. Të lejohet aksesi fizik në pajisjet TIK për përpunimin e të dhënave personale, vetëm për personat e autorizuar dhe të mbahen regjistrime të identitetit të tyre.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3. Të shkatërrohen përfundimisht të gjitha pajisjet fizike që mbajnë të dhëna personale, kur ato e kanë përmbushur qëllimin për të cilin ishin grumbulluar ose përpunuar dhe në veçanti, letrat e printuara, përfshirë fotokopjet, fotografitë dhe mbartës të tjerë të dhënash: CD ROM, DVD ROM, TAPE (kaseta regjistruese të </w:t>
      </w:r>
      <w:r w:rsidRPr="001939AB">
        <w:rPr>
          <w:i/>
          <w:sz w:val="21"/>
          <w:szCs w:val="21"/>
          <w:lang w:val="sq-AL"/>
        </w:rPr>
        <w:t>back up</w:t>
      </w:r>
      <w:r w:rsidRPr="001939AB">
        <w:rPr>
          <w:sz w:val="21"/>
          <w:szCs w:val="21"/>
          <w:lang w:val="sq-AL"/>
        </w:rPr>
        <w:t>), formularë, regjistra fizikë.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4. Në rastin e pajisjeve elektronike portative për ruajtjen e të dhënave, si dhe pajisjeve memorizuese të tjera, shkatërrimi duhet të bëhet në përmbajtje, në atë mënyrë që të mos jetë i mundur rigjenerimi i informacionit.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5. Të zbatohet politika për “</w:t>
      </w:r>
      <w:r w:rsidRPr="001939AB">
        <w:rPr>
          <w:i/>
          <w:sz w:val="21"/>
          <w:szCs w:val="21"/>
          <w:lang w:val="sq-AL"/>
        </w:rPr>
        <w:t>tavolinat e pastra</w:t>
      </w:r>
      <w:r w:rsidRPr="001939AB">
        <w:rPr>
          <w:sz w:val="21"/>
          <w:szCs w:val="21"/>
          <w:lang w:val="sq-AL"/>
        </w:rPr>
        <w:t>” në rastet kur kontraktohen ofrues të shërbimeve, të cilët lejohen të hyjnë në ambientet tuaja edhe në mungesën tuaj, siç janë: pastrimi i zyrës dhe mirëmbajtja e saj, siguria e ndërtesës, shërbimet teknike etj.</w:t>
      </w:r>
    </w:p>
    <w:p w:rsidR="002E4EB0" w:rsidRPr="001939AB" w:rsidRDefault="002E4EB0" w:rsidP="002E4EB0">
      <w:pPr>
        <w:pStyle w:val="Paragrafi"/>
        <w:rPr>
          <w:b/>
          <w:sz w:val="21"/>
          <w:szCs w:val="21"/>
          <w:lang w:val="sq-AL"/>
        </w:rPr>
      </w:pPr>
      <w:r w:rsidRPr="001939AB">
        <w:rPr>
          <w:b/>
          <w:sz w:val="21"/>
          <w:szCs w:val="21"/>
          <w:lang w:val="sq-AL"/>
        </w:rPr>
        <w:t>c) Sigurinë logjike të pajisjeve TIK të përpunimit të të dhënave personale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1. Nëse keni në zotërim pajisje TIK për përpunimin e të dhënave personale: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a. Të disponohen programe (</w:t>
      </w:r>
      <w:r w:rsidRPr="001939AB">
        <w:rPr>
          <w:i/>
          <w:sz w:val="21"/>
          <w:szCs w:val="21"/>
          <w:lang w:val="sq-AL"/>
        </w:rPr>
        <w:t>softëare</w:t>
      </w:r>
      <w:r w:rsidRPr="001939AB">
        <w:rPr>
          <w:sz w:val="21"/>
          <w:szCs w:val="21"/>
          <w:lang w:val="sq-AL"/>
        </w:rPr>
        <w:t>) të ligjshëm për përpunimin e të dhënave personale që mundësojnë përditësimet e sigurisë për përdoruesit e ligjshëm;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b. Të instalohen masa sigurie për: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- Garantimin e aksesit individual për t’i mundësuar çdo përdoruesi të punojë në llogarinë personale, duke përdorur mjete identifikimi si “emër përdoruesi” dhe “fjalëkalim”;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- Kufizimin e mundësisë për të lidhur pajisje të jashtme vetëm në varësi të qëllimit që kërkohet, si dhe kontrollin e vazhdueshëm të tyre, duke bllokuar rrugë të tjera të aksesit.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c. Në rast përdorimi të një shërbimi të jashtëm, të kontraktuar për mirëmbajtjen e pajisjeve TIK të përpunimit të të dhënave personale: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- Punonjësi i palës së kontraktuar, i cili mund të ketë akses në të dhënat personale gjatë zbatimit të detyrave, të trajtohet si përpunuesi juaj;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- Të përfshihet siguria përkatëse e përpunimit të të dhënave në kontratën me këtë palë, duke i garantuar këtij të fundit, akses formal në të dhënat personale apo sistemet, të cilat mbartin të dhëna personale.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d. Në rast përdorimi të një shërbimi të jashtëm, duke marrë me qira pajisjet TIK për përpunimin e të dhënave personale, atëherë: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- Të përdoren komponentët e sigurisë që këshillohen nga ofruesi i shërbimit;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- Me mbarimin e kontratës së qirasë, të shkatërrohen të dhënat personale nga sistemet dhe pajisjet që do t’i kthehen pronarit të pajisjeve TIK, në atë mënyrë që të mos jetë e mundur që informacioni i mëparshëm të rigjenerohet.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2. Aksesi në rrjetet publike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a. Nëse është e mundur, të kontraktohen ofrues të shërbimit të aksesit në internet që ofrojnë komponentë të sigurisë së rrjetit dhe të instalohen, nëse është e nevojshme, në pajisjet TIK që janë në përdorim;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b. Në rast marrje me qira të pajisjeve për përpunimin e të dhënave personale nga një palë e tretë e specializuar, të kontraktohet shërbimi që ofron komponentë të përditësuar të sigurisë së rrjetit;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c. Në rast përdorimi të lidhjes me internet pa kabllo (</w:t>
      </w:r>
      <w:r w:rsidRPr="001939AB">
        <w:rPr>
          <w:i/>
          <w:sz w:val="21"/>
          <w:szCs w:val="21"/>
          <w:lang w:val="sq-AL"/>
        </w:rPr>
        <w:t>ëireless</w:t>
      </w:r>
      <w:r w:rsidRPr="001939AB">
        <w:rPr>
          <w:sz w:val="21"/>
          <w:szCs w:val="21"/>
          <w:lang w:val="sq-AL"/>
        </w:rPr>
        <w:t xml:space="preserve">), të mos përdoren pika aksesi të pakoduara dhe të zbatohen standardet e sigurisë për lidhje të tilla. </w:t>
      </w:r>
    </w:p>
    <w:p w:rsidR="002E4EB0" w:rsidRPr="001939AB" w:rsidRDefault="002E4EB0" w:rsidP="002E4EB0">
      <w:pPr>
        <w:pStyle w:val="Paragrafi"/>
        <w:rPr>
          <w:b/>
          <w:sz w:val="21"/>
          <w:szCs w:val="21"/>
          <w:lang w:val="sq-AL"/>
        </w:rPr>
      </w:pPr>
      <w:r w:rsidRPr="001939AB">
        <w:rPr>
          <w:b/>
          <w:sz w:val="21"/>
          <w:szCs w:val="21"/>
          <w:lang w:val="sq-AL"/>
        </w:rPr>
        <w:t>ç) Sigurinë e personelit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1) Të punësuarit duhet të informohen mbi rreziqet kryesore ndaj të cilave janë të ekspozuar.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2) Në rastet e punësimeve të reja, të zhvillohen trajnime në varësi të rrezikut të identifikuar dhe për të dhënat personale në lidhje me punësimin të ruhet konfidencialiteti.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3) Të udhëzohet personeli përkatës për ruajtjen e konfidencialitetit të të gjitha mënyrave të verifikimit, idendifikimit që janë vënë në dispozicion, për aksesin në pajisjet TIK të disponueshme, që përdoren për përpunimin e të dhënave personale.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4) Të ndalohet aksesi menjëherë pasi punonjësit nuk i kërkohet më të përpunojë të dhënat personale.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lastRenderedPageBreak/>
        <w:t xml:space="preserve">9. Për subjektet që përpunojnë të dhëna personale në mënyrë manuale, zbatohen dispozitat e parashikuara në pikën 22 të kapitullit III të udhëzimit nr. 21, datë </w:t>
      </w:r>
      <w:r w:rsidR="001C524D" w:rsidRPr="001939AB">
        <w:rPr>
          <w:i/>
          <w:lang w:val="sq-AL"/>
        </w:rPr>
        <w:t>24.9.2012</w:t>
      </w:r>
      <w:r w:rsidRPr="001939AB">
        <w:rPr>
          <w:sz w:val="21"/>
          <w:szCs w:val="21"/>
          <w:lang w:val="sq-AL"/>
        </w:rPr>
        <w:t xml:space="preserve"> “Për përcaktimin e rregullave për ruajtjen e sigurisë së të dhënave personale të përpunuara nga kontrolluesit e mëdhenj”.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Për zbatimin e këtij udhëzimi ngarkohen kontrolluesit publikë e privatë në territorin e Republikës së Shqipërisë, të përcaktuar në pikën 2 të tij.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 xml:space="preserve">Moszbatimi i kërkesave të këtij udhëzimi, përbën shkelje të ligjit për mbrojtjen e të dhënave personale dhe dënohet sipas nenit 39 të ligjit “Për mbrojtjen e të dhënave personale”, i ndryshuar. 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Ky udhëzim hyn në fuqi 6 muaj pas botimit në Fletoren Zyrtare.</w:t>
      </w:r>
    </w:p>
    <w:p w:rsidR="002E4EB0" w:rsidRPr="001939AB" w:rsidRDefault="002E4EB0" w:rsidP="002E4EB0">
      <w:pPr>
        <w:pStyle w:val="Paragrafi"/>
        <w:rPr>
          <w:sz w:val="21"/>
          <w:szCs w:val="21"/>
          <w:lang w:val="sq-AL"/>
        </w:rPr>
      </w:pPr>
    </w:p>
    <w:p w:rsidR="002E4EB0" w:rsidRPr="001939AB" w:rsidRDefault="002E4EB0" w:rsidP="002E4EB0">
      <w:pPr>
        <w:pStyle w:val="Autoriteti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KOMISIONERI</w:t>
      </w:r>
    </w:p>
    <w:p w:rsidR="002E4EB0" w:rsidRPr="001939AB" w:rsidRDefault="002E4EB0" w:rsidP="002E4EB0">
      <w:pPr>
        <w:pStyle w:val="AutoritetiEmer"/>
        <w:rPr>
          <w:sz w:val="21"/>
          <w:szCs w:val="21"/>
          <w:lang w:val="sq-AL"/>
        </w:rPr>
      </w:pPr>
      <w:r w:rsidRPr="001939AB">
        <w:rPr>
          <w:sz w:val="21"/>
          <w:szCs w:val="21"/>
          <w:lang w:val="sq-AL"/>
        </w:rPr>
        <w:t>Flora Çabej (Pogaçe)</w:t>
      </w:r>
    </w:p>
    <w:sectPr w:rsidR="002E4EB0" w:rsidRPr="001939AB" w:rsidSect="00FD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E4EB0"/>
    <w:rsid w:val="001939AB"/>
    <w:rsid w:val="001C524D"/>
    <w:rsid w:val="002E4EB0"/>
    <w:rsid w:val="00376022"/>
    <w:rsid w:val="004B2A74"/>
    <w:rsid w:val="005C1FD1"/>
    <w:rsid w:val="0085444F"/>
    <w:rsid w:val="0087520D"/>
    <w:rsid w:val="008A63C8"/>
    <w:rsid w:val="008F59D6"/>
    <w:rsid w:val="009D6765"/>
    <w:rsid w:val="00B44D0B"/>
    <w:rsid w:val="00BC3B31"/>
    <w:rsid w:val="00DF3642"/>
    <w:rsid w:val="00E75C0F"/>
    <w:rsid w:val="00F6560A"/>
    <w:rsid w:val="00FD4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418638-D0B2-45B6-BB12-DFBB0E9A5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48FA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2E4E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E4EB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E4EB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2E4EB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2E4EB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2E4EB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2E4EB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E4EB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2E4EB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E4E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4EB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E4EB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2E4EB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Besiana Aleti</cp:lastModifiedBy>
  <cp:revision>17</cp:revision>
  <dcterms:created xsi:type="dcterms:W3CDTF">2019-03-18T15:46:00Z</dcterms:created>
  <dcterms:modified xsi:type="dcterms:W3CDTF">2025-12-23T10:54:00Z</dcterms:modified>
</cp:coreProperties>
</file>