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BF3" w:rsidRPr="00C84B2B" w:rsidRDefault="008E4BF3" w:rsidP="008E4BF3">
      <w:pPr>
        <w:pStyle w:val="Akti"/>
        <w:keepNext w:val="0"/>
        <w:rPr>
          <w:lang w:val="sq-AL"/>
        </w:rPr>
      </w:pPr>
      <w:bookmarkStart w:id="0" w:name="_GoBack"/>
      <w:bookmarkEnd w:id="0"/>
      <w:r w:rsidRPr="00C84B2B">
        <w:rPr>
          <w:lang w:val="sq-AL"/>
        </w:rPr>
        <w:t>UDHËZIM</w:t>
      </w:r>
    </w:p>
    <w:p w:rsidR="008E4BF3" w:rsidRPr="00C84B2B" w:rsidRDefault="008E4BF3" w:rsidP="008E4BF3">
      <w:pPr>
        <w:pStyle w:val="NumriData"/>
        <w:keepNext w:val="0"/>
        <w:rPr>
          <w:lang w:val="sq-AL"/>
        </w:rPr>
      </w:pPr>
      <w:r w:rsidRPr="00C84B2B">
        <w:rPr>
          <w:lang w:val="sq-AL"/>
        </w:rPr>
        <w:t>Nr. 33, datë 21.1.2013</w:t>
      </w:r>
    </w:p>
    <w:p w:rsidR="008E4BF3" w:rsidRPr="00F901D4" w:rsidRDefault="008E4BF3" w:rsidP="008E4BF3">
      <w:pPr>
        <w:pStyle w:val="Paragrafi"/>
        <w:rPr>
          <w:sz w:val="16"/>
          <w:lang w:val="sq-AL"/>
        </w:rPr>
      </w:pPr>
    </w:p>
    <w:p w:rsidR="008E4BF3" w:rsidRPr="00C84B2B" w:rsidRDefault="008E4BF3" w:rsidP="008E4BF3">
      <w:pPr>
        <w:pStyle w:val="Titulli"/>
        <w:keepNext w:val="0"/>
        <w:rPr>
          <w:lang w:val="sq-AL"/>
        </w:rPr>
      </w:pPr>
      <w:r w:rsidRPr="00C84B2B">
        <w:rPr>
          <w:lang w:val="sq-AL"/>
        </w:rPr>
        <w:t>PËR DISA SHTESA DHE NDRYSHIM</w:t>
      </w:r>
      <w:r>
        <w:rPr>
          <w:lang w:val="sq-AL"/>
        </w:rPr>
        <w:t>E NË UDHËZIMIN Nr. 21, Datë 24.</w:t>
      </w:r>
      <w:r w:rsidRPr="00C84B2B">
        <w:rPr>
          <w:lang w:val="sq-AL"/>
        </w:rPr>
        <w:t>9.2012 “PËR PËRCAKTIMIN E RREGULLAVE PËR RUAJTJEN E SIGURISË SË TË DHËNAVE PERSONALE TË PËRPUNUARA NGA KONTROLLUESIT E MËDHENJ”</w:t>
      </w:r>
    </w:p>
    <w:p w:rsidR="008E4BF3" w:rsidRPr="00F901D4" w:rsidRDefault="008E4BF3" w:rsidP="008E4BF3">
      <w:pPr>
        <w:pStyle w:val="Paragrafi"/>
        <w:rPr>
          <w:sz w:val="16"/>
          <w:lang w:val="sq-AL"/>
        </w:rPr>
      </w:pP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 xml:space="preserve">Në mbështetje </w:t>
      </w:r>
      <w:r>
        <w:rPr>
          <w:lang w:val="sq-AL"/>
        </w:rPr>
        <w:t>të shkronjës “f”</w:t>
      </w:r>
      <w:r w:rsidRPr="00C84B2B">
        <w:rPr>
          <w:lang w:val="sq-AL"/>
        </w:rPr>
        <w:t xml:space="preserve"> pika 1 e n</w:t>
      </w:r>
      <w:r>
        <w:rPr>
          <w:lang w:val="sq-AL"/>
        </w:rPr>
        <w:t>enit 31</w:t>
      </w:r>
      <w:r w:rsidRPr="00C84B2B">
        <w:rPr>
          <w:lang w:val="sq-AL"/>
        </w:rPr>
        <w:t xml:space="preserve"> dhe në bazë të detyrimeve të përcaktuara në nenin 27 të ligjit nr. 9887, datë 10.3.2008 “Për mbrojtjen e të dhënave personale”</w:t>
      </w:r>
      <w:r>
        <w:rPr>
          <w:lang w:val="sq-AL"/>
        </w:rPr>
        <w:t>,</w:t>
      </w:r>
      <w:r w:rsidRPr="00C84B2B">
        <w:rPr>
          <w:lang w:val="sq-AL"/>
        </w:rPr>
        <w:t xml:space="preserve"> të ndryshuar, Komisioneri për M</w:t>
      </w:r>
      <w:r>
        <w:rPr>
          <w:lang w:val="sq-AL"/>
        </w:rPr>
        <w:t>brojtjen e të Dhënave Personale</w:t>
      </w:r>
    </w:p>
    <w:p w:rsidR="008E4BF3" w:rsidRPr="00F901D4" w:rsidRDefault="008E4BF3" w:rsidP="008E4BF3">
      <w:pPr>
        <w:pStyle w:val="Paragrafi"/>
        <w:rPr>
          <w:sz w:val="14"/>
          <w:lang w:val="sq-AL"/>
        </w:rPr>
      </w:pPr>
    </w:p>
    <w:p w:rsidR="008E4BF3" w:rsidRPr="00C84B2B" w:rsidRDefault="008E4BF3" w:rsidP="008E4BF3">
      <w:pPr>
        <w:pStyle w:val="VENDOSI"/>
        <w:keepNext w:val="0"/>
        <w:rPr>
          <w:lang w:val="sq-AL"/>
        </w:rPr>
      </w:pPr>
      <w:r w:rsidRPr="00C84B2B">
        <w:rPr>
          <w:lang w:val="sq-AL"/>
        </w:rPr>
        <w:t>UDHËZON:</w:t>
      </w:r>
    </w:p>
    <w:p w:rsidR="008E4BF3" w:rsidRPr="00F901D4" w:rsidRDefault="008E4BF3" w:rsidP="008E4BF3">
      <w:pPr>
        <w:pStyle w:val="Paragrafi"/>
        <w:rPr>
          <w:sz w:val="8"/>
          <w:lang w:val="sq-AL"/>
        </w:rPr>
      </w:pP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 xml:space="preserve">Në </w:t>
      </w:r>
      <w:r>
        <w:rPr>
          <w:lang w:val="sq-AL"/>
        </w:rPr>
        <w:t>u</w:t>
      </w:r>
      <w:r w:rsidRPr="00C84B2B">
        <w:rPr>
          <w:lang w:val="sq-AL"/>
        </w:rPr>
        <w:t>dhëzimin nr. 21, datë 24.9.2012 “</w:t>
      </w:r>
      <w:r>
        <w:rPr>
          <w:lang w:val="sq-AL"/>
        </w:rPr>
        <w:t>P</w:t>
      </w:r>
      <w:r w:rsidRPr="00C84B2B">
        <w:rPr>
          <w:lang w:val="sq-AL"/>
        </w:rPr>
        <w:t xml:space="preserve">ër </w:t>
      </w:r>
      <w:r>
        <w:rPr>
          <w:lang w:val="sq-AL"/>
        </w:rPr>
        <w:t>p</w:t>
      </w:r>
      <w:r w:rsidRPr="00C84B2B">
        <w:rPr>
          <w:lang w:val="sq-AL"/>
        </w:rPr>
        <w:t>ërcaktimin e rregullave për ruajtjen e sigurisë së të dhënave personale të përpunuara nga kontrolluesit e mëdhenj”, bëhen shtesa dhe ndryshimet si vijon: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1. Në titullin e udhëzimit, togfjalëshi “</w:t>
      </w:r>
      <w:r>
        <w:rPr>
          <w:lang w:val="sq-AL"/>
        </w:rPr>
        <w:t>k</w:t>
      </w:r>
      <w:r w:rsidRPr="00C84B2B">
        <w:rPr>
          <w:lang w:val="sq-AL"/>
        </w:rPr>
        <w:t>ontrolluesit e mëdhenj” zëvendësohet me “</w:t>
      </w:r>
      <w:r>
        <w:rPr>
          <w:lang w:val="sq-AL"/>
        </w:rPr>
        <w:t>s</w:t>
      </w:r>
      <w:r w:rsidRPr="00C84B2B">
        <w:rPr>
          <w:lang w:val="sq-AL"/>
        </w:rPr>
        <w:t>ubjektet përpunuese të mëdha”.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2. Në pikën 1, togfjalëshi “teknike dhe organizative” zëvendësohet me “teknike, organizative edhe në lidhje me personelin”.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 xml:space="preserve">3. Përmbajtja e shkronjës </w:t>
      </w:r>
      <w:r>
        <w:rPr>
          <w:lang w:val="sq-AL"/>
        </w:rPr>
        <w:t>“</w:t>
      </w:r>
      <w:r w:rsidRPr="00C84B2B">
        <w:rPr>
          <w:lang w:val="sq-AL"/>
        </w:rPr>
        <w:t>a</w:t>
      </w:r>
      <w:r>
        <w:rPr>
          <w:lang w:val="sq-AL"/>
        </w:rPr>
        <w:t>”</w:t>
      </w:r>
      <w:r w:rsidRPr="00C84B2B">
        <w:rPr>
          <w:lang w:val="sq-AL"/>
        </w:rPr>
        <w:t xml:space="preserve"> të pikës 2, ndryshohet si vijon: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 xml:space="preserve">“Subjekte përpunuese të mëdha janë </w:t>
      </w:r>
      <w:r>
        <w:rPr>
          <w:lang w:val="sq-AL"/>
        </w:rPr>
        <w:t>k</w:t>
      </w:r>
      <w:r w:rsidRPr="00C84B2B">
        <w:rPr>
          <w:lang w:val="sq-AL"/>
        </w:rPr>
        <w:t xml:space="preserve">ontrolluesit ose </w:t>
      </w:r>
      <w:r>
        <w:rPr>
          <w:lang w:val="sq-AL"/>
        </w:rPr>
        <w:t>p</w:t>
      </w:r>
      <w:r w:rsidRPr="00C84B2B">
        <w:rPr>
          <w:lang w:val="sq-AL"/>
        </w:rPr>
        <w:t>ërpunuesit</w:t>
      </w:r>
      <w:r>
        <w:rPr>
          <w:lang w:val="sq-AL"/>
        </w:rPr>
        <w:t>,</w:t>
      </w:r>
      <w:r w:rsidRPr="00C84B2B">
        <w:rPr>
          <w:lang w:val="sq-AL"/>
        </w:rPr>
        <w:t xml:space="preserve"> të cilët përpunojnë të dhëna personale në mënyrë elektronike ose manuale</w:t>
      </w:r>
      <w:r>
        <w:rPr>
          <w:lang w:val="sq-AL"/>
        </w:rPr>
        <w:t>,</w:t>
      </w:r>
      <w:r w:rsidRPr="00C84B2B">
        <w:rPr>
          <w:lang w:val="sq-AL"/>
        </w:rPr>
        <w:t xml:space="preserve"> duke shfrytëzuar 6 e më shumë persona për të kryer përpunimin, qoftë në mënyrë të drejtpërdrejtë ose me anë të përpunuesve”. 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4. Në pikën 4, akti nënligjor i referuar ““Udhëzimin nr. 2, datë 25.2.2010 “</w:t>
      </w:r>
      <w:r>
        <w:rPr>
          <w:lang w:val="sq-AL"/>
        </w:rPr>
        <w:t>P</w:t>
      </w:r>
      <w:r w:rsidRPr="00C84B2B">
        <w:rPr>
          <w:lang w:val="sq-AL"/>
        </w:rPr>
        <w:t xml:space="preserve">ër </w:t>
      </w:r>
      <w:r>
        <w:rPr>
          <w:lang w:val="sq-AL"/>
        </w:rPr>
        <w:t>d</w:t>
      </w:r>
      <w:r w:rsidRPr="00C84B2B">
        <w:rPr>
          <w:lang w:val="sq-AL"/>
        </w:rPr>
        <w:t>etyrimet e kontrolluesve dhe përpunuesve përpara se të përpunojnë të dhënat personale””, zëvendësohet me ““Udhëzimin nr. 24 , datë 27.12.2012 “</w:t>
      </w:r>
      <w:r>
        <w:rPr>
          <w:lang w:val="sq-AL"/>
        </w:rPr>
        <w:t>P</w:t>
      </w:r>
      <w:r w:rsidRPr="00C84B2B">
        <w:rPr>
          <w:lang w:val="sq-AL"/>
        </w:rPr>
        <w:t xml:space="preserve">ër </w:t>
      </w:r>
      <w:r>
        <w:rPr>
          <w:lang w:val="sq-AL"/>
        </w:rPr>
        <w:t>d</w:t>
      </w:r>
      <w:r w:rsidRPr="00C84B2B">
        <w:rPr>
          <w:lang w:val="sq-AL"/>
        </w:rPr>
        <w:t>etyrimet e kontrolluesve përpara se të përpunojnë të dhënat personale””.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5. Në pikën 6, togfjalëshi “masave teknike, organizative dhe të sigurisë personale” zëvendësohet me “masave të sigurisë teknike, organizative edhe në lidhje me personelin”.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6. Në pikën 7, togfjalëshi “i jashtëm (person fizik ose juridik)” hiqet nga përmbajtja.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7. Në pikën 13, fjala “platformës” zëvendësohet me fjalën “shërbimeve”.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8. Në pikën 14, termi “business continuity plan” hiqet nga përmbajtja.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9. Në pikën 17, togfjalëshi “masat teknike dhe organizative të nevojshme” zëvendësohet me “masat teknike, organizative edhe në lidhje me personelin”.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 xml:space="preserve">10. Në shkronjën </w:t>
      </w:r>
      <w:r>
        <w:rPr>
          <w:lang w:val="sq-AL"/>
        </w:rPr>
        <w:t>“</w:t>
      </w:r>
      <w:r w:rsidRPr="00C84B2B">
        <w:rPr>
          <w:lang w:val="sq-AL"/>
        </w:rPr>
        <w:t>b</w:t>
      </w:r>
      <w:r>
        <w:rPr>
          <w:lang w:val="sq-AL"/>
        </w:rPr>
        <w:t>”</w:t>
      </w:r>
      <w:r w:rsidRPr="00C84B2B">
        <w:rPr>
          <w:lang w:val="sq-AL"/>
        </w:rPr>
        <w:t xml:space="preserve"> të pikës 20, fjala “dhe personale” zëvendësohet me togfjalëshin “edhe në lidhje me personelin”.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 xml:space="preserve">11. Në paragrafin </w:t>
      </w:r>
      <w:r>
        <w:rPr>
          <w:lang w:val="sq-AL"/>
        </w:rPr>
        <w:t>“</w:t>
      </w:r>
      <w:r w:rsidRPr="00C84B2B">
        <w:rPr>
          <w:lang w:val="sq-AL"/>
        </w:rPr>
        <w:t>i</w:t>
      </w:r>
      <w:r>
        <w:rPr>
          <w:lang w:val="sq-AL"/>
        </w:rPr>
        <w:t>”</w:t>
      </w:r>
      <w:r w:rsidRPr="00C84B2B">
        <w:rPr>
          <w:lang w:val="sq-AL"/>
        </w:rPr>
        <w:t xml:space="preserve"> të shkronjës </w:t>
      </w:r>
      <w:r>
        <w:rPr>
          <w:lang w:val="sq-AL"/>
        </w:rPr>
        <w:t>“</w:t>
      </w:r>
      <w:r w:rsidRPr="00C84B2B">
        <w:rPr>
          <w:lang w:val="sq-AL"/>
        </w:rPr>
        <w:t>c</w:t>
      </w:r>
      <w:r>
        <w:rPr>
          <w:lang w:val="sq-AL"/>
        </w:rPr>
        <w:t>”</w:t>
      </w:r>
      <w:r w:rsidRPr="00C84B2B">
        <w:rPr>
          <w:lang w:val="sq-AL"/>
        </w:rPr>
        <w:t xml:space="preserve"> të pikës 21, fjala “të personelit” zëvendësohet me togfjalëshin “edhe në lidhje me personelin”.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 xml:space="preserve">12. Në shkronjën </w:t>
      </w:r>
      <w:r>
        <w:rPr>
          <w:lang w:val="sq-AL"/>
        </w:rPr>
        <w:t>“</w:t>
      </w:r>
      <w:r w:rsidRPr="00C84B2B">
        <w:rPr>
          <w:lang w:val="sq-AL"/>
        </w:rPr>
        <w:t>c</w:t>
      </w:r>
      <w:r>
        <w:rPr>
          <w:lang w:val="sq-AL"/>
        </w:rPr>
        <w:t>”</w:t>
      </w:r>
      <w:r w:rsidRPr="00C84B2B">
        <w:rPr>
          <w:lang w:val="sq-AL"/>
        </w:rPr>
        <w:t xml:space="preserve"> të pikës 34, fjala “të personelit” zëvendësohet me togfjalëshin “edhe në lidhje me personelin”.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13. Në pikën 38, togfjalëshi “që sjell dëme për të”, zëvendësohet me “në dëm të personit të kontaktit”.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14. Përmbajtja e pikës 41 ndryshon si vijon: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“Nëse nuk është e mundur, për arsye objektive, të zbatohet afati i përcaktuar në pikën 40, Komisioneri do të ofrojë një muaj shtesë për subjektin përpunues të të dhënave personale</w:t>
      </w:r>
      <w:r>
        <w:rPr>
          <w:lang w:val="sq-AL"/>
        </w:rPr>
        <w:t>”</w:t>
      </w:r>
      <w:r w:rsidRPr="00C84B2B">
        <w:rPr>
          <w:lang w:val="sq-AL"/>
        </w:rPr>
        <w:t>.</w:t>
      </w:r>
    </w:p>
    <w:p w:rsidR="008E4BF3" w:rsidRPr="00C84B2B" w:rsidRDefault="008E4BF3" w:rsidP="008E4BF3">
      <w:pPr>
        <w:pStyle w:val="Paragrafi"/>
        <w:rPr>
          <w:lang w:val="sq-AL"/>
        </w:rPr>
      </w:pPr>
      <w:r w:rsidRPr="00C84B2B">
        <w:rPr>
          <w:lang w:val="sq-AL"/>
        </w:rPr>
        <w:t>Ky udhëzim hyn në fuqi në të njëjtën koh</w:t>
      </w:r>
      <w:r>
        <w:rPr>
          <w:lang w:val="sq-AL"/>
        </w:rPr>
        <w:t>ë me udhëzimin nr. 21, datë 24.</w:t>
      </w:r>
      <w:r w:rsidRPr="00C84B2B">
        <w:rPr>
          <w:lang w:val="sq-AL"/>
        </w:rPr>
        <w:t>9.2012 dhe botohet në Fletoren Zyrtare.</w:t>
      </w:r>
    </w:p>
    <w:p w:rsidR="008E4BF3" w:rsidRDefault="008E4BF3" w:rsidP="008E4BF3">
      <w:pPr>
        <w:pStyle w:val="Autoriteti"/>
        <w:keepNext w:val="0"/>
      </w:pPr>
    </w:p>
    <w:p w:rsidR="008E4BF3" w:rsidRPr="00F901D4" w:rsidRDefault="008E4BF3" w:rsidP="008E4BF3">
      <w:pPr>
        <w:pStyle w:val="Autoriteti"/>
        <w:keepNext w:val="0"/>
      </w:pPr>
      <w:r w:rsidRPr="00F901D4">
        <w:t xml:space="preserve">KOMISIONERe </w:t>
      </w:r>
    </w:p>
    <w:p w:rsidR="008E4BF3" w:rsidRDefault="008E4BF3" w:rsidP="008E4BF3">
      <w:pPr>
        <w:pStyle w:val="AutoritetiEmer"/>
        <w:rPr>
          <w:lang w:val="sq-AL"/>
        </w:rPr>
      </w:pPr>
      <w:r w:rsidRPr="00C84B2B">
        <w:rPr>
          <w:lang w:val="sq-AL"/>
        </w:rPr>
        <w:t>Flora Çabej (Pogaçe)</w:t>
      </w:r>
    </w:p>
    <w:sectPr w:rsidR="008E4BF3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4BF3"/>
    <w:rsid w:val="008D0249"/>
    <w:rsid w:val="008E4BF3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E2B6E1-E7A8-4638-AD9C-5D587F3C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E4B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E4B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E4BF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E4B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E4B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E4B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E4B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E4B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E4BF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E4B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E4B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E4B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E4B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