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B0F" w:rsidRPr="004E35E1" w:rsidRDefault="004A4B0F" w:rsidP="004A4B0F">
      <w:pPr>
        <w:pStyle w:val="Akti"/>
        <w:rPr>
          <w:lang w:val="sq-AL"/>
        </w:rPr>
      </w:pPr>
      <w:bookmarkStart w:id="0" w:name="_GoBack"/>
      <w:bookmarkEnd w:id="0"/>
      <w:r w:rsidRPr="004E35E1">
        <w:rPr>
          <w:lang w:val="sq-AL"/>
        </w:rPr>
        <w:t>UDHËZIM</w:t>
      </w:r>
    </w:p>
    <w:p w:rsidR="004A4B0F" w:rsidRPr="004E35E1" w:rsidRDefault="004A4B0F" w:rsidP="004A4B0F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E35E1">
        <w:rPr>
          <w:lang w:val="sq-AL"/>
        </w:rPr>
        <w:t>39, datë 5.8.2013</w:t>
      </w:r>
    </w:p>
    <w:p w:rsidR="004A4B0F" w:rsidRPr="004E35E1" w:rsidRDefault="004A4B0F" w:rsidP="004A4B0F">
      <w:pPr>
        <w:pStyle w:val="Titulli"/>
        <w:rPr>
          <w:lang w:val="sq-AL"/>
        </w:rPr>
      </w:pPr>
    </w:p>
    <w:p w:rsidR="004A4B0F" w:rsidRPr="004E35E1" w:rsidRDefault="004A4B0F" w:rsidP="004A4B0F">
      <w:pPr>
        <w:pStyle w:val="Titulli"/>
        <w:rPr>
          <w:lang w:val="sq-AL"/>
        </w:rPr>
      </w:pPr>
      <w:r w:rsidRPr="004E35E1">
        <w:rPr>
          <w:lang w:val="sq-AL"/>
        </w:rPr>
        <w:t>PËR PËRPUNIMIN E TË DHËNAVE PERSONALE NË R</w:t>
      </w:r>
      <w:r>
        <w:rPr>
          <w:lang w:val="sq-AL"/>
        </w:rPr>
        <w:t>EGJISTRAT PUBLIKË</w:t>
      </w:r>
    </w:p>
    <w:p w:rsidR="004A4B0F" w:rsidRPr="004E35E1" w:rsidRDefault="004A4B0F" w:rsidP="004A4B0F">
      <w:pPr>
        <w:pStyle w:val="Paragrafi"/>
        <w:rPr>
          <w:lang w:val="sq-AL"/>
        </w:rPr>
      </w:pPr>
    </w:p>
    <w:p w:rsidR="004A4B0F" w:rsidRPr="004E35E1" w:rsidRDefault="004A4B0F" w:rsidP="004A4B0F">
      <w:pPr>
        <w:pStyle w:val="Paragrafi"/>
        <w:rPr>
          <w:lang w:val="sq-AL"/>
        </w:rPr>
      </w:pPr>
      <w:r>
        <w:rPr>
          <w:lang w:val="sq-AL"/>
        </w:rPr>
        <w:t>Në mbështetje të shkronjës “f” të pikës 1 të nenit 31</w:t>
      </w:r>
      <w:r w:rsidRPr="004E35E1">
        <w:rPr>
          <w:lang w:val="sq-AL"/>
        </w:rPr>
        <w:t xml:space="preserve"> të ligjit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4E35E1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4E35E1">
        <w:rPr>
          <w:lang w:val="sq-AL"/>
        </w:rPr>
        <w:t>, të ndryshuar, Komisioneri për Mb</w:t>
      </w:r>
      <w:r>
        <w:rPr>
          <w:lang w:val="sq-AL"/>
        </w:rPr>
        <w:t>rojtjen e të Dhënave Personale</w:t>
      </w:r>
    </w:p>
    <w:p w:rsidR="004A4B0F" w:rsidRPr="004E35E1" w:rsidRDefault="004A4B0F" w:rsidP="004A4B0F">
      <w:pPr>
        <w:pStyle w:val="Paragrafi"/>
        <w:rPr>
          <w:lang w:val="sq-AL"/>
        </w:rPr>
      </w:pPr>
    </w:p>
    <w:p w:rsidR="004A4B0F" w:rsidRPr="004E35E1" w:rsidRDefault="004A4B0F" w:rsidP="004A4B0F">
      <w:pPr>
        <w:pStyle w:val="VENDOSI"/>
        <w:rPr>
          <w:lang w:val="sq-AL"/>
        </w:rPr>
      </w:pPr>
      <w:r w:rsidRPr="004E35E1">
        <w:rPr>
          <w:lang w:val="sq-AL"/>
        </w:rPr>
        <w:t>UDHËZON:</w:t>
      </w:r>
    </w:p>
    <w:p w:rsidR="004A4B0F" w:rsidRPr="004E35E1" w:rsidRDefault="004A4B0F" w:rsidP="004A4B0F">
      <w:pPr>
        <w:pStyle w:val="Paragrafi"/>
        <w:rPr>
          <w:lang w:val="sq-AL"/>
        </w:rPr>
      </w:pP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 xml:space="preserve">1. Qëllimi i këtij </w:t>
      </w:r>
      <w:r>
        <w:rPr>
          <w:lang w:val="sq-AL"/>
        </w:rPr>
        <w:t>u</w:t>
      </w:r>
      <w:r w:rsidRPr="004E35E1">
        <w:rPr>
          <w:lang w:val="sq-AL"/>
        </w:rPr>
        <w:t>dhëzimi është përcaktimi i rregullave të detyrueshme për zbatim nga institucionet publike në lidhje me mbledhjen, përpunimin dhe publikimin e të dhënave personale që përmbajnë regjistrat publik</w:t>
      </w:r>
      <w:r>
        <w:rPr>
          <w:lang w:val="sq-AL"/>
        </w:rPr>
        <w:t>ë</w:t>
      </w:r>
      <w:r w:rsidRPr="004E35E1">
        <w:rPr>
          <w:lang w:val="sq-AL"/>
        </w:rPr>
        <w:t>.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 xml:space="preserve">2. Ky </w:t>
      </w:r>
      <w:r>
        <w:rPr>
          <w:lang w:val="sq-AL"/>
        </w:rPr>
        <w:t>u</w:t>
      </w:r>
      <w:r w:rsidRPr="004E35E1">
        <w:rPr>
          <w:lang w:val="sq-AL"/>
        </w:rPr>
        <w:t>dhëzim i drejtohet dhe është i detyrueshëm për zbatim nga të gjith</w:t>
      </w:r>
      <w:r>
        <w:rPr>
          <w:lang w:val="sq-AL"/>
        </w:rPr>
        <w:t>a</w:t>
      </w:r>
      <w:r w:rsidRPr="004E35E1">
        <w:rPr>
          <w:lang w:val="sq-AL"/>
        </w:rPr>
        <w:t xml:space="preserve"> institucionet publike, të cil</w:t>
      </w:r>
      <w:r>
        <w:rPr>
          <w:lang w:val="sq-AL"/>
        </w:rPr>
        <w:t>a</w:t>
      </w:r>
      <w:r w:rsidRPr="004E35E1">
        <w:rPr>
          <w:lang w:val="sq-AL"/>
        </w:rPr>
        <w:t>t në bazë të një akti ligjor ose nënligjor administrojnë dhe bëjnë publike të dhëna personale që përmbahen në një regjistër publik.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 xml:space="preserve">3. Në përputhje me ligjin për mbrojtjen e të dhënave personale dhe qëllimin e këtij </w:t>
      </w:r>
      <w:r>
        <w:rPr>
          <w:lang w:val="sq-AL"/>
        </w:rPr>
        <w:t>u</w:t>
      </w:r>
      <w:r w:rsidRPr="004E35E1">
        <w:rPr>
          <w:lang w:val="sq-AL"/>
        </w:rPr>
        <w:t>dhëzimi termat e mëposhtëm do të kenë kuptimin si vijon: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 xml:space="preserve">a) </w:t>
      </w:r>
      <w:r>
        <w:rPr>
          <w:lang w:val="sq-AL"/>
        </w:rPr>
        <w:t>“</w:t>
      </w:r>
      <w:r w:rsidRPr="004E35E1">
        <w:rPr>
          <w:lang w:val="sq-AL"/>
        </w:rPr>
        <w:t>Regjistër publik</w:t>
      </w:r>
      <w:r>
        <w:rPr>
          <w:lang w:val="sq-AL"/>
        </w:rPr>
        <w:t>”</w:t>
      </w:r>
      <w:r w:rsidRPr="004E35E1">
        <w:rPr>
          <w:lang w:val="sq-AL"/>
        </w:rPr>
        <w:t xml:space="preserve"> është çdo regjistër, listë apo bazë të dhënash personale që mbahet nga kontrolluesi, publikohet në bazë të një akti ligjor ose nënligjor dhe është i hapur ndaj publikut për marrjen e informacionit që përmban</w:t>
      </w:r>
      <w:r>
        <w:rPr>
          <w:lang w:val="sq-AL"/>
        </w:rPr>
        <w:t>;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 xml:space="preserve">b) </w:t>
      </w:r>
      <w:r>
        <w:rPr>
          <w:lang w:val="sq-AL"/>
        </w:rPr>
        <w:t>“</w:t>
      </w:r>
      <w:r w:rsidRPr="004E35E1">
        <w:rPr>
          <w:lang w:val="sq-AL"/>
        </w:rPr>
        <w:t>Institucion publik</w:t>
      </w:r>
      <w:r>
        <w:rPr>
          <w:lang w:val="sq-AL"/>
        </w:rPr>
        <w:t>”</w:t>
      </w:r>
      <w:r w:rsidRPr="004E35E1">
        <w:rPr>
          <w:lang w:val="sq-AL"/>
        </w:rPr>
        <w:t xml:space="preserve"> është kontrolluesi, i cili në bazë të një akti ligjor ose nënligjor</w:t>
      </w:r>
      <w:r>
        <w:rPr>
          <w:lang w:val="sq-AL"/>
        </w:rPr>
        <w:t>,</w:t>
      </w:r>
      <w:r w:rsidRPr="004E35E1">
        <w:rPr>
          <w:lang w:val="sq-AL"/>
        </w:rPr>
        <w:t xml:space="preserve"> përcakton qëllimet dhe mënyrat e përpunimit të të dhënave personale të mbledhura në kuadër të një regjistri publik.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4. Regjistrat publik</w:t>
      </w:r>
      <w:r>
        <w:rPr>
          <w:lang w:val="sq-AL"/>
        </w:rPr>
        <w:t>ë</w:t>
      </w:r>
      <w:r w:rsidRPr="004E35E1">
        <w:rPr>
          <w:lang w:val="sq-AL"/>
        </w:rPr>
        <w:t xml:space="preserve"> ndahen në: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a) Regjistra që përmbajnë të dhëna personale të natyrës sociale</w:t>
      </w:r>
      <w:r>
        <w:rPr>
          <w:lang w:val="sq-AL"/>
        </w:rPr>
        <w:t>,</w:t>
      </w:r>
      <w:r w:rsidRPr="004E35E1">
        <w:rPr>
          <w:lang w:val="sq-AL"/>
        </w:rPr>
        <w:t xml:space="preserve"> si</w:t>
      </w:r>
      <w:r>
        <w:rPr>
          <w:lang w:val="sq-AL"/>
        </w:rPr>
        <w:t>:</w:t>
      </w:r>
      <w:r w:rsidRPr="004E35E1">
        <w:rPr>
          <w:lang w:val="sq-AL"/>
        </w:rPr>
        <w:t xml:space="preserve"> regjistri i lindjeve, regjistri i martesave, regjistri i vdekjeve, regjistri i fitimit të shtetësisë, regjistra me rezultate konkursesh</w:t>
      </w:r>
      <w:r>
        <w:rPr>
          <w:lang w:val="sq-AL"/>
        </w:rPr>
        <w:t>;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b) Regjistra që përmbajnë të dhëna personale të natyrës politike, si</w:t>
      </w:r>
      <w:r>
        <w:rPr>
          <w:lang w:val="sq-AL"/>
        </w:rPr>
        <w:t>:</w:t>
      </w:r>
      <w:r w:rsidRPr="004E35E1">
        <w:rPr>
          <w:lang w:val="sq-AL"/>
        </w:rPr>
        <w:t xml:space="preserve"> lista e zgjedhësve, lista e personave që përfitojnë nga amnistia/falja</w:t>
      </w:r>
      <w:r>
        <w:rPr>
          <w:lang w:val="sq-AL"/>
        </w:rPr>
        <w:t>;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c) Regjistra që përmbajnë të dhëna personale të natyrës financiare, si</w:t>
      </w:r>
      <w:r>
        <w:rPr>
          <w:lang w:val="sq-AL"/>
        </w:rPr>
        <w:t>:</w:t>
      </w:r>
      <w:r w:rsidRPr="004E35E1">
        <w:rPr>
          <w:lang w:val="sq-AL"/>
        </w:rPr>
        <w:t xml:space="preserve"> titujt e pronësisë, kartelat e pronës, të dhëna nga skema e përfitimit nga sigurimet shoqërore, listën e personave që kualifikohen/përfitojnë</w:t>
      </w:r>
      <w:r>
        <w:rPr>
          <w:lang w:val="sq-AL"/>
        </w:rPr>
        <w:t xml:space="preserve"> </w:t>
      </w:r>
      <w:r w:rsidRPr="004E35E1">
        <w:rPr>
          <w:lang w:val="sq-AL"/>
        </w:rPr>
        <w:t xml:space="preserve">nga legalizimi, të dhëna bankare. 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5. Lista mbi llojet e regjistrave të përmendura në pikën 4</w:t>
      </w:r>
      <w:r>
        <w:rPr>
          <w:lang w:val="sq-AL"/>
        </w:rPr>
        <w:t>,</w:t>
      </w:r>
      <w:r w:rsidRPr="004E35E1">
        <w:rPr>
          <w:lang w:val="sq-AL"/>
        </w:rPr>
        <w:t xml:space="preserve"> nuk është shteruese dhe subjekt i këtij udhëzimi do të jenë të gjith</w:t>
      </w:r>
      <w:r>
        <w:rPr>
          <w:lang w:val="sq-AL"/>
        </w:rPr>
        <w:t>a</w:t>
      </w:r>
      <w:r w:rsidRPr="004E35E1">
        <w:rPr>
          <w:lang w:val="sq-AL"/>
        </w:rPr>
        <w:t xml:space="preserve"> llojet e regjistrave që përmbushin kriteret e përkufizimit të termit të paraqitur në pikën 3 germa </w:t>
      </w:r>
      <w:r>
        <w:rPr>
          <w:lang w:val="sq-AL"/>
        </w:rPr>
        <w:t>“</w:t>
      </w:r>
      <w:r w:rsidRPr="004E35E1">
        <w:rPr>
          <w:lang w:val="sq-AL"/>
        </w:rPr>
        <w:t>a</w:t>
      </w:r>
      <w:r>
        <w:rPr>
          <w:lang w:val="sq-AL"/>
        </w:rPr>
        <w:t>”</w:t>
      </w:r>
      <w:r w:rsidRPr="004E35E1">
        <w:rPr>
          <w:lang w:val="sq-AL"/>
        </w:rPr>
        <w:t>.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6. Çdo institucion publik</w:t>
      </w:r>
      <w:r>
        <w:rPr>
          <w:lang w:val="sq-AL"/>
        </w:rPr>
        <w:t>,</w:t>
      </w:r>
      <w:r w:rsidRPr="004E35E1">
        <w:rPr>
          <w:lang w:val="sq-AL"/>
        </w:rPr>
        <w:t xml:space="preserve"> gjatë administrimit të regjistrit</w:t>
      </w:r>
      <w:r>
        <w:rPr>
          <w:lang w:val="sq-AL"/>
        </w:rPr>
        <w:t>, nuk duhet</w:t>
      </w:r>
      <w:r w:rsidRPr="004E35E1">
        <w:rPr>
          <w:lang w:val="sq-AL"/>
        </w:rPr>
        <w:t xml:space="preserve"> të kryejë veprime ose të përfshihet në praktika që mund të vijnë në kundërshtim me parimet e përpunimit të të dhënave personale dhe me qëllimin fillestar për të cilin është bërë mbledhja e tyre, në lidhje me të dhënat që ata mbledhin, përpunojnë, përhapin apo transferojnë nga ky regjistër. 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7. Të dhënat personale që përmbajnë regjistrat publik</w:t>
      </w:r>
      <w:r>
        <w:rPr>
          <w:lang w:val="sq-AL"/>
        </w:rPr>
        <w:t>ë</w:t>
      </w:r>
      <w:r w:rsidRPr="004E35E1">
        <w:rPr>
          <w:lang w:val="sq-AL"/>
        </w:rPr>
        <w:t xml:space="preserve"> duhet të përdoren sipas qëllimit fillestar për të cilin janë mbledhur dhe nuk duhet të renditen ose</w:t>
      </w:r>
      <w:r>
        <w:rPr>
          <w:lang w:val="sq-AL"/>
        </w:rPr>
        <w:t xml:space="preserve"> </w:t>
      </w:r>
      <w:r w:rsidRPr="004E35E1">
        <w:rPr>
          <w:lang w:val="sq-AL"/>
        </w:rPr>
        <w:t>kombinohen</w:t>
      </w:r>
      <w:r>
        <w:rPr>
          <w:lang w:val="sq-AL"/>
        </w:rPr>
        <w:t xml:space="preserve"> </w:t>
      </w:r>
      <w:r w:rsidRPr="004E35E1">
        <w:rPr>
          <w:lang w:val="sq-AL"/>
        </w:rPr>
        <w:t xml:space="preserve">me të dhëna personale që përmbahen në një tjetër regjistër publik, me qëllimin e bërjes së disponueshme të një informacioni që nuk mund të merret </w:t>
      </w:r>
      <w:r>
        <w:rPr>
          <w:lang w:val="sq-AL"/>
        </w:rPr>
        <w:t>drejtpërdrejt</w:t>
      </w:r>
      <w:r w:rsidRPr="004E35E1">
        <w:rPr>
          <w:lang w:val="sq-AL"/>
        </w:rPr>
        <w:t xml:space="preserve"> nga ky regjistër. 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8. Bërja publike e të dhënave nga regjistrat publikë dhe qëllimi i mbledhjes duhet të jetë i parashikuar shprehimisht në ligjin ose aktin nënligjor të veprimtarisë së kontrolluesit dhe informacioni që bëhet i aksesueshëm për publikun duhet të jetë në përputhje me qëllimin fillestar për të cilin janë mbledhur</w:t>
      </w:r>
      <w:r>
        <w:rPr>
          <w:lang w:val="sq-AL"/>
        </w:rPr>
        <w:t xml:space="preserve"> </w:t>
      </w:r>
      <w:r w:rsidRPr="004E35E1">
        <w:rPr>
          <w:lang w:val="sq-AL"/>
        </w:rPr>
        <w:t xml:space="preserve">të dhënat personale. 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9. Në rastet kur ligji ose akti nënligjor nuk shprehet për qëllimin e mbledhjes së të dhënave dhe përfshirjen në regjistrat publik</w:t>
      </w:r>
      <w:r>
        <w:rPr>
          <w:lang w:val="sq-AL"/>
        </w:rPr>
        <w:t>ë,</w:t>
      </w:r>
      <w:r w:rsidRPr="004E35E1">
        <w:rPr>
          <w:lang w:val="sq-AL"/>
        </w:rPr>
        <w:t xml:space="preserve"> por shprehet vetëm për detyrimin e bërjes publike të këtij informacioni është detyrë e kontrolluesve që në frymën e ligjit të vlerësojnë se cila pjesë e informacionit që përmbajnë kët</w:t>
      </w:r>
      <w:r>
        <w:rPr>
          <w:lang w:val="sq-AL"/>
        </w:rPr>
        <w:t>a</w:t>
      </w:r>
      <w:r w:rsidRPr="004E35E1">
        <w:rPr>
          <w:lang w:val="sq-AL"/>
        </w:rPr>
        <w:t xml:space="preserve"> regjistra duhet të bëhet publike në përputhje me qëllimin. 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10. Në rastet kur ligji ose akti nënligjor nuk shprehet për mënyrën, mjetet dhe format e bërjes publike të të dhënave personale nga regjistri publik ose e lë këtë në diskrecion të institucionit publik, duhet zgjedhur mënyra më e përshtatshme e publikimit, për të shmangur komunikimin te palët e treta, që nuk kanë interes të drejtpërdrejtë me informacionin që përmban ky regjistër.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11. Të dhënat personale që përmban një regjistër publik nuk duhet të bëhen të disponueshme për publikun nëpërmjet mjeteve elektronike apo internetit</w:t>
      </w:r>
      <w:r>
        <w:rPr>
          <w:lang w:val="sq-AL"/>
        </w:rPr>
        <w:t>,</w:t>
      </w:r>
      <w:r w:rsidRPr="004E35E1">
        <w:rPr>
          <w:lang w:val="sq-AL"/>
        </w:rPr>
        <w:t xml:space="preserve"> përveç rastit kur bërja publike në këtë mënyrë është e parashikuar në mënyrë të shprehur në ligjin ose aktin nënligjor specifik.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12. Gjatë fazës së mbledhjes</w:t>
      </w:r>
      <w:r>
        <w:rPr>
          <w:lang w:val="sq-AL"/>
        </w:rPr>
        <w:t xml:space="preserve"> së informacionit drejtpërdrejt</w:t>
      </w:r>
      <w:r w:rsidRPr="004E35E1">
        <w:rPr>
          <w:lang w:val="sq-AL"/>
        </w:rPr>
        <w:t xml:space="preserve"> nga subjektet e të dhënave personale për qëllime të përfshirjes rishtas në një regjistër publik, institucioni publik duhet të sigurohet që subjekteve t’u bëhet e qartë që informacioni i mbledhur do të përfshihet në një regjistër</w:t>
      </w:r>
      <w:r>
        <w:rPr>
          <w:lang w:val="sq-AL"/>
        </w:rPr>
        <w:t>,</w:t>
      </w:r>
      <w:r w:rsidRPr="004E35E1">
        <w:rPr>
          <w:lang w:val="sq-AL"/>
        </w:rPr>
        <w:t xml:space="preserve"> i cili do të jetë i hapur për publikun. 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12.1 Informimi që mbledhja e këtyre të dhënave do të përfshihet në një regjistër të hapur për publikun në bazë të detyrimi</w:t>
      </w:r>
      <w:r>
        <w:rPr>
          <w:lang w:val="sq-AL"/>
        </w:rPr>
        <w:t>t</w:t>
      </w:r>
      <w:r w:rsidRPr="004E35E1">
        <w:rPr>
          <w:lang w:val="sq-AL"/>
        </w:rPr>
        <w:t xml:space="preserve"> li</w:t>
      </w:r>
      <w:r>
        <w:rPr>
          <w:lang w:val="sq-AL"/>
        </w:rPr>
        <w:t>gjor specifik duhet të përmbajë</w:t>
      </w:r>
      <w:r w:rsidRPr="004E35E1">
        <w:rPr>
          <w:lang w:val="sq-AL"/>
        </w:rPr>
        <w:t xml:space="preserve"> informimin e subjekteve në lidhje me seksionin e ligjit ose aktin nënligjor specifik, qëllimin e mbledhjes, bërjes publike dhe informacion mbi pasojat e parashikuara nëse ky informacion nuk mblidhet.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13. Koha e bërjes publike të të dhënave në regjistrin publik duhe</w:t>
      </w:r>
      <w:r>
        <w:rPr>
          <w:lang w:val="sq-AL"/>
        </w:rPr>
        <w:t>t</w:t>
      </w:r>
      <w:r w:rsidRPr="004E35E1">
        <w:rPr>
          <w:lang w:val="sq-AL"/>
        </w:rPr>
        <w:t xml:space="preserve"> të jetë e limituar</w:t>
      </w:r>
      <w:r>
        <w:rPr>
          <w:lang w:val="sq-AL"/>
        </w:rPr>
        <w:t>,</w:t>
      </w:r>
      <w:r w:rsidRPr="004E35E1">
        <w:rPr>
          <w:lang w:val="sq-AL"/>
        </w:rPr>
        <w:t xml:space="preserve"> përveç rasteve kur vetë ligji parashikon publikimin e tyre për një afat të pacaktuar. Në rastet e tjera</w:t>
      </w:r>
      <w:r>
        <w:rPr>
          <w:lang w:val="sq-AL"/>
        </w:rPr>
        <w:t>,</w:t>
      </w:r>
      <w:r w:rsidRPr="004E35E1">
        <w:rPr>
          <w:lang w:val="sq-AL"/>
        </w:rPr>
        <w:t xml:space="preserve"> informacioni duhet të jetë publik për aq sa është i nevojshëm informimi i publikut në lidhje me informacionin që përmbajnë kët</w:t>
      </w:r>
      <w:r>
        <w:rPr>
          <w:lang w:val="sq-AL"/>
        </w:rPr>
        <w:t>a</w:t>
      </w:r>
      <w:r w:rsidRPr="004E35E1">
        <w:rPr>
          <w:lang w:val="sq-AL"/>
        </w:rPr>
        <w:t xml:space="preserve"> regjistra në përputhje me qëllimin. 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13.1 Në ato raste, kur ligji nuk shprehet për kohën e bërjes publike të të dhënave që përmban një regjistër</w:t>
      </w:r>
      <w:r>
        <w:rPr>
          <w:lang w:val="sq-AL"/>
        </w:rPr>
        <w:t>,</w:t>
      </w:r>
      <w:r w:rsidRPr="004E35E1">
        <w:rPr>
          <w:lang w:val="sq-AL"/>
        </w:rPr>
        <w:t xml:space="preserve"> atëherë është detyrë e kontrolluesit që të vlerësojë kohën e nevojshme për të lënë informacionin të hapur ndaj publikut. Kjo kohë nuk mund të jetë për një afat të pacaktuar. 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14. Institucioni publik duhet të marrë masa për të shmangur komunikimin te palët e treta të të dhënave personale</w:t>
      </w:r>
      <w:r>
        <w:rPr>
          <w:lang w:val="sq-AL"/>
        </w:rPr>
        <w:t>,</w:t>
      </w:r>
      <w:r w:rsidRPr="004E35E1">
        <w:rPr>
          <w:lang w:val="sq-AL"/>
        </w:rPr>
        <w:t xml:space="preserve"> të cilat janë të përfshira në një regjistër publik dhe që kanë të bëjnë me të dhënat personale të subjekteve të të dhënave, priva</w:t>
      </w:r>
      <w:r>
        <w:rPr>
          <w:lang w:val="sq-AL"/>
        </w:rPr>
        <w:t>tës</w:t>
      </w:r>
      <w:r w:rsidRPr="004E35E1">
        <w:rPr>
          <w:lang w:val="sq-AL"/>
        </w:rPr>
        <w:t xml:space="preserve">ia apo konfidencialiteti i të cilave mund të cenohet në mënyrë të veçantë. 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15. Institucioni publik merr masa organizative dhe teknike të përshtatshme për të mbrojtur të dhënat personale të përfshira në një regjistër publik</w:t>
      </w:r>
      <w:r>
        <w:rPr>
          <w:lang w:val="sq-AL"/>
        </w:rPr>
        <w:t xml:space="preserve">, </w:t>
      </w:r>
      <w:r w:rsidRPr="004E35E1">
        <w:rPr>
          <w:lang w:val="sq-AL"/>
        </w:rPr>
        <w:t xml:space="preserve">në përputhje me udhëzimet e miratuara nga Komisioneri </w:t>
      </w:r>
      <w:r>
        <w:rPr>
          <w:lang w:val="sq-AL"/>
        </w:rPr>
        <w:t xml:space="preserve">nr. </w:t>
      </w:r>
      <w:r w:rsidRPr="004E35E1">
        <w:rPr>
          <w:lang w:val="sq-AL"/>
        </w:rPr>
        <w:t>21, datë</w:t>
      </w:r>
      <w:r>
        <w:rPr>
          <w:lang w:val="sq-AL"/>
        </w:rPr>
        <w:t xml:space="preserve"> </w:t>
      </w:r>
      <w:r w:rsidRPr="004E35E1">
        <w:rPr>
          <w:lang w:val="sq-AL"/>
        </w:rPr>
        <w:t xml:space="preserve">24.9.2012 </w:t>
      </w:r>
      <w:r>
        <w:rPr>
          <w:lang w:val="sq-AL"/>
        </w:rPr>
        <w:t>“</w:t>
      </w:r>
      <w:r w:rsidRPr="004E35E1">
        <w:rPr>
          <w:lang w:val="sq-AL"/>
        </w:rPr>
        <w:t>Për përcaktimin e rregullave për ruajtjen e sigurisë së të dhënave personale të përpunuara nga kontrolluesit e mëdhenj</w:t>
      </w:r>
      <w:r>
        <w:rPr>
          <w:lang w:val="sq-AL"/>
        </w:rPr>
        <w:t>”</w:t>
      </w:r>
      <w:r w:rsidRPr="004E35E1">
        <w:rPr>
          <w:lang w:val="sq-AL"/>
        </w:rPr>
        <w:t xml:space="preserve">, </w:t>
      </w:r>
      <w:r>
        <w:rPr>
          <w:lang w:val="sq-AL"/>
        </w:rPr>
        <w:t>të</w:t>
      </w:r>
      <w:r w:rsidRPr="004E35E1">
        <w:rPr>
          <w:lang w:val="sq-AL"/>
        </w:rPr>
        <w:t xml:space="preserve"> ndryshuar</w:t>
      </w:r>
      <w:r>
        <w:rPr>
          <w:lang w:val="sq-AL"/>
        </w:rPr>
        <w:t>,</w:t>
      </w:r>
      <w:r w:rsidRPr="004E35E1">
        <w:rPr>
          <w:lang w:val="sq-AL"/>
        </w:rPr>
        <w:t xml:space="preserve"> dhe </w:t>
      </w:r>
      <w:r>
        <w:rPr>
          <w:lang w:val="sq-AL"/>
        </w:rPr>
        <w:t>u</w:t>
      </w:r>
      <w:r w:rsidRPr="004E35E1">
        <w:rPr>
          <w:lang w:val="sq-AL"/>
        </w:rPr>
        <w:t xml:space="preserve">dhëzimin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22, datë 24.9.2012 </w:t>
      </w:r>
      <w:r>
        <w:rPr>
          <w:lang w:val="sq-AL"/>
        </w:rPr>
        <w:t>“</w:t>
      </w:r>
      <w:r w:rsidRPr="004E35E1">
        <w:rPr>
          <w:lang w:val="sq-AL"/>
        </w:rPr>
        <w:t>Për përcaktimin e rreg</w:t>
      </w:r>
      <w:r>
        <w:rPr>
          <w:lang w:val="sq-AL"/>
        </w:rPr>
        <w:t>ullave për ruajtjen e sigurisë s</w:t>
      </w:r>
      <w:r w:rsidRPr="004E35E1">
        <w:rPr>
          <w:lang w:val="sq-AL"/>
        </w:rPr>
        <w:t>ë të dhënave personale të përpunuara nga kontrolluesit e vegjël</w:t>
      </w:r>
      <w:r>
        <w:rPr>
          <w:lang w:val="sq-AL"/>
        </w:rPr>
        <w:t>”</w:t>
      </w:r>
      <w:r w:rsidRPr="004E35E1">
        <w:rPr>
          <w:lang w:val="sq-AL"/>
        </w:rPr>
        <w:t xml:space="preserve">, </w:t>
      </w:r>
      <w:r>
        <w:rPr>
          <w:lang w:val="sq-AL"/>
        </w:rPr>
        <w:t>të</w:t>
      </w:r>
      <w:r w:rsidRPr="004E35E1">
        <w:rPr>
          <w:lang w:val="sq-AL"/>
        </w:rPr>
        <w:t xml:space="preserve"> ndryshuar.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 xml:space="preserve">16. Moszbatimi i kërkesave të këtij udhëzimi nga institucioni publik përbën shkelje të ligjit </w:t>
      </w:r>
      <w:r>
        <w:rPr>
          <w:lang w:val="sq-AL"/>
        </w:rPr>
        <w:t>“</w:t>
      </w:r>
      <w:r w:rsidRPr="004E35E1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4E35E1">
        <w:rPr>
          <w:lang w:val="sq-AL"/>
        </w:rPr>
        <w:t xml:space="preserve"> dhe dënohet sipas nenit 39 të tij.</w:t>
      </w:r>
    </w:p>
    <w:p w:rsidR="004A4B0F" w:rsidRPr="004E35E1" w:rsidRDefault="004A4B0F" w:rsidP="004A4B0F">
      <w:pPr>
        <w:pStyle w:val="Paragrafi"/>
        <w:rPr>
          <w:lang w:val="sq-AL"/>
        </w:rPr>
      </w:pPr>
      <w:r w:rsidRPr="004E35E1">
        <w:rPr>
          <w:lang w:val="sq-AL"/>
        </w:rPr>
        <w:t>Ky udhëzim hyn në fuqi</w:t>
      </w:r>
      <w:r>
        <w:rPr>
          <w:lang w:val="sq-AL"/>
        </w:rPr>
        <w:t xml:space="preserve"> </w:t>
      </w:r>
      <w:r w:rsidRPr="004E35E1">
        <w:rPr>
          <w:lang w:val="sq-AL"/>
        </w:rPr>
        <w:t>menjëherë dhe botohet në Fletoren Zyrtare.</w:t>
      </w:r>
    </w:p>
    <w:p w:rsidR="004A4B0F" w:rsidRDefault="004A4B0F" w:rsidP="004A4B0F">
      <w:pPr>
        <w:pStyle w:val="Autoriteti"/>
        <w:rPr>
          <w:lang w:val="sq-AL"/>
        </w:rPr>
      </w:pPr>
    </w:p>
    <w:p w:rsidR="004A4B0F" w:rsidRPr="004E35E1" w:rsidRDefault="004A4B0F" w:rsidP="004A4B0F">
      <w:pPr>
        <w:pStyle w:val="Autoriteti"/>
        <w:rPr>
          <w:lang w:val="sq-AL"/>
        </w:rPr>
      </w:pPr>
      <w:r>
        <w:rPr>
          <w:lang w:val="sq-AL"/>
        </w:rPr>
        <w:t>KOMISIONERe</w:t>
      </w:r>
      <w:r w:rsidRPr="004E35E1">
        <w:rPr>
          <w:lang w:val="sq-AL"/>
        </w:rPr>
        <w:t xml:space="preserve"> </w:t>
      </w:r>
    </w:p>
    <w:p w:rsidR="004A4B0F" w:rsidRPr="004E35E1" w:rsidRDefault="004A4B0F" w:rsidP="004A4B0F">
      <w:pPr>
        <w:pStyle w:val="AutoritetiEmer"/>
        <w:rPr>
          <w:lang w:val="sq-AL"/>
        </w:rPr>
      </w:pPr>
      <w:r w:rsidRPr="004E35E1">
        <w:rPr>
          <w:lang w:val="sq-AL"/>
        </w:rPr>
        <w:t>Flora Çabej (Pogaçe)</w:t>
      </w:r>
    </w:p>
    <w:p w:rsidR="00A23DCB" w:rsidRDefault="00A23DCB"/>
    <w:sectPr w:rsidR="00A23DCB" w:rsidSect="00A23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A4B0F"/>
    <w:rsid w:val="004A4B0F"/>
    <w:rsid w:val="00815CF1"/>
    <w:rsid w:val="00A2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41C8C8-98E5-4D43-ACA6-48CECFD3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DC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A4B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4A4B0F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4A4B0F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4A4B0F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4A4B0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4A4B0F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4A4B0F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4A4B0F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4A4B0F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4A4B0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4A4B0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4A4B0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4A4B0F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1004</Words>
  <Characters>5726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