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EBB" w:rsidRPr="00B61ACE" w:rsidRDefault="00654EBB" w:rsidP="00654EBB">
      <w:pPr>
        <w:pStyle w:val="Akti"/>
        <w:rPr>
          <w:lang w:val="sq-AL"/>
        </w:rPr>
      </w:pPr>
      <w:r w:rsidRPr="00B61ACE">
        <w:rPr>
          <w:lang w:val="sq-AL"/>
        </w:rPr>
        <w:t>Udhëzim</w:t>
      </w:r>
    </w:p>
    <w:p w:rsidR="00654EBB" w:rsidRPr="00B61ACE" w:rsidRDefault="00654EBB" w:rsidP="00654EBB">
      <w:pPr>
        <w:pStyle w:val="NumriData"/>
        <w:rPr>
          <w:lang w:val="sq-AL"/>
        </w:rPr>
      </w:pPr>
      <w:r w:rsidRPr="00B61ACE">
        <w:rPr>
          <w:lang w:val="sq-AL"/>
        </w:rPr>
        <w:t xml:space="preserve">Nr. 41, datë </w:t>
      </w:r>
      <w:r>
        <w:rPr>
          <w:lang w:val="sq-AL"/>
        </w:rPr>
        <w:t>1</w:t>
      </w:r>
      <w:r w:rsidRPr="00B61ACE">
        <w:rPr>
          <w:lang w:val="sq-AL"/>
        </w:rPr>
        <w:t>3.6.2014</w:t>
      </w:r>
    </w:p>
    <w:p w:rsidR="00654EBB" w:rsidRPr="00206230" w:rsidRDefault="00654EBB" w:rsidP="00654EBB">
      <w:pPr>
        <w:pStyle w:val="Paragrafi"/>
        <w:rPr>
          <w:sz w:val="14"/>
          <w:lang w:val="sq-AL"/>
        </w:rPr>
      </w:pPr>
    </w:p>
    <w:p w:rsidR="00654EBB" w:rsidRPr="00B61ACE" w:rsidRDefault="00654EBB" w:rsidP="00654EBB">
      <w:pPr>
        <w:pStyle w:val="Titulli"/>
        <w:rPr>
          <w:lang w:val="sq-AL"/>
        </w:rPr>
      </w:pPr>
      <w:r w:rsidRPr="00B61ACE">
        <w:rPr>
          <w:lang w:val="sq-AL"/>
        </w:rPr>
        <w:t xml:space="preserve">Për lejimin e disa kategorive të transferimeve ndërkombëtare të </w:t>
      </w:r>
      <w:proofErr w:type="spellStart"/>
      <w:r w:rsidRPr="00B61ACE">
        <w:rPr>
          <w:lang w:val="sq-AL"/>
        </w:rPr>
        <w:t>të</w:t>
      </w:r>
      <w:proofErr w:type="spellEnd"/>
      <w:r w:rsidRPr="00B61ACE">
        <w:rPr>
          <w:lang w:val="sq-AL"/>
        </w:rPr>
        <w:t xml:space="preserve"> dhë</w:t>
      </w:r>
      <w:r>
        <w:rPr>
          <w:lang w:val="sq-AL"/>
        </w:rPr>
        <w:t>nave personale N</w:t>
      </w:r>
      <w:r w:rsidRPr="00B61ACE">
        <w:rPr>
          <w:lang w:val="sq-AL"/>
        </w:rPr>
        <w:t>ë një shtet që nuk ka nivel të mjaftueshëm të mbrojtjes së të dhënave personale</w:t>
      </w:r>
    </w:p>
    <w:p w:rsidR="00654EBB" w:rsidRPr="00206230" w:rsidRDefault="00654EBB" w:rsidP="00654EBB">
      <w:pPr>
        <w:pStyle w:val="Paragrafi"/>
        <w:rPr>
          <w:sz w:val="14"/>
          <w:lang w:val="sq-AL"/>
        </w:rPr>
      </w:pPr>
    </w:p>
    <w:p w:rsidR="00654EBB" w:rsidRPr="00B61ACE" w:rsidRDefault="00654EBB" w:rsidP="00654EBB">
      <w:pPr>
        <w:pStyle w:val="Paragrafi"/>
        <w:rPr>
          <w:lang w:val="sq-AL"/>
        </w:rPr>
      </w:pPr>
      <w:r w:rsidRPr="00B61ACE">
        <w:rPr>
          <w:lang w:val="sq-AL"/>
        </w:rPr>
        <w:t>Në mbështetje të nenit 9, pika 3</w:t>
      </w:r>
      <w:r>
        <w:rPr>
          <w:lang w:val="sq-AL"/>
        </w:rPr>
        <w:t>,</w:t>
      </w:r>
      <w:r w:rsidRPr="00B61ACE">
        <w:rPr>
          <w:lang w:val="sq-AL"/>
        </w:rPr>
        <w:t xml:space="preserve"> dhe nenit 8, pika 2, të ligjit nr. 9887, datë 10.3.2008</w:t>
      </w:r>
      <w:r>
        <w:rPr>
          <w:lang w:val="sq-AL"/>
        </w:rPr>
        <w:t>,</w:t>
      </w:r>
      <w:r w:rsidRPr="00B61ACE">
        <w:rPr>
          <w:lang w:val="sq-AL"/>
        </w:rPr>
        <w:t xml:space="preserve"> </w:t>
      </w:r>
      <w:r>
        <w:rPr>
          <w:lang w:val="sq-AL"/>
        </w:rPr>
        <w:t>“</w:t>
      </w:r>
      <w:r w:rsidRPr="00B61ACE">
        <w:rPr>
          <w:lang w:val="sq-AL"/>
        </w:rPr>
        <w:t>Për mbrojtjen e të dhënave personale</w:t>
      </w:r>
      <w:r>
        <w:rPr>
          <w:lang w:val="sq-AL"/>
        </w:rPr>
        <w:t>”,</w:t>
      </w:r>
      <w:r w:rsidRPr="00B61ACE">
        <w:rPr>
          <w:lang w:val="sq-AL"/>
        </w:rPr>
        <w:t xml:space="preserve"> të</w:t>
      </w:r>
      <w:r>
        <w:rPr>
          <w:lang w:val="sq-AL"/>
        </w:rPr>
        <w:t xml:space="preserve"> ndryshuar, </w:t>
      </w:r>
      <w:proofErr w:type="spellStart"/>
      <w:r>
        <w:rPr>
          <w:lang w:val="sq-AL"/>
        </w:rPr>
        <w:t>Komisioneri</w:t>
      </w:r>
      <w:proofErr w:type="spellEnd"/>
      <w:r w:rsidRPr="00B61ACE">
        <w:rPr>
          <w:lang w:val="sq-AL"/>
        </w:rPr>
        <w:t xml:space="preserve"> për Mbrojtjen e të Dhë</w:t>
      </w:r>
      <w:r>
        <w:rPr>
          <w:lang w:val="sq-AL"/>
        </w:rPr>
        <w:t>nave Personale</w:t>
      </w:r>
    </w:p>
    <w:p w:rsidR="00654EBB" w:rsidRPr="00206230" w:rsidRDefault="00654EBB" w:rsidP="00654EBB">
      <w:pPr>
        <w:pStyle w:val="Paragrafi"/>
        <w:rPr>
          <w:sz w:val="14"/>
          <w:lang w:val="sq-AL"/>
        </w:rPr>
      </w:pPr>
    </w:p>
    <w:p w:rsidR="00654EBB" w:rsidRPr="00B61ACE" w:rsidRDefault="00654EBB" w:rsidP="00654EBB">
      <w:pPr>
        <w:pStyle w:val="VENDOSI"/>
        <w:rPr>
          <w:lang w:val="sq-AL"/>
        </w:rPr>
      </w:pPr>
      <w:r w:rsidRPr="00B61ACE">
        <w:rPr>
          <w:lang w:val="sq-AL"/>
        </w:rPr>
        <w:t>Udhëzon:</w:t>
      </w:r>
    </w:p>
    <w:p w:rsidR="00654EBB" w:rsidRPr="00206230" w:rsidRDefault="00654EBB" w:rsidP="00654EBB">
      <w:pPr>
        <w:pStyle w:val="Paragrafi"/>
        <w:rPr>
          <w:sz w:val="14"/>
          <w:lang w:val="sq-AL"/>
        </w:rPr>
      </w:pP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B61ACE">
        <w:rPr>
          <w:lang w:val="sq-AL"/>
        </w:rPr>
        <w:t xml:space="preserve">1. Qëllimi i këtij udhëzimi është përcaktimi i </w:t>
      </w:r>
      <w:r w:rsidRPr="00531302">
        <w:rPr>
          <w:spacing w:val="-4"/>
          <w:lang w:val="sq-AL"/>
        </w:rPr>
        <w:t>rregullave të detyrueshme për zbatim nga kontrolluesit publik</w:t>
      </w:r>
      <w:r>
        <w:rPr>
          <w:spacing w:val="-4"/>
          <w:lang w:val="sq-AL"/>
        </w:rPr>
        <w:t>ë</w:t>
      </w:r>
      <w:r w:rsidRPr="00531302">
        <w:rPr>
          <w:spacing w:val="-4"/>
          <w:lang w:val="sq-AL"/>
        </w:rPr>
        <w:t xml:space="preserve"> dhe privat</w:t>
      </w:r>
      <w:r>
        <w:rPr>
          <w:spacing w:val="-4"/>
          <w:lang w:val="sq-AL"/>
        </w:rPr>
        <w:t>ë</w:t>
      </w:r>
      <w:r w:rsidRPr="00531302">
        <w:rPr>
          <w:spacing w:val="-4"/>
          <w:lang w:val="sq-AL"/>
        </w:rPr>
        <w:t xml:space="preserve"> në lidhje me rastet e transferimit ndërkombëtar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 personale (këtej e tutje “transferim ndërkombëtar”) në vende që nuk kanë nivel të mjaftueshëm të mbrojtjes së të dhënave personale.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2. Vendet që nuk kanë nivel të mjaftueshëm të mbrojtjes së të dhënave personale janë vendet jashtë listës së përcaktuar me vendim të </w:t>
      </w:r>
      <w:proofErr w:type="spellStart"/>
      <w:r w:rsidRPr="00531302">
        <w:rPr>
          <w:spacing w:val="-4"/>
          <w:lang w:val="sq-AL"/>
        </w:rPr>
        <w:t>Komisionerit</w:t>
      </w:r>
      <w:proofErr w:type="spellEnd"/>
      <w:r w:rsidRPr="00531302">
        <w:rPr>
          <w:spacing w:val="-4"/>
          <w:lang w:val="sq-AL"/>
        </w:rPr>
        <w:t xml:space="preserve"> “Për përcaktimin e shteteve me nivel të mjaftueshëm të mbrojtjes së të dhënave personale”.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3. Rastet e lejimit të transferimit ndërkombëtar në vende që nuk kanë nivel të mjaftueshëm të mbrojtjes së të dhënave personale, të përcaktuara në këtë udhëzim, duhet të konsiderohen si raste </w:t>
      </w:r>
      <w:proofErr w:type="spellStart"/>
      <w:r w:rsidRPr="00531302">
        <w:rPr>
          <w:spacing w:val="-4"/>
          <w:lang w:val="sq-AL"/>
        </w:rPr>
        <w:t>përjashtimore</w:t>
      </w:r>
      <w:proofErr w:type="spellEnd"/>
      <w:r w:rsidRPr="00531302">
        <w:rPr>
          <w:spacing w:val="-4"/>
          <w:lang w:val="sq-AL"/>
        </w:rPr>
        <w:t xml:space="preserve"> dhe të interpretohen në mënyrë të ngushtë.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4. Lejohet transferimi ndërkombëtar në një shtet që nuk ka nivel të mjaftueshëm të mbrojtjes së të dhënave personale kur subjekti i këtyre të dhënave jep pëlqimin.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4.1 Pëlqimi duhet të jetë një tregues i qartë i vullnetit të subjektit për transferimin e të dhënave personale, specifik dhe i dhënë lirisht;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4.2 Pëlqimi përfshin informimin paraprak të subjektit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 personale në lidhje me rrethanat specifike të transferimit, qëllimin e transferimin dhe rrezikun specifik që lind nga fakti se të dhënat e tij do të transferohen në një vend që nuk ofron mbrojtje të mjaftueshme të këtyre të dhënave.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5. Lejohet transferimi ndërkombëtar në një shtet që nuk ka nivel të mjaftueshëm të mbrojtjes së të dhënave personale, kur transferimi autorizohet nga akte ndërkombëtare, të ratifikuara nga Republika e Shqipërisë dhe që janë të zbatueshme në mënyrë të drejtpërdrejtë.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6. Lejohet transferimi ndërkombëtar në një shtet që nuk ka nivel të mjaftueshëm të mbrojtjes së të dhënave personale, kur është i nevojshëm për kryerjen e kontratës ndërmjet subjektit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 dhe kontrolluesit ose për zbatimin e masave </w:t>
      </w:r>
      <w:proofErr w:type="spellStart"/>
      <w:r w:rsidRPr="00531302">
        <w:rPr>
          <w:spacing w:val="-4"/>
          <w:lang w:val="sq-AL"/>
        </w:rPr>
        <w:t>parakontraktore</w:t>
      </w:r>
      <w:proofErr w:type="spellEnd"/>
      <w:r w:rsidRPr="00531302">
        <w:rPr>
          <w:spacing w:val="-4"/>
          <w:lang w:val="sq-AL"/>
        </w:rPr>
        <w:t xml:space="preserve">, të marra si përgjigje ndaj kërkesës së subjektit, ose transferimi është i nevojshëm për përmbushjen apo kryerjen e një kontrate ndërmjet kontrolluesit dhe një pale të tretë, në interes të subjektit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6.1 Në këtë rast, kërkohet të ketë një lidhje të ngushtë dhe thelbësore midis subjektit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 dhe qëllimeve të kontratës.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6.2 Nuk lejohet transferimi i informacionit shtesë jo të nevojshëm për qëllimin e transferimit ndërkombëtar ose transferimet për një qëllim të ndryshëm nga përmbushja e kontratës.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7. Lejohet transferimi ndërkombëtar në një shtet që nuk ka nivel të mjaftueshëm të mbrojtjes së të dhënave personale, kur është i nevojshëm për mbrojtjen e interesave jetësore të subjektit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7.1 Mbrojtja e interesave jetësore mund të jetë interesi individual i subjektit në rast të një emergjence mjekësore si drejtpërdrejtë e domosdoshme me qëllim dhënien e kujdesit mjekësor të kërkuar;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7.1.1 Nuk lejohet transferimi ndërkombëtar i të dhënave personale mjekësore</w:t>
      </w:r>
      <w:r>
        <w:rPr>
          <w:spacing w:val="-4"/>
          <w:lang w:val="sq-AL"/>
        </w:rPr>
        <w:t>,</w:t>
      </w:r>
      <w:r w:rsidRPr="00531302">
        <w:rPr>
          <w:spacing w:val="-4"/>
          <w:lang w:val="sq-AL"/>
        </w:rPr>
        <w:t xml:space="preserve"> nëse qëllimi nuk është trajtimi i rastit të veçantë të subjektit, si kryerja e kërkimeve të përgjithshme mjekësore që nuk do të sillnin rezultate deri në një kohë të caktuar në të ardhmen.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8. Lejohet transferimi ndërkombëtar në një shtet që nuk ka nivel të mjaftueshëm të mbrojtjes së të dhënave personale, kur është i nevojshëm apo përbën një kërkesë ligjore për një interes të rëndësishëm publik ose për ushtrimin dhe mbrojtjen e një të drejte ligjore.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8.1 Interesi i rëndësishëm publik duhet të jetë i tillë jo vetëm për shtetin marrës së të dhënave personale që transferohen.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lastRenderedPageBreak/>
        <w:t>9. Lejohet transferimi ndërkombëtar në një shtet që nuk ka nivel të mjaftueshëm të mbrojtjes së të dhënave, kur është bërë nga një regjistër, i cili është i hapur për këshillime dhe siguron informacion për publikun në përgjithësi.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9.1 Në këtë rast, kontrolluesit publikë dhe privatë duhet të respektojnë parashikimet e udhëzimit nr. 39, datë 5.8.2013, të </w:t>
      </w:r>
      <w:proofErr w:type="spellStart"/>
      <w:r w:rsidRPr="00531302">
        <w:rPr>
          <w:spacing w:val="-4"/>
          <w:lang w:val="sq-AL"/>
        </w:rPr>
        <w:t>Komisionerit</w:t>
      </w:r>
      <w:proofErr w:type="spellEnd"/>
      <w:r w:rsidRPr="00531302">
        <w:rPr>
          <w:spacing w:val="-4"/>
          <w:lang w:val="sq-AL"/>
        </w:rPr>
        <w:t>, në lidhje me përpunimin e të dhënave personale që merren nga një regjistër publik.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10. Lejohet transferimi ndërkombëtar i një kategorie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 personale në një shtet që nuk ka nivel të mjaftueshëm të mbrojtjes së të dhënave</w:t>
      </w:r>
      <w:r>
        <w:rPr>
          <w:spacing w:val="-4"/>
          <w:lang w:val="sq-AL"/>
        </w:rPr>
        <w:t>,</w:t>
      </w:r>
      <w:r w:rsidRPr="00531302">
        <w:rPr>
          <w:spacing w:val="-4"/>
          <w:lang w:val="sq-AL"/>
        </w:rPr>
        <w:t xml:space="preserve"> kur kontrolluesi paraqet mbrojtje të përshtatshme të privatësisë, të drejtave themelore dhe lirive të individëve, në bazë të klauzolave standarde </w:t>
      </w:r>
      <w:proofErr w:type="spellStart"/>
      <w:r w:rsidRPr="00531302">
        <w:rPr>
          <w:spacing w:val="-4"/>
          <w:lang w:val="sq-AL"/>
        </w:rPr>
        <w:t>kontraktuale</w:t>
      </w:r>
      <w:proofErr w:type="spellEnd"/>
      <w:r w:rsidRPr="00531302">
        <w:rPr>
          <w:spacing w:val="-4"/>
          <w:lang w:val="sq-AL"/>
        </w:rPr>
        <w:t xml:space="preserve"> dhe rregullave të detyrueshme të kompanive.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10.1 Kontrolluesit publikë ose privatë mund të aplikojnë 2 (dy) standarde të klauzolave </w:t>
      </w:r>
      <w:proofErr w:type="spellStart"/>
      <w:r w:rsidRPr="00531302">
        <w:rPr>
          <w:spacing w:val="-4"/>
          <w:lang w:val="sq-AL"/>
        </w:rPr>
        <w:t>kontraktuale</w:t>
      </w:r>
      <w:proofErr w:type="spellEnd"/>
      <w:r>
        <w:rPr>
          <w:spacing w:val="-4"/>
          <w:lang w:val="sq-AL"/>
        </w:rPr>
        <w:t>,</w:t>
      </w:r>
      <w:r w:rsidRPr="00531302">
        <w:rPr>
          <w:spacing w:val="-4"/>
          <w:lang w:val="sq-AL"/>
        </w:rPr>
        <w:t xml:space="preserve"> sipas vendimit të Komisionit Evropian</w:t>
      </w:r>
      <w:r>
        <w:rPr>
          <w:spacing w:val="-4"/>
          <w:lang w:val="sq-AL"/>
        </w:rPr>
        <w:t>,</w:t>
      </w:r>
      <w:r w:rsidRPr="00531302">
        <w:rPr>
          <w:spacing w:val="-4"/>
          <w:lang w:val="sq-AL"/>
        </w:rPr>
        <w:t xml:space="preserve"> që reflektojnë kërkesat e direktivës 95/46/KE, në lidhje me përpunimin e të dhënave personale;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10.2 Organizatat ndërkombëtare, në cilësinë e kontrolluesve që transferojnë të dhënave personale brenda grupit ose grup kompanish, mund të përdorin rregullat e detyrueshme të kompanive.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11. Moszbatimi i detyrimeve të përcaktuara në këtë udhëzim, dënohet sipas nenit 39 të ligjit “Për mbrojtjen e të dhënave personale”, i ndryshuar.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 xml:space="preserve">12. Udhëzimi nr. 1, datë 19.2.2010, “Për lejimin e disa kategorive të transferimeve ndërkombëtare të </w:t>
      </w:r>
      <w:proofErr w:type="spellStart"/>
      <w:r w:rsidRPr="00531302">
        <w:rPr>
          <w:spacing w:val="-4"/>
          <w:lang w:val="sq-AL"/>
        </w:rPr>
        <w:t>të</w:t>
      </w:r>
      <w:proofErr w:type="spellEnd"/>
      <w:r w:rsidRPr="00531302">
        <w:rPr>
          <w:spacing w:val="-4"/>
          <w:lang w:val="sq-AL"/>
        </w:rPr>
        <w:t xml:space="preserve"> dhënave personale në një shtet që nuk ka nivel të mjaftueshëm të mbrojtjes së të dhënave”, shfuqizohet.</w:t>
      </w:r>
    </w:p>
    <w:p w:rsidR="00654EBB" w:rsidRPr="00531302" w:rsidRDefault="00654EBB" w:rsidP="00654EBB">
      <w:pPr>
        <w:pStyle w:val="Paragrafi"/>
        <w:rPr>
          <w:spacing w:val="-4"/>
          <w:lang w:val="sq-AL"/>
        </w:rPr>
      </w:pPr>
      <w:r w:rsidRPr="00531302">
        <w:rPr>
          <w:spacing w:val="-4"/>
          <w:lang w:val="sq-AL"/>
        </w:rPr>
        <w:t>Ky udhëzim hyn në fuqi menjëherë pasi botohet në Fletoren Zyrtare.</w:t>
      </w:r>
    </w:p>
    <w:p w:rsidR="00654EBB" w:rsidRPr="00531302" w:rsidRDefault="00654EBB" w:rsidP="00654EBB">
      <w:pPr>
        <w:pStyle w:val="Autoriteti"/>
        <w:rPr>
          <w:sz w:val="14"/>
          <w:lang w:val="sq-AL"/>
        </w:rPr>
      </w:pPr>
    </w:p>
    <w:p w:rsidR="00654EBB" w:rsidRPr="00B61ACE" w:rsidRDefault="00654EBB" w:rsidP="00654EBB">
      <w:pPr>
        <w:pStyle w:val="Autoriteti"/>
        <w:rPr>
          <w:lang w:val="sq-AL"/>
        </w:rPr>
      </w:pPr>
      <w:r w:rsidRPr="00B61ACE">
        <w:rPr>
          <w:lang w:val="sq-AL"/>
        </w:rPr>
        <w:t xml:space="preserve">Komisionere për mbrojtjen e </w:t>
      </w:r>
    </w:p>
    <w:p w:rsidR="00654EBB" w:rsidRPr="00B61ACE" w:rsidRDefault="00654EBB" w:rsidP="00654EBB">
      <w:pPr>
        <w:pStyle w:val="Autoriteti"/>
        <w:rPr>
          <w:lang w:val="sq-AL"/>
        </w:rPr>
      </w:pPr>
      <w:r w:rsidRPr="00B61ACE">
        <w:rPr>
          <w:lang w:val="sq-AL"/>
        </w:rPr>
        <w:t>të dhënave personale</w:t>
      </w:r>
    </w:p>
    <w:p w:rsidR="00654EBB" w:rsidRPr="00B61ACE" w:rsidRDefault="00654EBB" w:rsidP="00654EBB">
      <w:pPr>
        <w:pStyle w:val="AutoritetiEmer"/>
        <w:rPr>
          <w:lang w:val="sq-AL"/>
        </w:rPr>
      </w:pPr>
      <w:r w:rsidRPr="00B61ACE">
        <w:rPr>
          <w:lang w:val="sq-AL"/>
        </w:rPr>
        <w:t>Flora Çabej Pogaçe</w:t>
      </w:r>
    </w:p>
    <w:p w:rsidR="00654EBB" w:rsidRPr="00B61ACE" w:rsidRDefault="00654EBB" w:rsidP="00654EBB">
      <w:pPr>
        <w:pStyle w:val="Paragrafi"/>
        <w:rPr>
          <w:lang w:val="sq-AL"/>
        </w:rPr>
      </w:pPr>
    </w:p>
    <w:p w:rsidR="00000000" w:rsidRDefault="00654EB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54EBB"/>
    <w:rsid w:val="00654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54E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54EB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54EB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54EBB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54EBB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54EBB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54EBB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54EB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54EB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54EBB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54EBB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54EBB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54EBB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54EBB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4799</Characters>
  <Application>Microsoft Office Word</Application>
  <DocSecurity>0</DocSecurity>
  <Lines>39</Lines>
  <Paragraphs>11</Paragraphs>
  <ScaleCrop>false</ScaleCrop>
  <Company>Grizli777</Company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2014-09-25T11:41:00Z</dcterms:created>
  <dcterms:modified xsi:type="dcterms:W3CDTF">2014-09-25T11:41:00Z</dcterms:modified>
</cp:coreProperties>
</file>