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885" w:rsidRPr="00F90A1A" w:rsidRDefault="00297885" w:rsidP="00297885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>UDHËZIM</w:t>
      </w:r>
    </w:p>
    <w:p w:rsidR="00297885" w:rsidRPr="00F90A1A" w:rsidRDefault="00297885" w:rsidP="00297885">
      <w:pPr>
        <w:pStyle w:val="NeniTitull"/>
        <w:rPr>
          <w:spacing w:val="-4"/>
          <w:lang w:val="sq-AL"/>
        </w:rPr>
      </w:pPr>
      <w:bookmarkStart w:id="0" w:name="_GoBack"/>
      <w:r w:rsidRPr="00F90A1A">
        <w:rPr>
          <w:spacing w:val="-4"/>
          <w:lang w:val="sq-AL"/>
        </w:rPr>
        <w:t>Nr. 43, datë 9.2.2016</w:t>
      </w:r>
    </w:p>
    <w:bookmarkEnd w:id="0"/>
    <w:p w:rsidR="00297885" w:rsidRPr="00F90A1A" w:rsidRDefault="00297885" w:rsidP="00297885">
      <w:pPr>
        <w:pStyle w:val="Hapesira7"/>
        <w:rPr>
          <w:spacing w:val="-4"/>
          <w:lang w:val="sq-AL"/>
        </w:rPr>
      </w:pPr>
    </w:p>
    <w:p w:rsidR="00297885" w:rsidRPr="00F90A1A" w:rsidRDefault="00297885" w:rsidP="00297885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>PËR DISA SHTESA DHE NDRYSHIME NË UDHËZIMIN NR. 21, DATË 24.9.2012, “PËR PËRCAKTIMIN E RREGULLAVE PËR RUAJTJEN E SIGURISË SË TË DHËNAVE PERSONALE TË PËRPUNUARA NGA KONTROLLUESIT E MËDHENJ”, I NDRYSHUAR</w:t>
      </w:r>
    </w:p>
    <w:p w:rsidR="00297885" w:rsidRPr="00F90A1A" w:rsidRDefault="00297885" w:rsidP="00297885">
      <w:pPr>
        <w:pStyle w:val="Hapesira7"/>
        <w:rPr>
          <w:spacing w:val="-4"/>
          <w:lang w:val="sq-AL"/>
        </w:rPr>
      </w:pPr>
    </w:p>
    <w:p w:rsidR="00297885" w:rsidRPr="00F90A1A" w:rsidRDefault="00297885" w:rsidP="00297885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Në mbështetje të shkronjës “f”, pika 1, e nenit 31 dhe nenit 27, të ligjit nr. 9887, datë 10.3.2008, “Për mbrojtjen e të dhënave personale” i ndryshuar, Komisioneri për të Drejtën e Informimit dhe Mbrojtjen e të Dhënave Personale</w:t>
      </w:r>
    </w:p>
    <w:p w:rsidR="00297885" w:rsidRPr="00F90A1A" w:rsidRDefault="00297885" w:rsidP="00297885">
      <w:pPr>
        <w:pStyle w:val="Hapesira7"/>
        <w:rPr>
          <w:spacing w:val="-4"/>
          <w:lang w:val="sq-AL"/>
        </w:rPr>
      </w:pPr>
    </w:p>
    <w:p w:rsidR="00297885" w:rsidRPr="00F90A1A" w:rsidRDefault="00297885" w:rsidP="00297885">
      <w:pPr>
        <w:pStyle w:val="Vendosi"/>
        <w:rPr>
          <w:spacing w:val="-4"/>
          <w:lang w:val="sq-AL"/>
        </w:rPr>
      </w:pPr>
      <w:r w:rsidRPr="00F90A1A">
        <w:rPr>
          <w:spacing w:val="-4"/>
          <w:lang w:val="sq-AL"/>
        </w:rPr>
        <w:t>UDHËZON:</w:t>
      </w:r>
    </w:p>
    <w:p w:rsidR="00297885" w:rsidRPr="00F90A1A" w:rsidRDefault="00297885" w:rsidP="00297885">
      <w:pPr>
        <w:pStyle w:val="Hapesira7"/>
        <w:rPr>
          <w:spacing w:val="-4"/>
          <w:lang w:val="sq-AL"/>
        </w:rPr>
      </w:pPr>
    </w:p>
    <w:p w:rsidR="00297885" w:rsidRPr="00F90A1A" w:rsidRDefault="00297885" w:rsidP="00297885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Në udhëzimin nr. 21, datë 24.9.2012, “Për përcaktimin e rregullave për ruajtjen e sigurisë së të dhënave personale të përpunuara nga kontrolluesit e mëdhenj”, bëhen këto shtesa dhe ndryshime:</w:t>
      </w:r>
    </w:p>
    <w:p w:rsidR="00297885" w:rsidRPr="00F90A1A" w:rsidRDefault="00297885" w:rsidP="00297885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 1. Në kapitullin I, në pikën 13, shtohet paragrafi si vijon: </w:t>
      </w:r>
    </w:p>
    <w:p w:rsidR="00297885" w:rsidRPr="00F90A1A" w:rsidRDefault="00297885" w:rsidP="00297885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“Ruajtja e të dhënave në këto shërbime bëhet në përputhje me qëllimin e mbledhjes së tyre. </w:t>
      </w:r>
    </w:p>
    <w:p w:rsidR="00297885" w:rsidRPr="00F90A1A" w:rsidRDefault="00297885" w:rsidP="00297885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Të dhënat mbahen në tejkalim të afatit vetëm pas informimit paraprak të subjektit dhe dhënies së pëlqimit prej tij në mënyrë të qartë, si dhe duke i dhënë/rezervuar të drejtën për të refuzuar.</w:t>
      </w:r>
    </w:p>
    <w:p w:rsidR="00297885" w:rsidRPr="00F90A1A" w:rsidRDefault="00297885" w:rsidP="00297885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Procesi i shkatërrimit të të dhënave të realizohet në mënyrë të pakthyeshme.</w:t>
      </w:r>
    </w:p>
    <w:p w:rsidR="00297885" w:rsidRPr="00F90A1A" w:rsidRDefault="00297885" w:rsidP="00297885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Të dhënat personale që përpunohen me anë të këtyre shërbimeve nuk duhet të transferohen jashtë territoreve të shteteve anëtare të Bashkimit Evropian dhe Shqipërisë, pa marrë më parë opinionin e autoritetit përgjegjës për mbrojtjen e të dhënave personale.”.</w:t>
      </w:r>
    </w:p>
    <w:p w:rsidR="00297885" w:rsidRPr="00F90A1A" w:rsidRDefault="00297885" w:rsidP="00297885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2. Në kapitullin III, pas shkronjës “c”, të pikës 22, shtohet shkronja “ç” më këtë përmbajtje:</w:t>
      </w:r>
    </w:p>
    <w:p w:rsidR="00297885" w:rsidRPr="00F90A1A" w:rsidRDefault="00297885" w:rsidP="00297885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“ç) Në rast se nuk është përcaktuar nga legjislacioni në fuqi, i cili rregullon përpunimin e veçantë të të dhënave, periudha e mbajtjes së të dhënave përcaktohet nga çdo kontrollues në përputhje me qëllimin e mbledhjes së të dhënave. Për çdo ndryshim në afatin e ruajtjes, kontrolluesi rivlerëson kohën e ruajtjes, si dhe njofton subjektin e të dhënave.</w:t>
      </w:r>
    </w:p>
    <w:p w:rsidR="00297885" w:rsidRPr="00F90A1A" w:rsidRDefault="00297885" w:rsidP="00297885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Pas përfundimit të periudhës së mbajtjes së të dhënave, subjekti i të dhënave hiqet në mënyrë të pakthyeshme nga të gjitha sistemet aktive të përpunimit të të dhënave, automatike, manuale apo të anonimizuara.”.</w:t>
      </w:r>
    </w:p>
    <w:p w:rsidR="00297885" w:rsidRDefault="00297885" w:rsidP="00297885">
      <w:pPr>
        <w:pStyle w:val="Paragrafi"/>
        <w:rPr>
          <w:spacing w:val="-4"/>
          <w:lang w:val="sq-AL"/>
        </w:rPr>
      </w:pPr>
    </w:p>
    <w:p w:rsidR="00297885" w:rsidRPr="00F90A1A" w:rsidRDefault="00297885" w:rsidP="00297885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3. Fjalët “Komisioneri për Mbrojtjen e të Dhënave Personale” zëvendësohen me “Komisioneri për të Drejtën e Informimit dhe Mbrojtjen e të Dhënave Personale”.</w:t>
      </w:r>
    </w:p>
    <w:p w:rsidR="00297885" w:rsidRPr="00F90A1A" w:rsidRDefault="00297885" w:rsidP="00297885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Ky udhëzim hyn në fuqi pas botimit në Fletoren Zyrtare.</w:t>
      </w:r>
    </w:p>
    <w:p w:rsidR="00297885" w:rsidRPr="00F90A1A" w:rsidRDefault="00297885" w:rsidP="00297885">
      <w:pPr>
        <w:pStyle w:val="Hapesira7"/>
        <w:rPr>
          <w:spacing w:val="-4"/>
          <w:lang w:val="sq-AL"/>
        </w:rPr>
      </w:pPr>
    </w:p>
    <w:p w:rsidR="00297885" w:rsidRPr="00F90A1A" w:rsidRDefault="00297885" w:rsidP="00297885">
      <w:pPr>
        <w:pStyle w:val="Autoriteti"/>
        <w:rPr>
          <w:spacing w:val="-4"/>
          <w:lang w:val="sq-AL"/>
        </w:rPr>
      </w:pPr>
      <w:r w:rsidRPr="00F90A1A">
        <w:rPr>
          <w:spacing w:val="-4"/>
          <w:lang w:val="sq-AL"/>
        </w:rPr>
        <w:t>KOMISIONERI</w:t>
      </w:r>
    </w:p>
    <w:p w:rsidR="00297885" w:rsidRPr="00F90A1A" w:rsidRDefault="00297885" w:rsidP="00297885">
      <w:pPr>
        <w:pStyle w:val="AutoritetiEmer"/>
        <w:rPr>
          <w:spacing w:val="-4"/>
          <w:lang w:val="sq-AL"/>
        </w:rPr>
      </w:pPr>
      <w:r w:rsidRPr="00F90A1A">
        <w:rPr>
          <w:spacing w:val="-4"/>
          <w:lang w:val="sq-AL"/>
        </w:rPr>
        <w:t>Besnik Dervishi</w:t>
      </w:r>
    </w:p>
    <w:p w:rsidR="00C038B6" w:rsidRDefault="00297885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885"/>
    <w:rsid w:val="00297885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978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97885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978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29788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9788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9788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9788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9788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9788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978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97885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2978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29788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9788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9788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9788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297885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29788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2016-02-22T10:07:00Z</dcterms:created>
  <dcterms:modified xsi:type="dcterms:W3CDTF">2016-02-22T10:08:00Z</dcterms:modified>
</cp:coreProperties>
</file>