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608" w:rsidRPr="00CD1608" w:rsidRDefault="00CD1608" w:rsidP="00CD1608">
      <w:pPr>
        <w:keepNext/>
        <w:widowControl w:val="0"/>
        <w:spacing w:after="0" w:line="240" w:lineRule="auto"/>
        <w:jc w:val="center"/>
        <w:outlineLvl w:val="2"/>
        <w:rPr>
          <w:rFonts w:ascii="Garamond" w:eastAsia="MS Mincho" w:hAnsi="Garamond" w:cs="CG Times"/>
          <w:b/>
          <w:bCs/>
          <w:spacing w:val="-4"/>
          <w:sz w:val="24"/>
        </w:rPr>
      </w:pPr>
      <w:bookmarkStart w:id="0" w:name="_GoBack"/>
      <w:bookmarkEnd w:id="0"/>
      <w:r w:rsidRPr="00CD1608">
        <w:rPr>
          <w:rFonts w:ascii="Garamond" w:eastAsia="MS Mincho" w:hAnsi="Garamond" w:cs="CG Times"/>
          <w:b/>
          <w:bCs/>
          <w:spacing w:val="-4"/>
          <w:sz w:val="24"/>
        </w:rPr>
        <w:t>UDHËZIM I PËRBASHKËT</w:t>
      </w:r>
    </w:p>
    <w:p w:rsidR="00CD1608" w:rsidRPr="00CD1608" w:rsidRDefault="00CD1608" w:rsidP="00CD1608">
      <w:pPr>
        <w:keepNext/>
        <w:widowControl w:val="0"/>
        <w:spacing w:after="0" w:line="240" w:lineRule="auto"/>
        <w:jc w:val="center"/>
        <w:outlineLvl w:val="2"/>
        <w:rPr>
          <w:rFonts w:ascii="Garamond" w:eastAsia="MS Mincho" w:hAnsi="Garamond" w:cs="CG Times"/>
          <w:b/>
          <w:bCs/>
          <w:spacing w:val="-4"/>
          <w:sz w:val="24"/>
        </w:rPr>
      </w:pPr>
      <w:r w:rsidRPr="00CD1608">
        <w:rPr>
          <w:rFonts w:ascii="Garamond" w:eastAsia="MS Mincho" w:hAnsi="Garamond" w:cs="CG Times"/>
          <w:b/>
          <w:bCs/>
          <w:spacing w:val="-4"/>
          <w:sz w:val="24"/>
        </w:rPr>
        <w:t>Nr. 515, datë 27.9.2016</w:t>
      </w:r>
    </w:p>
    <w:p w:rsidR="00CD1608" w:rsidRPr="00CD1608" w:rsidRDefault="00CD1608" w:rsidP="00CD1608">
      <w:pPr>
        <w:keepNext/>
        <w:widowControl w:val="0"/>
        <w:spacing w:after="0" w:line="240" w:lineRule="auto"/>
        <w:jc w:val="center"/>
        <w:outlineLvl w:val="2"/>
        <w:rPr>
          <w:rFonts w:ascii="Garamond" w:eastAsia="MS Mincho" w:hAnsi="Garamond" w:cs="CG Times"/>
          <w:b/>
          <w:bCs/>
          <w:spacing w:val="-4"/>
          <w:sz w:val="16"/>
        </w:rPr>
      </w:pPr>
    </w:p>
    <w:p w:rsidR="00CD1608" w:rsidRPr="00CD1608" w:rsidRDefault="00CD1608" w:rsidP="00CD1608">
      <w:pPr>
        <w:keepNext/>
        <w:widowControl w:val="0"/>
        <w:spacing w:after="0" w:line="240" w:lineRule="auto"/>
        <w:jc w:val="center"/>
        <w:outlineLvl w:val="2"/>
        <w:rPr>
          <w:rFonts w:ascii="Garamond" w:eastAsia="MS Mincho" w:hAnsi="Garamond" w:cs="CG Times"/>
          <w:b/>
          <w:bCs/>
          <w:spacing w:val="-4"/>
          <w:sz w:val="24"/>
        </w:rPr>
      </w:pPr>
      <w:r w:rsidRPr="00CD1608">
        <w:rPr>
          <w:rFonts w:ascii="Garamond" w:eastAsia="MS Mincho" w:hAnsi="Garamond" w:cs="CG Times"/>
          <w:b/>
          <w:bCs/>
          <w:spacing w:val="-4"/>
          <w:sz w:val="24"/>
        </w:rPr>
        <w:t>PËR</w:t>
      </w:r>
      <w:r w:rsidRPr="00CD1608">
        <w:rPr>
          <w:rFonts w:ascii="Garamond" w:eastAsia="MS Mincho" w:hAnsi="Garamond" w:cs="CG Times"/>
          <w:b/>
          <w:bCs/>
          <w:spacing w:val="-4"/>
          <w:sz w:val="24"/>
          <w:vertAlign w:val="superscript"/>
        </w:rPr>
        <w:footnoteReference w:id="1"/>
      </w:r>
      <w:r w:rsidRPr="00CD1608">
        <w:rPr>
          <w:rFonts w:ascii="Garamond" w:eastAsia="MS Mincho" w:hAnsi="Garamond" w:cs="CG Times"/>
          <w:b/>
          <w:bCs/>
          <w:spacing w:val="-4"/>
          <w:sz w:val="24"/>
        </w:rPr>
        <w:t xml:space="preserve"> PËRPUNIMIN E TË DHËNAVE PERSONALE NGA ROJET KUFITARE </w:t>
      </w:r>
    </w:p>
    <w:p w:rsidR="00CD1608" w:rsidRPr="00CD1608" w:rsidRDefault="00CD1608" w:rsidP="00CD1608">
      <w:pPr>
        <w:widowControl w:val="0"/>
        <w:spacing w:after="0" w:line="240" w:lineRule="auto"/>
        <w:ind w:firstLine="284"/>
        <w:jc w:val="both"/>
        <w:rPr>
          <w:rFonts w:ascii="Garamond" w:eastAsia="MS Mincho" w:hAnsi="Garamond" w:cs="CG Times"/>
          <w:spacing w:val="-4"/>
          <w:sz w:val="16"/>
        </w:rPr>
      </w:pP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Në mbështetje të pikës 4, të nenit 102 të Kushtetutës dhe të pikës 3, të nenit 20, të ligjit nr. 71/2016, “Për kontrollin kufitar”, ministri i Punëve të Brendshme dhe Komisioneri për të Drejtën e Informimit dhe Mbrojtjen e të Dhënave Personale,</w:t>
      </w:r>
    </w:p>
    <w:p w:rsidR="00CD1608" w:rsidRPr="00CD1608" w:rsidRDefault="00CD1608" w:rsidP="00CD1608">
      <w:pPr>
        <w:keepNext/>
        <w:widowControl w:val="0"/>
        <w:spacing w:after="0" w:line="240" w:lineRule="auto"/>
        <w:jc w:val="center"/>
        <w:rPr>
          <w:rFonts w:ascii="Garamond" w:eastAsia="MS Mincho" w:hAnsi="Garamond" w:cs="CG Times"/>
          <w:spacing w:val="-4"/>
          <w:sz w:val="14"/>
        </w:rPr>
      </w:pPr>
    </w:p>
    <w:p w:rsidR="00CD1608" w:rsidRPr="00CD1608" w:rsidRDefault="00CD1608" w:rsidP="00CD1608">
      <w:pPr>
        <w:keepNext/>
        <w:widowControl w:val="0"/>
        <w:spacing w:after="0" w:line="240" w:lineRule="auto"/>
        <w:jc w:val="center"/>
        <w:rPr>
          <w:rFonts w:ascii="Garamond" w:eastAsia="MS Mincho" w:hAnsi="Garamond" w:cs="CG Times"/>
          <w:spacing w:val="-4"/>
          <w:sz w:val="24"/>
        </w:rPr>
      </w:pPr>
      <w:r w:rsidRPr="00CD1608">
        <w:rPr>
          <w:rFonts w:ascii="Garamond" w:eastAsia="MS Mincho" w:hAnsi="Garamond" w:cs="CG Times"/>
          <w:spacing w:val="-4"/>
          <w:sz w:val="24"/>
        </w:rPr>
        <w:t>UDHËZOJNË:</w:t>
      </w:r>
    </w:p>
    <w:p w:rsidR="00CD1608" w:rsidRPr="00CD1608" w:rsidRDefault="00CD1608" w:rsidP="00CD1608">
      <w:pPr>
        <w:widowControl w:val="0"/>
        <w:spacing w:after="0" w:line="240" w:lineRule="auto"/>
        <w:ind w:firstLine="284"/>
        <w:jc w:val="both"/>
        <w:rPr>
          <w:rFonts w:ascii="Garamond" w:eastAsia="MS Mincho" w:hAnsi="Garamond" w:cs="CG Times"/>
          <w:spacing w:val="-4"/>
          <w:sz w:val="12"/>
        </w:rPr>
      </w:pP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1. Rojet kufitare, në funksion të kontrollit kufitar, mbledhin të dhëna personale deri në atë masë sa është e nevojshme për identifikimin e saktë të personit që synon të kalojë, kalon apo ka kaluar kufirin, si dhe të dokumentacionit dhe mjetit të udhëtimit që ky person  synon të përdorë ose përdor për të kaluar kufirin, së bashku me motivin e kalimit të kufirit, kohën dhe vendin e saktë kur dhe ku është synuar të kalohet apo është kaluar kufiri, me qëllim garantimin e sigurisë kufitare dhe sigurisë së brendshme, si dhe parandalimin, zbulimin dhe hetimin e rasteve të migracionit të paligjshëm dhe krimit ndërkufitar.</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2. Rojet kufitare, në funksion të kontrollit kufitar, shfrytëzojnë të dhëna personale dhe konsultohen me to, deri në atë masë sa është e nevojshme për kryerjen e një kontrolli kufitar optimal, me qëllim garantimin e sigurisë kufitare dhe sigurisë së brendshme, si dhe parandalimin, zbulimin dhe hetimin e rasteve të migracionit të paligjshëm dhe krimit ndërkufitar.</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3. Rojet kufitare, në përputhje me pikën 1, mbledhin dhe regjistrojnë të dhëna personale të:</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a) shtetasve të huaj të refuzuar në hyrje të Republikës së Shqipërisë;</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 xml:space="preserve">b) personave të refuzuar në dalje të Republikës së Shqipërisë; </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c) shtetasve të huaj të cilëve në zbatim të pikës 4, të nenit 16, të ligjit nr. 71/2016, “Për kontrollin kufitar”, nuk u vendoset vulë në dokumentin e udhëtimit;</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ç) shtetasve të huaj që pajisen me vizë në kufi;</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d) personave që pajisen nga Policia Kufitare dhe e Migracionit, ose që kalojnë kufirin, me dokumente që zëvendësojnë dokumentet e udhëtimit dhe vizat;</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dh) personave të kthyer dhe të riatdhesuar nga autoritetet e huaja në Republikën e Shqipërisë, ose nga autoritetet shqiptare drejt një vendi tjetër;</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e) personave që kanë kaluar ose tentojnë të kalojnë në mënyrë të paligjshme kufirin shtetëror;</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ë) personave që paraqesin kërkesa dhe ankesa në kuptim të kontrollit kufitar;</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f) personave që kryejnë kundërvajtje administrative nën juridiksionin e Policisë Kufitare dhe Migracionit;</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 xml:space="preserve">g) personave që kryejnë vepra penale nën juridiksionin e Policisë Kufitare dhe Migracionit; </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 xml:space="preserve">gj) personave që hyjnë dhe dalin në kufi, kur instrumentet elektronike ose arkivi elektronik i regjistrimit të hyrje-daljeve është jashtë funksionit për një kohë të gjatë, duke i depozituar të dhënat në një regjistër të përkohshëm shkresor. </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4. Rojet kufitare, në përputhje me pikën 1, krahas të dhënave të parashikuara në pikën 3, mund të mbledhin dhe regjistrojnë, gjithashtu, dokumentacion që përmban të dhëna personale, si më poshtë:</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a) intervistat e personave të kthyer dhe riatdhesuar në Shqipëri, si dhe të personave që kanë kaluar apo tentojnë të kalojnë kufirin në mënyrë të parregullt, kur këto janë të nevojshme për zbulimin e veprave penale dhe shkeljeve administrative apo identifikimin e viktimave të mundshme të trafikimit;</w:t>
      </w:r>
    </w:p>
    <w:p w:rsidR="00CD1608" w:rsidRPr="00CD1608" w:rsidRDefault="00CD1608" w:rsidP="00CD1608">
      <w:pPr>
        <w:widowControl w:val="0"/>
        <w:spacing w:after="0" w:line="240" w:lineRule="auto"/>
        <w:ind w:firstLine="284"/>
        <w:jc w:val="both"/>
        <w:rPr>
          <w:rFonts w:ascii="Garamond" w:eastAsia="MS Mincho" w:hAnsi="Garamond" w:cs="CG Times"/>
          <w:spacing w:val="-6"/>
          <w:sz w:val="24"/>
        </w:rPr>
      </w:pPr>
      <w:r w:rsidRPr="00CD1608">
        <w:rPr>
          <w:rFonts w:ascii="Garamond" w:eastAsia="MS Mincho" w:hAnsi="Garamond" w:cs="CG Times"/>
          <w:spacing w:val="-6"/>
          <w:sz w:val="24"/>
        </w:rPr>
        <w:t>b) dokumentacion mbështetës për kalimin e kufirit, si: certifikata, ftesa, deklarata noteriale, kontrata etj.;</w:t>
      </w:r>
    </w:p>
    <w:p w:rsidR="00CD1608" w:rsidRPr="00CD1608" w:rsidRDefault="00CD1608" w:rsidP="00CD1608">
      <w:pPr>
        <w:widowControl w:val="0"/>
        <w:spacing w:after="0" w:line="240" w:lineRule="auto"/>
        <w:ind w:firstLine="284"/>
        <w:jc w:val="both"/>
        <w:rPr>
          <w:rFonts w:ascii="Garamond" w:eastAsia="MS Mincho" w:hAnsi="Garamond" w:cs="CG Times"/>
          <w:spacing w:val="-6"/>
          <w:sz w:val="24"/>
        </w:rPr>
      </w:pPr>
      <w:r w:rsidRPr="00CD1608">
        <w:rPr>
          <w:rFonts w:ascii="Garamond" w:eastAsia="MS Mincho" w:hAnsi="Garamond" w:cs="CG Times"/>
          <w:spacing w:val="-6"/>
          <w:sz w:val="24"/>
        </w:rPr>
        <w:t xml:space="preserve">c) origjinalin ose kopjet e listave të udhëtarëve të mjeteve të transportit, që kanë detyrim plotësimin dhe paraqitjen e këtyre listave; </w:t>
      </w:r>
    </w:p>
    <w:p w:rsidR="00CD1608" w:rsidRPr="00CD1608" w:rsidRDefault="00CD1608" w:rsidP="00CD1608">
      <w:pPr>
        <w:widowControl w:val="0"/>
        <w:spacing w:after="0" w:line="240" w:lineRule="auto"/>
        <w:ind w:firstLine="284"/>
        <w:jc w:val="both"/>
        <w:rPr>
          <w:rFonts w:ascii="Garamond" w:eastAsia="MS Mincho" w:hAnsi="Garamond" w:cs="CG Times"/>
          <w:spacing w:val="-6"/>
          <w:sz w:val="24"/>
        </w:rPr>
      </w:pPr>
      <w:r w:rsidRPr="00CD1608">
        <w:rPr>
          <w:rFonts w:ascii="Garamond" w:eastAsia="MS Mincho" w:hAnsi="Garamond" w:cs="CG Times"/>
          <w:spacing w:val="-6"/>
          <w:sz w:val="24"/>
        </w:rPr>
        <w:lastRenderedPageBreak/>
        <w:t>ç) foto dhe video të siguruara me anë të pajisjeve të kontrollit kufitar, kur këto pajisje e mundësojnë këtë manualisht ose automatikisht dhe të dhënat në fjalë janë të nevojshme për zbulimin e veprave penale dhe kundërvajtjeve administrative apo për identifikimin e viktimave të mundshme të trafikimit;</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6"/>
          <w:sz w:val="24"/>
        </w:rPr>
        <w:t>d) foto dhe video nga kamerat e sigurisë dhe pajisjet e tjera, që janë instaluar, në ambientet e përdorura nga Policia Kufitare dhe e Migracionit</w:t>
      </w:r>
      <w:r w:rsidRPr="00CD1608">
        <w:rPr>
          <w:rFonts w:ascii="Garamond" w:eastAsia="MS Mincho" w:hAnsi="Garamond" w:cs="CG Times"/>
          <w:spacing w:val="-4"/>
          <w:sz w:val="24"/>
        </w:rPr>
        <w:t xml:space="preserve"> për efekt të kontrollit kufitar.</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5. Rojet kufitare, për efekt të kontrollit kufitar, krahas të dhënave personale dhe dokumentacionit  të parashikuar në pikat 3 dhe 4, konsultojnë dhe shfrytëzojnë dokumentacionin e mëposhtëm që përmban të dhëna personale:</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a) shënimet, njoftimet dhe informacionet e autoriteteve ligjzbatuese, të shfaqura automatikisht, ose me kërkim në sistemet elektronike, si dhe ato që mbërrijnë shkresërisht dhe që përcaktohen si të nevojshme të konsultohen dhe shfrytëzohen gjatë kontrollit kufitar;</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b) arkiva elektronikë dhe shkresorë që me marrëveshje, me ligj ose me vendim të autoriteteve përgjegjëse, përcaktohen si të nevojshme të konsultohen dhe shfrytëzohen gjatë kontrollit kufitar.</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6. Regjistrimet për verifikimet e vijës së dytë dhe ato për identifikimin e viktimave të mundshme të trafikimit, kryhen vetëm mbi bazë statistikore që nuk mundëson zbulimin e të dhënave personale të subjekteve. Rregullat praktike për këto raste përcaktohen me procedura standarde të veprimit të Policisë Kufitare dhe Migracionit.</w:t>
      </w:r>
    </w:p>
    <w:p w:rsidR="00CD1608" w:rsidRPr="00CD1608" w:rsidRDefault="00CD1608" w:rsidP="00CD1608">
      <w:pPr>
        <w:widowControl w:val="0"/>
        <w:spacing w:after="0" w:line="240" w:lineRule="auto"/>
        <w:ind w:firstLine="284"/>
        <w:jc w:val="both"/>
        <w:rPr>
          <w:rFonts w:ascii="Garamond" w:eastAsia="MS Mincho" w:hAnsi="Garamond" w:cs="CG Times"/>
          <w:sz w:val="24"/>
        </w:rPr>
      </w:pPr>
      <w:r w:rsidRPr="00CD1608">
        <w:rPr>
          <w:rFonts w:ascii="Garamond" w:eastAsia="MS Mincho" w:hAnsi="Garamond" w:cs="CG Times"/>
          <w:sz w:val="24"/>
        </w:rPr>
        <w:t xml:space="preserve">7. Mbledhja, regjistrimi, konsultimi dhe shfrytëzimi i të dhënave, të parashikuara në pikat 3 dhe 4, si dhe konsultimi e shfrytëzimi i të dhënave të parashikuara në pikën 5, kryhet në mënyrë të tillë që roja kufitare që i mbledh, i regjistron, konsultohet me to dhe/ose i shfrytëzon, si dhe punonjësi autorizues apo vendimmarrës për këto veprime të rojës kufitare, të jetë i identifikueshëm. </w:t>
      </w:r>
    </w:p>
    <w:p w:rsidR="00CD1608" w:rsidRPr="00CD1608" w:rsidRDefault="00CD1608" w:rsidP="00CD1608">
      <w:pPr>
        <w:widowControl w:val="0"/>
        <w:spacing w:after="0" w:line="240" w:lineRule="auto"/>
        <w:ind w:firstLine="284"/>
        <w:jc w:val="both"/>
        <w:rPr>
          <w:rFonts w:ascii="Garamond" w:eastAsia="MS Mincho" w:hAnsi="Garamond" w:cs="CG Times"/>
          <w:sz w:val="24"/>
        </w:rPr>
      </w:pPr>
      <w:r w:rsidRPr="00CD1608">
        <w:rPr>
          <w:rFonts w:ascii="Garamond" w:eastAsia="MS Mincho" w:hAnsi="Garamond" w:cs="CG Times"/>
          <w:sz w:val="24"/>
        </w:rPr>
        <w:t>8. Të gjitha regjistrimet që kryhen në arkiva shkresorë nga rojet kufitare mund të regjistrohen në arkiva elektronikë, kur është marrë një vendim për krijimin e një arkivi të tillë nga autoritetet përgjegjëse.</w:t>
      </w:r>
    </w:p>
    <w:p w:rsidR="00CD1608" w:rsidRPr="00CD1608" w:rsidRDefault="00CD1608" w:rsidP="00CD1608">
      <w:pPr>
        <w:widowControl w:val="0"/>
        <w:spacing w:after="0" w:line="240" w:lineRule="auto"/>
        <w:ind w:firstLine="284"/>
        <w:jc w:val="both"/>
        <w:rPr>
          <w:rFonts w:ascii="Garamond" w:eastAsia="MS Mincho" w:hAnsi="Garamond" w:cs="CG Times"/>
          <w:sz w:val="24"/>
        </w:rPr>
      </w:pPr>
      <w:r w:rsidRPr="00CD1608">
        <w:rPr>
          <w:rFonts w:ascii="Garamond" w:eastAsia="MS Mincho" w:hAnsi="Garamond" w:cs="CG Times"/>
          <w:sz w:val="24"/>
        </w:rPr>
        <w:t>9. Në rastet e parashikuara në pikën 8, arkivat shkresorë, të cilët regjistrohen në arkiva elektronikë asgjësohen sa më shpejt të jetë e mundur, por jo më vonë se 30 ditë kalendarike nga regjistrimi në arkiv elektronik. Arkivat e mëparshëm shkresorë, të cilët nuk regjistrohen ose nuk mund të regjistrohen në arkiva elektronikë, ruhen deri në afatin e parashikuar për anonimizim të pakthyeshëm sipas përcaktimeve të pikës 13 apo fshihen sipas përcaktimit të pikës 14.</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 xml:space="preserve">10. Të dhënat e subjekteve të parashikuara në pikën 3, germa “gj”, regjistrohen detyrimisht në arkivin elektronik të hyrje-daljeve brenda 5 ditëve kalendarike nga rivendosja në funksion e sistemit kompjuterik ku regjistrohen këto të dhëna, ndërsa regjistri shkresor në fjalë asgjësohet brenda 7 ditëve kalendarike nga kalimi i të dhënave në arkiv elektronik. </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11. Rregullimet praktike për marrjen e vendimit për regjistrim në regjistër shkresor, mënyrën e këtij regjistrimi dhe mënyrën e kalimit në arkiv elektronik të të dhënave të parashikuara në pikën 3, germa “gj”, si dhe për mënyrën e asgjësimit të regjistrit shkresor përkatës, përcaktohen me procedura standarde të veprimit të Policisë Kufitare dhe Migracionit.</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12. Gjatë dhe për efekt të kontrollit kufitar, rojet kufitare konsultohen me dhe shfrytëzojnë drejtpërdrejt të dhënat e lartpërmendura, në bazë të nevojës për njohje, sipas afateve në vijim:</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a) 2 vjet për arkivin elektronik të hyrje-daljeve;</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b) 1 vit për të dhënat e përmendura në pikën 3, përveç germave “g” dhe “gj”;</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c) për aq kohë sa parashikohet në udhëzimin nr. 17, datë 11.5.2012, të Komisionerit për të Drejtën e Informimit dhe Mbrojtjen e të Dhënave Personale, për të dhënat e parashikuara në pikën 3, germa “g”;</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ç) deri në kohën e asgjësimit të regjistrit, për të dhënat e parashikuara në pikën 3, germa “gj”;</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d) 1 vit për të dhënat e përmendura në pikën 4, germat “a”, “b” dhe “c”;</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dh) përgjatë gjithë kohës së memorizimit automatik ose manual që ofron pajisja përkatëse për të dhënat e pikës 4, germat “ç” dhe “d”, por jo më shumë se 1 vit;</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e) pa kufizim për shënimet dhe njoftimet aktive të parashikuara në pikën 5, germa “a”;</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 xml:space="preserve">ë) 3 muaj pas anulimit, revokimit ose përfundimit të afatit të vlefshmërisë së shënimeve dhe </w:t>
      </w:r>
      <w:r w:rsidRPr="00CD1608">
        <w:rPr>
          <w:rFonts w:ascii="Garamond" w:eastAsia="MS Mincho" w:hAnsi="Garamond" w:cs="CG Times"/>
          <w:spacing w:val="-4"/>
          <w:sz w:val="24"/>
        </w:rPr>
        <w:lastRenderedPageBreak/>
        <w:t>njoftimeve të parashikuara në pikën 5, germa “a”;</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f) përgjatë gjithë kohës së fuqisë ligjore të marrëveshjes, ligjit ose vendimit për aksesim, për të dhënat e parashikuara në pikën 5, germa “b”.</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13. Të dhënat personale të mbledhura nga roja kufitare, në përputhje me pikat 3 dhe 4, anonimizohen në mënyrë të pakthyeshme kur plotësojnë këto afate:</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a) 2 vjet për të dhënat e parashikuara në pikën 3, germat “a”, “b”, “ç”, “d”, “dh”, “e”;</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b) 6 muaj për të dhënat e parashikuara në pikën 3, germa “ë”;</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c) për aq kohë sa parashikohet nga ligji për kundërvajtjet administrative, për të dhënat e parashikuara në pikën 3, germa “f”;</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ç) 1 vit për të dhënat e parashikuara në pikën 3, germa “c” dhe për të dhënat e parashikuara në pikën 4;</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d) për aq kohë sa parashikohet në udhëzimin nr. 17, datë 11.05.2012, të Komisionerit për të Drejtën e Informimit dhe Mbrojtjen e të Dhënave Personale dhe aktet në zbatim të tij, për të dhënat e parashikuara në pikën 3, germa “g”;</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dh) 3 muaj pas përfundimit të afatit apo vlefshmërisë së veprimit të kërkuar në dokumentin shkresor, për të dhënat e parashikuara në pikën 5, germa “a”;</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e) 5 vjet për hyrjet dhe daljet e regjistruara në arkiv elektronik.</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14. Nëse anonimizimi i pakthyeshëm, i parashikuar në pikën 13, është teknikisht i pamundur, të dhënat në fjalë fshihen përfundimisht.</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15. Qendra për Përpunimin dhe Mbrojtjen e të Dhënave, bazuar në të drejtën për njohje që jep legjislacioni ose marrëveshjet në fuqi, përcakton institucionet dhe strukturat që aksesojnë dhe shfrytëzojnë drejtpërdrejt të dhënat e mbledhura dhe regjistruara nga rojet kufitare në arkivat elektronikë, si dhe menaxhon përdoruesit.</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16. Për rastet e çështjeve të veçanta, për të cilat një përdorues i caktuar kërkon, për shkak të detyrës, të aksesojë të dhënat përtej afatit të parashikuar të konsultimit dhe shfrytëzimit të drejtpërdrejtë për strukturën ku përdoruesi bën pjesë, kërkesa për akses, miratimi i saj, zbatimi dhe mbyllja e aksesit, përcaktohen me urdhër të drejtorit të Policisë së Shtetit.</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17. Policia Kufitare dhe e Migracionit vendos në dispozicion të autoriteteve të tjera të dhënat e mbledhura prej saj, në kuptim të nenit 20, pika 1, germa “d”, të ligjit nr. 71/2016, “Për kontrollin kufitar”, vetëm në rast se këto të dhëna nuk, ose nuk mund të konsultohen dhe shfrytëzohen drejtpërdrejt nga autoriteti që i kërkon.</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18. Komisioneri për të Drejtën e Informimit dhe Mbrojtjen e të Dhënave Personale vlerëson në mënyrë periodike, si dhe rast pas rasti, përputhshmërinë e të dhënave të përpunuara sipas parashikimeve të pikave 3,4 dhe 5, me qëllimin e përpunimit të tyre.</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19. Subjektet e të dhënave personale të mbledhura dhe regjistruara nga rojet kufitare, në zbatim të ligjit nr. 71/2016, “Për kontrollin kufitar”, të drejtën për t’u informuar e ushtrojnë nëpërmjet strukturave përgjegjëse të Policisë së Shtetit për informimin e qytetarëve, të përcaktuara me urdhër të drejtorit të Policisë së Shtetit.</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20. Drejtoria e Përgjithshme për Kufirin dhe Migracionin merr masat për zbatimin e afateve të parashikuara në këtë udhëzim për arkivat shkresorë.</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21. Struktura përgjegjëse për teknologjinë dhe informacionin, në Drejtorinë e Policisë së Shtetit merr masat  për zbatimin e afateve të ruajtjes, aksesimit dhe anonimizimit të pakthyeshëm apo fshirjes së të dhënave personale që përpunohen në arkivat elektronikë për efekt të kontrollit kufitar.</w:t>
      </w:r>
    </w:p>
    <w:p w:rsidR="00CD1608" w:rsidRPr="00CD1608" w:rsidRDefault="00CD1608" w:rsidP="00CD1608">
      <w:pPr>
        <w:widowControl w:val="0"/>
        <w:spacing w:after="0" w:line="240" w:lineRule="auto"/>
        <w:ind w:firstLine="284"/>
        <w:jc w:val="both"/>
        <w:rPr>
          <w:rFonts w:ascii="Garamond" w:eastAsia="MS Mincho" w:hAnsi="Garamond" w:cs="CG Times"/>
          <w:spacing w:val="-4"/>
          <w:sz w:val="24"/>
        </w:rPr>
      </w:pPr>
      <w:r w:rsidRPr="00CD1608">
        <w:rPr>
          <w:rFonts w:ascii="Garamond" w:eastAsia="MS Mincho" w:hAnsi="Garamond" w:cs="CG Times"/>
          <w:spacing w:val="-4"/>
          <w:sz w:val="24"/>
        </w:rPr>
        <w:t>Ky udhëzim hyn në fuqi pas botimit në Fletoren Zyrtare.</w:t>
      </w:r>
    </w:p>
    <w:p w:rsidR="00CD1608" w:rsidRPr="00CD1608" w:rsidRDefault="00CD1608" w:rsidP="00CD1608">
      <w:pPr>
        <w:widowControl w:val="0"/>
        <w:spacing w:after="0" w:line="240" w:lineRule="auto"/>
        <w:ind w:firstLine="284"/>
        <w:jc w:val="right"/>
        <w:rPr>
          <w:rFonts w:ascii="Garamond" w:eastAsia="MS Mincho" w:hAnsi="Garamond" w:cs="CG Times"/>
          <w:spacing w:val="-4"/>
          <w:sz w:val="14"/>
        </w:rPr>
      </w:pPr>
    </w:p>
    <w:p w:rsidR="00CD1608" w:rsidRPr="00CD1608" w:rsidRDefault="00CD1608" w:rsidP="00CD1608">
      <w:pPr>
        <w:widowControl w:val="0"/>
        <w:spacing w:after="0" w:line="240" w:lineRule="auto"/>
        <w:ind w:firstLine="284"/>
        <w:jc w:val="right"/>
        <w:rPr>
          <w:rFonts w:ascii="Garamond" w:eastAsia="MS Mincho" w:hAnsi="Garamond" w:cs="CG Times"/>
          <w:spacing w:val="-4"/>
          <w:sz w:val="24"/>
        </w:rPr>
      </w:pPr>
      <w:r w:rsidRPr="00CD1608">
        <w:rPr>
          <w:rFonts w:ascii="Garamond" w:eastAsia="MS Mincho" w:hAnsi="Garamond" w:cs="CG Times"/>
          <w:spacing w:val="-4"/>
          <w:sz w:val="24"/>
        </w:rPr>
        <w:t xml:space="preserve">KOMISIONERI PËR TË DREJTËN E INFORMIMIT DHE MBROJTJEN </w:t>
      </w:r>
    </w:p>
    <w:p w:rsidR="00CD1608" w:rsidRPr="00CD1608" w:rsidRDefault="00CD1608" w:rsidP="00CD1608">
      <w:pPr>
        <w:widowControl w:val="0"/>
        <w:spacing w:after="0" w:line="240" w:lineRule="auto"/>
        <w:ind w:firstLine="284"/>
        <w:jc w:val="right"/>
        <w:rPr>
          <w:rFonts w:ascii="Garamond" w:eastAsia="MS Mincho" w:hAnsi="Garamond" w:cs="CG Times"/>
          <w:spacing w:val="-4"/>
          <w:sz w:val="24"/>
        </w:rPr>
      </w:pPr>
      <w:r w:rsidRPr="00CD1608">
        <w:rPr>
          <w:rFonts w:ascii="Garamond" w:eastAsia="MS Mincho" w:hAnsi="Garamond" w:cs="CG Times"/>
          <w:spacing w:val="-4"/>
          <w:sz w:val="24"/>
        </w:rPr>
        <w:t>E TË DHËNAVE PERSONALE</w:t>
      </w:r>
    </w:p>
    <w:p w:rsidR="00CD1608" w:rsidRPr="00CD1608" w:rsidRDefault="00CD1608" w:rsidP="00CD1608">
      <w:pPr>
        <w:widowControl w:val="0"/>
        <w:spacing w:after="0" w:line="240" w:lineRule="auto"/>
        <w:ind w:firstLine="284"/>
        <w:jc w:val="right"/>
        <w:rPr>
          <w:rFonts w:ascii="Garamond" w:eastAsia="MS Mincho" w:hAnsi="Garamond" w:cs="CG Times"/>
          <w:b/>
          <w:spacing w:val="-4"/>
          <w:sz w:val="24"/>
        </w:rPr>
      </w:pPr>
      <w:r w:rsidRPr="00CD1608">
        <w:rPr>
          <w:rFonts w:ascii="Garamond" w:eastAsia="MS Mincho" w:hAnsi="Garamond" w:cs="CG Times"/>
          <w:b/>
          <w:spacing w:val="-4"/>
          <w:sz w:val="24"/>
        </w:rPr>
        <w:t>Besnik Dervishi</w:t>
      </w:r>
    </w:p>
    <w:p w:rsidR="00CD1608" w:rsidRPr="00CD1608" w:rsidRDefault="00CD1608" w:rsidP="00CD1608">
      <w:pPr>
        <w:widowControl w:val="0"/>
        <w:spacing w:after="0" w:line="240" w:lineRule="auto"/>
        <w:ind w:firstLine="284"/>
        <w:jc w:val="right"/>
        <w:rPr>
          <w:rFonts w:ascii="Garamond" w:eastAsia="MS Mincho" w:hAnsi="Garamond" w:cs="CG Times"/>
          <w:spacing w:val="-4"/>
          <w:sz w:val="14"/>
        </w:rPr>
      </w:pPr>
    </w:p>
    <w:p w:rsidR="00CD1608" w:rsidRPr="00CD1608" w:rsidRDefault="00CD1608" w:rsidP="00CD1608">
      <w:pPr>
        <w:widowControl w:val="0"/>
        <w:spacing w:after="0" w:line="240" w:lineRule="auto"/>
        <w:ind w:firstLine="284"/>
        <w:jc w:val="right"/>
        <w:rPr>
          <w:rFonts w:ascii="Garamond" w:eastAsia="MS Mincho" w:hAnsi="Garamond" w:cs="CG Times"/>
          <w:spacing w:val="-4"/>
          <w:sz w:val="24"/>
        </w:rPr>
      </w:pPr>
      <w:r w:rsidRPr="00CD1608">
        <w:rPr>
          <w:rFonts w:ascii="Garamond" w:eastAsia="MS Mincho" w:hAnsi="Garamond" w:cs="CG Times"/>
          <w:spacing w:val="-4"/>
          <w:sz w:val="24"/>
        </w:rPr>
        <w:t>MINISTRI I PUNËVE TË BRENDSHME</w:t>
      </w:r>
    </w:p>
    <w:p w:rsidR="00CD1608" w:rsidRPr="00CD1608" w:rsidRDefault="00CD1608" w:rsidP="00CD1608">
      <w:pPr>
        <w:widowControl w:val="0"/>
        <w:spacing w:after="0" w:line="240" w:lineRule="auto"/>
        <w:ind w:firstLine="284"/>
        <w:jc w:val="right"/>
        <w:rPr>
          <w:rFonts w:ascii="Garamond" w:eastAsia="MS Mincho" w:hAnsi="Garamond" w:cs="CG Times"/>
          <w:b/>
          <w:spacing w:val="-4"/>
          <w:sz w:val="24"/>
        </w:rPr>
      </w:pPr>
      <w:r w:rsidRPr="00CD1608">
        <w:rPr>
          <w:rFonts w:ascii="Garamond" w:eastAsia="MS Mincho" w:hAnsi="Garamond" w:cs="CG Times"/>
          <w:b/>
          <w:spacing w:val="-4"/>
          <w:sz w:val="24"/>
        </w:rPr>
        <w:t>Saimir Tahiri</w:t>
      </w:r>
    </w:p>
    <w:p w:rsidR="005B2D2E" w:rsidRPr="00CD1608" w:rsidRDefault="005B2D2E" w:rsidP="00CD1608"/>
    <w:sectPr w:rsidR="005B2D2E" w:rsidRPr="00CD160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73A7" w:rsidRDefault="002F73A7" w:rsidP="002F73A7">
      <w:pPr>
        <w:spacing w:after="0" w:line="240" w:lineRule="auto"/>
      </w:pPr>
      <w:r>
        <w:separator/>
      </w:r>
    </w:p>
  </w:endnote>
  <w:endnote w:type="continuationSeparator" w:id="0">
    <w:p w:rsidR="002F73A7" w:rsidRDefault="002F73A7" w:rsidP="002F7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73A7" w:rsidRDefault="002F73A7" w:rsidP="002F73A7">
      <w:pPr>
        <w:spacing w:after="0" w:line="240" w:lineRule="auto"/>
      </w:pPr>
      <w:r>
        <w:separator/>
      </w:r>
    </w:p>
  </w:footnote>
  <w:footnote w:type="continuationSeparator" w:id="0">
    <w:p w:rsidR="002F73A7" w:rsidRDefault="002F73A7" w:rsidP="002F73A7">
      <w:pPr>
        <w:spacing w:after="0" w:line="240" w:lineRule="auto"/>
      </w:pPr>
      <w:r>
        <w:continuationSeparator/>
      </w:r>
    </w:p>
  </w:footnote>
  <w:footnote w:id="1">
    <w:p w:rsidR="00CD1608" w:rsidRPr="0085361B" w:rsidRDefault="00CD1608" w:rsidP="00CD1608">
      <w:pPr>
        <w:pStyle w:val="Default"/>
        <w:jc w:val="both"/>
        <w:rPr>
          <w:rFonts w:ascii="Garamond" w:hAnsi="Garamond"/>
          <w:sz w:val="20"/>
          <w:szCs w:val="20"/>
        </w:rPr>
      </w:pPr>
      <w:r w:rsidRPr="0085361B">
        <w:rPr>
          <w:rStyle w:val="FootnoteReference"/>
          <w:rFonts w:ascii="Garamond" w:hAnsi="Garamond"/>
          <w:sz w:val="20"/>
          <w:szCs w:val="20"/>
        </w:rPr>
        <w:footnoteRef/>
      </w:r>
      <w:r w:rsidRPr="0085361B">
        <w:rPr>
          <w:rFonts w:ascii="Garamond" w:hAnsi="Garamond"/>
          <w:i/>
          <w:iCs/>
          <w:sz w:val="20"/>
          <w:szCs w:val="20"/>
        </w:rPr>
        <w:t xml:space="preserve"> Ky udhëzim është përafruar pjesërisht me Rregulloren (BE) 2016/399 të Parlamentit Evropian dhe të Këshillit, datë 9 mars 2016, “Mbi Kodin e Bashkimit Evropian që përcakton rregullat e regjimit të lëvizjes së personave përmes kufijve (Kodi i Kufijve Schengen)”, numri CELEX 32016R0399, Fletorja Zyrtare e Bashkimit Evropian, seria L</w:t>
      </w:r>
      <w:r>
        <w:rPr>
          <w:rFonts w:ascii="Garamond" w:hAnsi="Garamond"/>
          <w:i/>
          <w:iCs/>
          <w:sz w:val="20"/>
          <w:szCs w:val="20"/>
        </w:rPr>
        <w:t>, nr.77, datë 23.3.2016, faqe 1</w:t>
      </w:r>
      <w:r w:rsidRPr="0085361B">
        <w:rPr>
          <w:rFonts w:ascii="Garamond" w:hAnsi="Garamond"/>
          <w:i/>
          <w:iCs/>
          <w:sz w:val="20"/>
          <w:szCs w:val="20"/>
        </w:rPr>
        <w:t xml:space="preserve">–52.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3A7"/>
    <w:rsid w:val="002F73A7"/>
    <w:rsid w:val="003810A1"/>
    <w:rsid w:val="005B2D2E"/>
    <w:rsid w:val="00CD160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F73A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F73A7"/>
    <w:rPr>
      <w:rFonts w:ascii="Garamond" w:eastAsia="MS Mincho" w:hAnsi="Garamond" w:cs="CG Times"/>
      <w:sz w:val="24"/>
      <w:lang w:val="en-US"/>
    </w:rPr>
  </w:style>
  <w:style w:type="paragraph" w:customStyle="1" w:styleId="NeniNr">
    <w:name w:val="Neni_Nr"/>
    <w:next w:val="Normal"/>
    <w:link w:val="NeniNrChar"/>
    <w:rsid w:val="002F73A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F73A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F73A7"/>
    <w:rPr>
      <w:rFonts w:ascii="Garamond" w:eastAsia="MS Mincho" w:hAnsi="Garamond" w:cs="CG Times"/>
      <w:sz w:val="24"/>
      <w:lang w:val="en-GB"/>
    </w:rPr>
  </w:style>
  <w:style w:type="paragraph" w:customStyle="1" w:styleId="Default">
    <w:name w:val="Default"/>
    <w:rsid w:val="002F73A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2F73A7"/>
    <w:rPr>
      <w:vertAlign w:val="superscript"/>
    </w:rPr>
  </w:style>
  <w:style w:type="paragraph" w:customStyle="1" w:styleId="BVIfnrCarCarCarCarChar">
    <w:name w:val="BVI fnr Car Car Car Car Char"/>
    <w:basedOn w:val="Normal"/>
    <w:link w:val="FootnoteReference"/>
    <w:uiPriority w:val="99"/>
    <w:rsid w:val="002F73A7"/>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F73A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F73A7"/>
    <w:rPr>
      <w:rFonts w:ascii="Garamond" w:eastAsia="MS Mincho" w:hAnsi="Garamond" w:cs="CG Times"/>
      <w:sz w:val="24"/>
      <w:lang w:val="en-US"/>
    </w:rPr>
  </w:style>
  <w:style w:type="paragraph" w:customStyle="1" w:styleId="NeniNr">
    <w:name w:val="Neni_Nr"/>
    <w:next w:val="Normal"/>
    <w:link w:val="NeniNrChar"/>
    <w:rsid w:val="002F73A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F73A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F73A7"/>
    <w:rPr>
      <w:rFonts w:ascii="Garamond" w:eastAsia="MS Mincho" w:hAnsi="Garamond" w:cs="CG Times"/>
      <w:sz w:val="24"/>
      <w:lang w:val="en-GB"/>
    </w:rPr>
  </w:style>
  <w:style w:type="paragraph" w:customStyle="1" w:styleId="Default">
    <w:name w:val="Default"/>
    <w:rsid w:val="002F73A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2F73A7"/>
    <w:rPr>
      <w:vertAlign w:val="superscript"/>
    </w:rPr>
  </w:style>
  <w:style w:type="paragraph" w:customStyle="1" w:styleId="BVIfnrCarCarCarCarChar">
    <w:name w:val="BVI fnr Car Car Car Car Char"/>
    <w:basedOn w:val="Normal"/>
    <w:link w:val="FootnoteReference"/>
    <w:uiPriority w:val="99"/>
    <w:rsid w:val="002F73A7"/>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1692</Words>
  <Characters>9650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2019-02-05T08:35:00Z</cp:lastPrinted>
  <dcterms:created xsi:type="dcterms:W3CDTF">2016-10-04T10:23:00Z</dcterms:created>
  <dcterms:modified xsi:type="dcterms:W3CDTF">2019-02-05T08:35:00Z</dcterms:modified>
</cp:coreProperties>
</file>