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5E07A" w14:textId="144EE1EA" w:rsidR="0073223B" w:rsidRPr="001620BD" w:rsidRDefault="0073223B" w:rsidP="007B484B">
      <w:pPr>
        <w:widowControl w:val="0"/>
        <w:spacing w:after="0" w:line="240" w:lineRule="auto"/>
        <w:jc w:val="center"/>
        <w:rPr>
          <w:rFonts w:ascii="Garamond" w:hAnsi="Garamond"/>
          <w:b/>
          <w:sz w:val="24"/>
          <w:szCs w:val="24"/>
          <w:lang w:val="sq-AL"/>
        </w:rPr>
      </w:pPr>
      <w:r w:rsidRPr="001620BD">
        <w:rPr>
          <w:rFonts w:ascii="Garamond" w:hAnsi="Garamond"/>
          <w:b/>
          <w:sz w:val="24"/>
          <w:szCs w:val="24"/>
          <w:lang w:val="sq-AL"/>
        </w:rPr>
        <w:t>UDHËZIM</w:t>
      </w:r>
    </w:p>
    <w:p w14:paraId="16B659B6" w14:textId="06CDE3C4" w:rsidR="000F74B6" w:rsidRPr="001620BD" w:rsidRDefault="0073223B" w:rsidP="007B484B">
      <w:pPr>
        <w:widowControl w:val="0"/>
        <w:spacing w:after="0" w:line="240" w:lineRule="auto"/>
        <w:jc w:val="center"/>
        <w:rPr>
          <w:rFonts w:ascii="Garamond" w:hAnsi="Garamond"/>
          <w:b/>
          <w:sz w:val="24"/>
          <w:szCs w:val="24"/>
          <w:lang w:val="sq-AL"/>
        </w:rPr>
      </w:pPr>
      <w:r w:rsidRPr="001620BD">
        <w:rPr>
          <w:rFonts w:ascii="Garamond" w:hAnsi="Garamond"/>
          <w:b/>
          <w:sz w:val="24"/>
          <w:szCs w:val="24"/>
          <w:lang w:val="sq-AL"/>
        </w:rPr>
        <w:t>Nr</w:t>
      </w:r>
      <w:r w:rsidR="00521B30" w:rsidRPr="001620BD">
        <w:rPr>
          <w:rFonts w:ascii="Garamond" w:hAnsi="Garamond"/>
          <w:b/>
          <w:sz w:val="24"/>
          <w:szCs w:val="24"/>
          <w:lang w:val="sq-AL"/>
        </w:rPr>
        <w:t>.</w:t>
      </w:r>
      <w:r w:rsidR="007E1BEE" w:rsidRPr="001620BD">
        <w:rPr>
          <w:rFonts w:ascii="Garamond" w:hAnsi="Garamond"/>
          <w:b/>
          <w:sz w:val="24"/>
          <w:szCs w:val="24"/>
          <w:lang w:val="sq-AL"/>
        </w:rPr>
        <w:t xml:space="preserve"> </w:t>
      </w:r>
      <w:r w:rsidR="00521B30" w:rsidRPr="001620BD">
        <w:rPr>
          <w:rFonts w:ascii="Garamond" w:hAnsi="Garamond"/>
          <w:b/>
          <w:sz w:val="24"/>
          <w:szCs w:val="24"/>
          <w:lang w:val="sq-AL"/>
        </w:rPr>
        <w:t>6</w:t>
      </w:r>
      <w:r w:rsidR="007869C7" w:rsidRPr="001620BD">
        <w:rPr>
          <w:rFonts w:ascii="Garamond" w:hAnsi="Garamond"/>
          <w:b/>
          <w:sz w:val="24"/>
          <w:szCs w:val="24"/>
          <w:lang w:val="sq-AL"/>
        </w:rPr>
        <w:t>, datë 16.7.2025</w:t>
      </w:r>
    </w:p>
    <w:p w14:paraId="17F5A969" w14:textId="4670D106" w:rsidR="0018175F" w:rsidRPr="001620BD" w:rsidRDefault="0018175F" w:rsidP="007B484B">
      <w:pPr>
        <w:widowControl w:val="0"/>
        <w:spacing w:after="0" w:line="240" w:lineRule="auto"/>
        <w:jc w:val="center"/>
        <w:rPr>
          <w:rFonts w:ascii="Garamond" w:hAnsi="Garamond"/>
          <w:b/>
          <w:sz w:val="24"/>
          <w:szCs w:val="24"/>
          <w:lang w:val="sq-AL"/>
        </w:rPr>
      </w:pPr>
    </w:p>
    <w:p w14:paraId="672DFBCB" w14:textId="01C4ED0C" w:rsidR="009C749D" w:rsidRPr="001620BD" w:rsidRDefault="009C749D" w:rsidP="007B484B">
      <w:pPr>
        <w:widowControl w:val="0"/>
        <w:autoSpaceDE w:val="0"/>
        <w:autoSpaceDN w:val="0"/>
        <w:adjustRightInd w:val="0"/>
        <w:spacing w:after="0" w:line="240" w:lineRule="auto"/>
        <w:jc w:val="center"/>
        <w:rPr>
          <w:rFonts w:ascii="Garamond" w:hAnsi="Garamond" w:cs="Times New Roman"/>
          <w:b/>
          <w:bCs/>
          <w:sz w:val="24"/>
          <w:szCs w:val="24"/>
          <w:lang w:val="sq-AL"/>
        </w:rPr>
      </w:pPr>
      <w:r w:rsidRPr="001620BD">
        <w:rPr>
          <w:rFonts w:ascii="Garamond" w:hAnsi="Garamond" w:cs="Times New Roman"/>
          <w:b/>
          <w:bCs/>
          <w:sz w:val="24"/>
          <w:szCs w:val="24"/>
          <w:lang w:val="sq-AL"/>
        </w:rPr>
        <w:t>PËR</w:t>
      </w:r>
      <w:r w:rsidR="007B484B" w:rsidRPr="001620BD">
        <w:rPr>
          <w:rFonts w:ascii="Garamond" w:hAnsi="Garamond" w:cs="Times New Roman"/>
          <w:b/>
          <w:bCs/>
          <w:sz w:val="24"/>
          <w:szCs w:val="24"/>
          <w:lang w:val="sq-AL"/>
        </w:rPr>
        <w:t xml:space="preserve"> </w:t>
      </w:r>
      <w:r w:rsidRPr="001620BD">
        <w:rPr>
          <w:rFonts w:ascii="Garamond" w:hAnsi="Garamond" w:cs="Times New Roman"/>
          <w:b/>
          <w:bCs/>
          <w:sz w:val="24"/>
          <w:szCs w:val="24"/>
          <w:lang w:val="sq-AL"/>
        </w:rPr>
        <w:t>MIRATIMIN E METODOLOGJISË PËR PËRLLOGARITJEN E MASËS SË SANKSIONEVE ADMINISTRATIVE</w:t>
      </w:r>
    </w:p>
    <w:p w14:paraId="6A217B1A" w14:textId="77777777" w:rsidR="009C749D" w:rsidRPr="001620BD" w:rsidRDefault="009C749D" w:rsidP="007B484B">
      <w:pPr>
        <w:widowControl w:val="0"/>
        <w:autoSpaceDE w:val="0"/>
        <w:autoSpaceDN w:val="0"/>
        <w:adjustRightInd w:val="0"/>
        <w:spacing w:after="0" w:line="240" w:lineRule="auto"/>
        <w:jc w:val="center"/>
        <w:rPr>
          <w:rFonts w:ascii="Garamond" w:hAnsi="Garamond" w:cs="Times New Roman"/>
          <w:b/>
          <w:bCs/>
          <w:sz w:val="24"/>
          <w:szCs w:val="24"/>
          <w:lang w:val="sq-AL"/>
        </w:rPr>
      </w:pPr>
    </w:p>
    <w:p w14:paraId="217C84EA" w14:textId="715BA270" w:rsidR="009C749D" w:rsidRPr="001620BD" w:rsidRDefault="009C749D" w:rsidP="007B484B">
      <w:pPr>
        <w:pStyle w:val="TEKSTIIIII"/>
        <w:rPr>
          <w:color w:val="auto"/>
        </w:rPr>
      </w:pPr>
      <w:r w:rsidRPr="001620BD">
        <w:rPr>
          <w:color w:val="auto"/>
        </w:rPr>
        <w:t>Në mbështetje të pikës 4, të nenit 94</w:t>
      </w:r>
      <w:r w:rsidR="00901AA5" w:rsidRPr="001620BD">
        <w:rPr>
          <w:color w:val="auto"/>
        </w:rPr>
        <w:t>,</w:t>
      </w:r>
      <w:r w:rsidRPr="001620BD">
        <w:rPr>
          <w:color w:val="auto"/>
        </w:rPr>
        <w:t xml:space="preserve"> si dhe pikës 1, të nenit 85 dhe pikës 2, të nenit 97, të ligjit nr.</w:t>
      </w:r>
      <w:r w:rsidR="007E1BEE" w:rsidRPr="001620BD">
        <w:rPr>
          <w:color w:val="auto"/>
        </w:rPr>
        <w:t xml:space="preserve"> </w:t>
      </w:r>
      <w:r w:rsidRPr="001620BD">
        <w:rPr>
          <w:color w:val="auto"/>
        </w:rPr>
        <w:t>124/2024</w:t>
      </w:r>
      <w:r w:rsidR="007E1BEE" w:rsidRPr="001620BD">
        <w:rPr>
          <w:color w:val="auto"/>
        </w:rPr>
        <w:t>,</w:t>
      </w:r>
      <w:r w:rsidRPr="001620BD">
        <w:rPr>
          <w:color w:val="auto"/>
        </w:rPr>
        <w:t xml:space="preserve"> “Për mbrojtjen e të dhënave personale” (në vijim quajtur “</w:t>
      </w:r>
      <w:r w:rsidRPr="001620BD">
        <w:rPr>
          <w:iCs/>
          <w:color w:val="auto"/>
        </w:rPr>
        <w:t>Ligji</w:t>
      </w:r>
      <w:r w:rsidRPr="001620BD">
        <w:rPr>
          <w:color w:val="auto"/>
        </w:rPr>
        <w:t>”), Komisioneri për të Drejtën e Informimit dhe Mbrojtjen e të Dhënave Personale,</w:t>
      </w:r>
    </w:p>
    <w:p w14:paraId="4103D123" w14:textId="77777777" w:rsidR="009C749D" w:rsidRPr="001620BD" w:rsidRDefault="009C749D" w:rsidP="007B484B">
      <w:pPr>
        <w:widowControl w:val="0"/>
        <w:autoSpaceDE w:val="0"/>
        <w:autoSpaceDN w:val="0"/>
        <w:adjustRightInd w:val="0"/>
        <w:spacing w:after="0" w:line="240" w:lineRule="auto"/>
        <w:jc w:val="both"/>
        <w:rPr>
          <w:rFonts w:ascii="Garamond" w:hAnsi="Garamond" w:cs="Times New Roman"/>
          <w:sz w:val="24"/>
          <w:szCs w:val="24"/>
          <w:lang w:val="sq-AL"/>
        </w:rPr>
      </w:pPr>
    </w:p>
    <w:p w14:paraId="4A7AF42C" w14:textId="77777777" w:rsidR="009C749D" w:rsidRPr="001620BD" w:rsidRDefault="009C749D" w:rsidP="007B484B">
      <w:pPr>
        <w:widowControl w:val="0"/>
        <w:autoSpaceDE w:val="0"/>
        <w:autoSpaceDN w:val="0"/>
        <w:adjustRightInd w:val="0"/>
        <w:spacing w:after="0" w:line="240" w:lineRule="auto"/>
        <w:jc w:val="center"/>
        <w:rPr>
          <w:rFonts w:ascii="Garamond" w:hAnsi="Garamond" w:cs="Times New Roman"/>
          <w:bCs/>
          <w:sz w:val="24"/>
          <w:szCs w:val="24"/>
          <w:lang w:val="sq-AL"/>
        </w:rPr>
      </w:pPr>
      <w:r w:rsidRPr="001620BD">
        <w:rPr>
          <w:rFonts w:ascii="Garamond" w:hAnsi="Garamond" w:cs="Times New Roman"/>
          <w:bCs/>
          <w:sz w:val="24"/>
          <w:szCs w:val="24"/>
          <w:lang w:val="sq-AL"/>
        </w:rPr>
        <w:t>UDHËZON:</w:t>
      </w:r>
    </w:p>
    <w:p w14:paraId="69F60842" w14:textId="77777777" w:rsidR="009C749D" w:rsidRPr="001620BD" w:rsidRDefault="009C749D" w:rsidP="007B484B">
      <w:pPr>
        <w:widowControl w:val="0"/>
        <w:autoSpaceDE w:val="0"/>
        <w:autoSpaceDN w:val="0"/>
        <w:adjustRightInd w:val="0"/>
        <w:spacing w:after="0" w:line="240" w:lineRule="auto"/>
        <w:jc w:val="center"/>
        <w:rPr>
          <w:rFonts w:ascii="Garamond" w:hAnsi="Garamond" w:cs="Times New Roman"/>
          <w:b/>
          <w:bCs/>
          <w:sz w:val="24"/>
          <w:szCs w:val="24"/>
          <w:lang w:val="sq-AL"/>
        </w:rPr>
      </w:pPr>
    </w:p>
    <w:p w14:paraId="1EA7C8BC" w14:textId="50F8312A" w:rsidR="009C749D" w:rsidRPr="001620BD" w:rsidRDefault="009C749D" w:rsidP="007B484B">
      <w:pPr>
        <w:pStyle w:val="TEKSTIIIII"/>
        <w:rPr>
          <w:b/>
          <w:bCs/>
          <w:color w:val="auto"/>
        </w:rPr>
      </w:pPr>
      <w:r w:rsidRPr="001620BD">
        <w:rPr>
          <w:color w:val="auto"/>
        </w:rPr>
        <w:t>1.</w:t>
      </w:r>
      <w:r w:rsidR="007B484B" w:rsidRPr="001620BD">
        <w:rPr>
          <w:color w:val="auto"/>
        </w:rPr>
        <w:t xml:space="preserve"> </w:t>
      </w:r>
      <w:r w:rsidRPr="001620BD">
        <w:rPr>
          <w:color w:val="auto"/>
        </w:rPr>
        <w:t>Përcaktimin e masës së sanksioneve administrative të parashikuara në pikat 1, 2 dhe 3</w:t>
      </w:r>
      <w:r w:rsidR="005D7045" w:rsidRPr="001620BD">
        <w:rPr>
          <w:color w:val="auto"/>
        </w:rPr>
        <w:t>,</w:t>
      </w:r>
      <w:r w:rsidRPr="001620BD">
        <w:rPr>
          <w:color w:val="auto"/>
        </w:rPr>
        <w:t xml:space="preserve"> të nenit 94 të </w:t>
      </w:r>
      <w:r w:rsidR="007E1BEE" w:rsidRPr="001620BD">
        <w:rPr>
          <w:color w:val="auto"/>
        </w:rPr>
        <w:t>l</w:t>
      </w:r>
      <w:r w:rsidRPr="001620BD">
        <w:rPr>
          <w:color w:val="auto"/>
        </w:rPr>
        <w:t xml:space="preserve">igjit, të bazuar në një vlerësim specifik të kryer rast pas rasti sipas tekstit të </w:t>
      </w:r>
      <w:r w:rsidRPr="001620BD">
        <w:rPr>
          <w:iCs/>
          <w:color w:val="auto"/>
        </w:rPr>
        <w:t>“Metodologjisë për përllogaritjen e masës së sanksioneve administrative”,</w:t>
      </w:r>
      <w:r w:rsidRPr="001620BD">
        <w:rPr>
          <w:color w:val="auto"/>
        </w:rPr>
        <w:t xml:space="preserve"> bashkëlidhur këtij udhëzimi.</w:t>
      </w:r>
    </w:p>
    <w:p w14:paraId="25CC9855" w14:textId="6C07694F" w:rsidR="009C749D" w:rsidRPr="001620BD" w:rsidRDefault="009C749D" w:rsidP="007B484B">
      <w:pPr>
        <w:pStyle w:val="TEKSTIIIII"/>
        <w:rPr>
          <w:b/>
          <w:bCs/>
          <w:color w:val="auto"/>
        </w:rPr>
      </w:pPr>
      <w:r w:rsidRPr="001620BD">
        <w:rPr>
          <w:color w:val="auto"/>
        </w:rPr>
        <w:t>2.</w:t>
      </w:r>
      <w:r w:rsidR="007B484B" w:rsidRPr="001620BD">
        <w:rPr>
          <w:color w:val="auto"/>
        </w:rPr>
        <w:t xml:space="preserve"> </w:t>
      </w:r>
      <w:r w:rsidRPr="001620BD">
        <w:rPr>
          <w:color w:val="auto"/>
        </w:rPr>
        <w:t>Zbatimin e kësaj metodologjie, për të mundësuar një aplikim të drejtë, transparent dhe proporcional të përllogaritjes së vlerës së masës së sanksionit administrativ.</w:t>
      </w:r>
    </w:p>
    <w:p w14:paraId="34FCCC06" w14:textId="4136425C" w:rsidR="009C749D" w:rsidRPr="001620BD" w:rsidRDefault="009C749D" w:rsidP="007B484B">
      <w:pPr>
        <w:pStyle w:val="TEKSTIIIII"/>
        <w:rPr>
          <w:color w:val="auto"/>
        </w:rPr>
      </w:pPr>
      <w:r w:rsidRPr="001620BD">
        <w:rPr>
          <w:color w:val="auto"/>
        </w:rPr>
        <w:t>3.</w:t>
      </w:r>
      <w:r w:rsidR="007B484B" w:rsidRPr="001620BD">
        <w:rPr>
          <w:color w:val="auto"/>
        </w:rPr>
        <w:t xml:space="preserve"> </w:t>
      </w:r>
      <w:r w:rsidRPr="001620BD">
        <w:rPr>
          <w:color w:val="auto"/>
        </w:rPr>
        <w:t xml:space="preserve">Për zbatimin e këtij udhëzimi, ngarkohet Zyra e Komisionerit për të Drejtën e Informimit dhe Mbrojtjen e të Dhënave Personale. </w:t>
      </w:r>
    </w:p>
    <w:p w14:paraId="612BBF2B" w14:textId="02194985" w:rsidR="009C749D" w:rsidRPr="001620BD" w:rsidRDefault="009C749D" w:rsidP="007B484B">
      <w:pPr>
        <w:pStyle w:val="TEKSTIIIII"/>
        <w:rPr>
          <w:color w:val="auto"/>
        </w:rPr>
      </w:pPr>
      <w:r w:rsidRPr="001620BD">
        <w:rPr>
          <w:color w:val="auto"/>
        </w:rPr>
        <w:t>Ky udhëzim hyn në fuqi pas botimit në Fletoren Zyrtare.</w:t>
      </w:r>
    </w:p>
    <w:p w14:paraId="6651CF47" w14:textId="77777777" w:rsidR="009C749D" w:rsidRPr="001620BD" w:rsidRDefault="009C749D" w:rsidP="007B484B">
      <w:pPr>
        <w:pStyle w:val="TEKSTIIIII"/>
        <w:rPr>
          <w:b/>
          <w:bCs/>
          <w:color w:val="auto"/>
        </w:rPr>
      </w:pPr>
    </w:p>
    <w:p w14:paraId="257D9447" w14:textId="77777777" w:rsidR="007B484B" w:rsidRPr="001620BD" w:rsidRDefault="009C749D" w:rsidP="007B484B">
      <w:pPr>
        <w:widowControl w:val="0"/>
        <w:autoSpaceDE w:val="0"/>
        <w:autoSpaceDN w:val="0"/>
        <w:adjustRightInd w:val="0"/>
        <w:spacing w:after="0" w:line="240" w:lineRule="auto"/>
        <w:jc w:val="right"/>
        <w:rPr>
          <w:rFonts w:ascii="Garamond" w:hAnsi="Garamond" w:cs="Times New Roman"/>
          <w:bCs/>
          <w:sz w:val="24"/>
          <w:szCs w:val="24"/>
          <w:lang w:val="sq-AL"/>
        </w:rPr>
      </w:pPr>
      <w:r w:rsidRPr="001620BD">
        <w:rPr>
          <w:rFonts w:ascii="Garamond" w:hAnsi="Garamond" w:cs="Times New Roman"/>
          <w:bCs/>
          <w:sz w:val="24"/>
          <w:szCs w:val="24"/>
          <w:lang w:val="sq-AL"/>
        </w:rPr>
        <w:t xml:space="preserve">KOMISIONERI PËR TË DREJTËN E INFORMIMIT </w:t>
      </w:r>
    </w:p>
    <w:p w14:paraId="1E46D1A3" w14:textId="58613D68" w:rsidR="009C749D" w:rsidRPr="001620BD" w:rsidRDefault="009C749D" w:rsidP="007B484B">
      <w:pPr>
        <w:widowControl w:val="0"/>
        <w:autoSpaceDE w:val="0"/>
        <w:autoSpaceDN w:val="0"/>
        <w:adjustRightInd w:val="0"/>
        <w:spacing w:after="0" w:line="240" w:lineRule="auto"/>
        <w:jc w:val="right"/>
        <w:rPr>
          <w:rFonts w:ascii="Garamond" w:hAnsi="Garamond" w:cs="Times New Roman"/>
          <w:sz w:val="24"/>
          <w:szCs w:val="24"/>
          <w:lang w:val="sq-AL"/>
        </w:rPr>
      </w:pPr>
      <w:r w:rsidRPr="001620BD">
        <w:rPr>
          <w:rFonts w:ascii="Garamond" w:hAnsi="Garamond" w:cs="Times New Roman"/>
          <w:bCs/>
          <w:sz w:val="24"/>
          <w:szCs w:val="24"/>
          <w:lang w:val="sq-AL"/>
        </w:rPr>
        <w:t>DHE MBROJTJEN E TË DHËNAVE PERSONALE</w:t>
      </w:r>
      <w:r w:rsidRPr="001620BD">
        <w:rPr>
          <w:rFonts w:ascii="Garamond" w:hAnsi="Garamond" w:cs="Times New Roman"/>
          <w:sz w:val="24"/>
          <w:szCs w:val="24"/>
          <w:lang w:val="sq-AL"/>
        </w:rPr>
        <w:t xml:space="preserve"> </w:t>
      </w:r>
    </w:p>
    <w:p w14:paraId="49CAF6EC" w14:textId="02D6A3F6" w:rsidR="009C749D" w:rsidRPr="001620BD" w:rsidRDefault="009C749D" w:rsidP="007B484B">
      <w:pPr>
        <w:widowControl w:val="0"/>
        <w:autoSpaceDE w:val="0"/>
        <w:autoSpaceDN w:val="0"/>
        <w:adjustRightInd w:val="0"/>
        <w:spacing w:after="0" w:line="240" w:lineRule="auto"/>
        <w:jc w:val="right"/>
        <w:rPr>
          <w:rFonts w:ascii="Garamond" w:hAnsi="Garamond" w:cs="Times New Roman"/>
          <w:sz w:val="24"/>
          <w:szCs w:val="24"/>
          <w:lang w:val="sq-AL"/>
        </w:rPr>
      </w:pPr>
      <w:r w:rsidRPr="001620BD">
        <w:rPr>
          <w:rFonts w:ascii="Garamond" w:hAnsi="Garamond" w:cs="Times New Roman"/>
          <w:b/>
          <w:bCs/>
          <w:sz w:val="24"/>
          <w:szCs w:val="24"/>
          <w:lang w:val="sq-AL"/>
        </w:rPr>
        <w:t>Besnik Dervishi</w:t>
      </w:r>
    </w:p>
    <w:p w14:paraId="0A6FA3BD" w14:textId="77777777" w:rsidR="009C749D" w:rsidRPr="001620BD" w:rsidRDefault="009C749D" w:rsidP="007B484B">
      <w:pPr>
        <w:widowControl w:val="0"/>
        <w:autoSpaceDE w:val="0"/>
        <w:autoSpaceDN w:val="0"/>
        <w:adjustRightInd w:val="0"/>
        <w:spacing w:after="0" w:line="240" w:lineRule="auto"/>
        <w:rPr>
          <w:rFonts w:ascii="Garamond" w:hAnsi="Garamond" w:cs="Times New Roman"/>
          <w:b/>
          <w:bCs/>
          <w:sz w:val="24"/>
          <w:szCs w:val="24"/>
          <w:lang w:val="sq-AL"/>
        </w:rPr>
      </w:pPr>
    </w:p>
    <w:p w14:paraId="77E941A1" w14:textId="77777777" w:rsidR="009C749D" w:rsidRPr="001620BD" w:rsidRDefault="009C749D" w:rsidP="007B484B">
      <w:pPr>
        <w:widowControl w:val="0"/>
        <w:autoSpaceDE w:val="0"/>
        <w:autoSpaceDN w:val="0"/>
        <w:adjustRightInd w:val="0"/>
        <w:spacing w:after="0" w:line="240" w:lineRule="auto"/>
        <w:jc w:val="center"/>
        <w:rPr>
          <w:rFonts w:ascii="Garamond" w:hAnsi="Garamond" w:cs="Times New Roman"/>
          <w:b/>
          <w:bCs/>
          <w:sz w:val="24"/>
          <w:szCs w:val="24"/>
          <w:lang w:val="sq-AL"/>
        </w:rPr>
      </w:pPr>
      <w:r w:rsidRPr="001620BD">
        <w:rPr>
          <w:rFonts w:ascii="Garamond" w:hAnsi="Garamond" w:cs="Times New Roman"/>
          <w:b/>
          <w:bCs/>
          <w:sz w:val="24"/>
          <w:szCs w:val="24"/>
          <w:lang w:val="sq-AL"/>
        </w:rPr>
        <w:t>METODOLOGJI</w:t>
      </w:r>
    </w:p>
    <w:p w14:paraId="45779B31" w14:textId="5DAE24EF" w:rsidR="009C749D" w:rsidRPr="001620BD" w:rsidRDefault="009C749D" w:rsidP="007B484B">
      <w:pPr>
        <w:widowControl w:val="0"/>
        <w:autoSpaceDE w:val="0"/>
        <w:autoSpaceDN w:val="0"/>
        <w:adjustRightInd w:val="0"/>
        <w:spacing w:after="0" w:line="240" w:lineRule="auto"/>
        <w:jc w:val="center"/>
        <w:rPr>
          <w:rFonts w:ascii="Garamond" w:hAnsi="Garamond" w:cs="Times New Roman"/>
          <w:bCs/>
          <w:sz w:val="24"/>
          <w:szCs w:val="24"/>
          <w:lang w:val="sq-AL"/>
        </w:rPr>
      </w:pPr>
      <w:r w:rsidRPr="001620BD">
        <w:rPr>
          <w:rFonts w:ascii="Garamond" w:hAnsi="Garamond" w:cs="Times New Roman"/>
          <w:bCs/>
          <w:sz w:val="24"/>
          <w:szCs w:val="24"/>
          <w:lang w:val="sq-AL"/>
        </w:rPr>
        <w:t>PËR PËRLLOGARITJEN E MASËS SË SANKSIONEVE ADMINISTRATIVE</w:t>
      </w:r>
    </w:p>
    <w:p w14:paraId="18899134" w14:textId="77777777" w:rsidR="009C749D" w:rsidRPr="001620BD" w:rsidRDefault="009C749D" w:rsidP="007B484B">
      <w:pPr>
        <w:widowControl w:val="0"/>
        <w:autoSpaceDE w:val="0"/>
        <w:autoSpaceDN w:val="0"/>
        <w:adjustRightInd w:val="0"/>
        <w:spacing w:after="0" w:line="240" w:lineRule="auto"/>
        <w:jc w:val="center"/>
        <w:rPr>
          <w:rFonts w:ascii="Garamond" w:hAnsi="Garamond" w:cs="Calibri"/>
          <w:sz w:val="24"/>
          <w:szCs w:val="24"/>
          <w:lang w:val="sq-AL"/>
        </w:rPr>
      </w:pPr>
    </w:p>
    <w:p w14:paraId="7F841E02" w14:textId="72812C44" w:rsidR="007B484B" w:rsidRPr="001620BD" w:rsidRDefault="007E1BEE"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b/>
          <w:sz w:val="24"/>
          <w:szCs w:val="24"/>
          <w:lang w:val="sq-AL"/>
        </w:rPr>
        <w:t>Përmbajtja</w:t>
      </w:r>
    </w:p>
    <w:p w14:paraId="0A80393A" w14:textId="046BA70B" w:rsidR="007B484B" w:rsidRPr="001620BD" w:rsidRDefault="007E1BEE" w:rsidP="007B484B">
      <w:pPr>
        <w:widowControl w:val="0"/>
        <w:autoSpaceDE w:val="0"/>
        <w:autoSpaceDN w:val="0"/>
        <w:adjustRightInd w:val="0"/>
        <w:spacing w:after="0" w:line="240" w:lineRule="auto"/>
        <w:rPr>
          <w:rFonts w:ascii="Garamond" w:hAnsi="Garamond" w:cs="Calibri"/>
          <w:b/>
          <w:sz w:val="24"/>
          <w:szCs w:val="24"/>
          <w:lang w:val="sq-AL"/>
        </w:rPr>
      </w:pPr>
      <w:r w:rsidRPr="001620BD">
        <w:rPr>
          <w:rFonts w:ascii="Garamond" w:hAnsi="Garamond" w:cs="Calibri"/>
          <w:b/>
          <w:sz w:val="24"/>
          <w:szCs w:val="24"/>
          <w:lang w:val="sq-AL"/>
        </w:rPr>
        <w:t xml:space="preserve">Përmbledhje ekzekutive </w:t>
      </w:r>
    </w:p>
    <w:p w14:paraId="74201B57" w14:textId="57F8430E"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KAPITULLI 1</w:t>
      </w:r>
      <w:r w:rsidR="007E1BEE" w:rsidRPr="001620BD">
        <w:rPr>
          <w:rFonts w:ascii="Garamond" w:hAnsi="Garamond" w:cs="Calibri"/>
          <w:sz w:val="24"/>
          <w:szCs w:val="24"/>
          <w:lang w:val="sq-AL"/>
        </w:rPr>
        <w:t>.</w:t>
      </w:r>
      <w:r w:rsidRPr="001620BD">
        <w:rPr>
          <w:rFonts w:ascii="Garamond" w:hAnsi="Garamond" w:cs="Calibri"/>
          <w:sz w:val="24"/>
          <w:szCs w:val="24"/>
          <w:lang w:val="sq-AL"/>
        </w:rPr>
        <w:t xml:space="preserve"> HYRJE </w:t>
      </w:r>
    </w:p>
    <w:p w14:paraId="0EC5DE6E" w14:textId="1C792657"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1.1 Qëllimi </w:t>
      </w:r>
    </w:p>
    <w:p w14:paraId="57F2E552" w14:textId="2B410E53"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KAPITULLI 2</w:t>
      </w:r>
      <w:r w:rsidR="007E1BEE" w:rsidRPr="001620BD">
        <w:rPr>
          <w:rFonts w:ascii="Garamond" w:hAnsi="Garamond" w:cs="Calibri"/>
          <w:sz w:val="24"/>
          <w:szCs w:val="24"/>
          <w:lang w:val="sq-AL"/>
        </w:rPr>
        <w:t>.</w:t>
      </w:r>
      <w:r w:rsidRPr="001620BD">
        <w:rPr>
          <w:rFonts w:ascii="Garamond" w:hAnsi="Garamond" w:cs="Calibri"/>
          <w:sz w:val="24"/>
          <w:szCs w:val="24"/>
          <w:lang w:val="sq-AL"/>
        </w:rPr>
        <w:t xml:space="preserve"> METODOLOGJIA E PËRLLOGARITJES SË MASËS SË SANKSIONIT ADMINISTRATIV </w:t>
      </w:r>
    </w:p>
    <w:p w14:paraId="1C545FF2" w14:textId="2185FD43"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2.1 Informacion i përgjithshëm </w:t>
      </w:r>
    </w:p>
    <w:p w14:paraId="6BF182A1" w14:textId="548D652E"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2.2 Pasqyrë e sintetizuar e metodologjisë</w:t>
      </w:r>
    </w:p>
    <w:p w14:paraId="2B2D51C7" w14:textId="04F9D927"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2.3 Shkelje të sanksionueshme me masa fikse </w:t>
      </w:r>
    </w:p>
    <w:p w14:paraId="04A6F95E" w14:textId="35B3317C"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KAPITULLI 3</w:t>
      </w:r>
      <w:r w:rsidR="007E1BEE" w:rsidRPr="001620BD">
        <w:rPr>
          <w:rFonts w:ascii="Garamond" w:hAnsi="Garamond" w:cs="Calibri"/>
          <w:sz w:val="24"/>
          <w:szCs w:val="24"/>
          <w:lang w:val="sq-AL"/>
        </w:rPr>
        <w:t>.</w:t>
      </w:r>
      <w:r w:rsidRPr="001620BD">
        <w:rPr>
          <w:rFonts w:ascii="Garamond" w:hAnsi="Garamond" w:cs="Calibri"/>
          <w:sz w:val="24"/>
          <w:szCs w:val="24"/>
          <w:lang w:val="sq-AL"/>
        </w:rPr>
        <w:t xml:space="preserve"> SHKELJE KONKURRUESE DHE ZBATIMI I NENIT 93(3) TË LIGJIT </w:t>
      </w:r>
    </w:p>
    <w:p w14:paraId="14B935DC" w14:textId="24B23ACB"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3.1 Një sjellje e sanksionueshme </w:t>
      </w:r>
    </w:p>
    <w:p w14:paraId="205400EE" w14:textId="0D5FCF42"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3.1.1 Konkurrenca e shkeljeve </w:t>
      </w:r>
    </w:p>
    <w:p w14:paraId="51B4734A" w14:textId="784239F6"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Parimi i specialitetit </w:t>
      </w:r>
    </w:p>
    <w:p w14:paraId="12B7CD01" w14:textId="3A301C11"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Parimi i subsidiaritetit </w:t>
      </w:r>
    </w:p>
    <w:p w14:paraId="30406127" w14:textId="4E13B977"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Parimi i konsumit </w:t>
      </w:r>
    </w:p>
    <w:p w14:paraId="30DBDB14" w14:textId="7C2164E8"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3.1.2 Uniteti i veprimit </w:t>
      </w:r>
      <w:r w:rsidR="007E1BEE" w:rsidRPr="001620BD">
        <w:rPr>
          <w:rFonts w:ascii="Garamond" w:hAnsi="Garamond" w:cs="Calibri"/>
          <w:sz w:val="24"/>
          <w:szCs w:val="24"/>
          <w:lang w:val="sq-AL"/>
        </w:rPr>
        <w:t>–</w:t>
      </w:r>
      <w:r w:rsidRPr="001620BD">
        <w:rPr>
          <w:rFonts w:ascii="Garamond" w:hAnsi="Garamond" w:cs="Calibri"/>
          <w:sz w:val="24"/>
          <w:szCs w:val="24"/>
          <w:lang w:val="sq-AL"/>
        </w:rPr>
        <w:t xml:space="preserve"> </w:t>
      </w:r>
      <w:r w:rsidR="007E1BEE" w:rsidRPr="001620BD">
        <w:rPr>
          <w:rFonts w:ascii="Garamond" w:hAnsi="Garamond" w:cs="Calibri"/>
          <w:sz w:val="24"/>
          <w:szCs w:val="24"/>
          <w:lang w:val="sq-AL"/>
        </w:rPr>
        <w:t>n</w:t>
      </w:r>
      <w:r w:rsidRPr="001620BD">
        <w:rPr>
          <w:rFonts w:ascii="Garamond" w:hAnsi="Garamond" w:cs="Calibri"/>
          <w:sz w:val="24"/>
          <w:szCs w:val="24"/>
          <w:lang w:val="sq-AL"/>
        </w:rPr>
        <w:t>eni</w:t>
      </w:r>
      <w:r w:rsidR="007E1BEE" w:rsidRPr="001620BD">
        <w:rPr>
          <w:rFonts w:ascii="Garamond" w:hAnsi="Garamond" w:cs="Calibri"/>
          <w:sz w:val="24"/>
          <w:szCs w:val="24"/>
          <w:lang w:val="sq-AL"/>
        </w:rPr>
        <w:t xml:space="preserve"> </w:t>
      </w:r>
      <w:r w:rsidRPr="001620BD">
        <w:rPr>
          <w:rFonts w:ascii="Garamond" w:hAnsi="Garamond" w:cs="Calibri"/>
          <w:sz w:val="24"/>
          <w:szCs w:val="24"/>
          <w:lang w:val="sq-AL"/>
        </w:rPr>
        <w:t xml:space="preserve">93(3) i ligjit </w:t>
      </w:r>
    </w:p>
    <w:p w14:paraId="7D7053CC" w14:textId="4AFF05D5"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3.2 Shumësia e veprimeve të sanksionueshme </w:t>
      </w:r>
    </w:p>
    <w:p w14:paraId="594BA887" w14:textId="73ACEAA2"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KAPITULLI 4</w:t>
      </w:r>
      <w:r w:rsidR="007E1BEE" w:rsidRPr="001620BD">
        <w:rPr>
          <w:rFonts w:ascii="Garamond" w:hAnsi="Garamond" w:cs="Calibri"/>
          <w:sz w:val="24"/>
          <w:szCs w:val="24"/>
          <w:lang w:val="sq-AL"/>
        </w:rPr>
        <w:t>.</w:t>
      </w:r>
      <w:r w:rsidRPr="001620BD">
        <w:rPr>
          <w:rFonts w:ascii="Garamond" w:hAnsi="Garamond" w:cs="Calibri"/>
          <w:sz w:val="24"/>
          <w:szCs w:val="24"/>
          <w:lang w:val="sq-AL"/>
        </w:rPr>
        <w:t xml:space="preserve"> PIKËNISJA E PËRLLOGARITJES SË MASËS SË SANKSIONIT ADMINISTRATIV </w:t>
      </w:r>
    </w:p>
    <w:p w14:paraId="468D20C7" w14:textId="15F4D52E"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4.1 Kategorizimi i shkeljeve sipas nenit 94 të ligjit </w:t>
      </w:r>
    </w:p>
    <w:p w14:paraId="2F2F550D" w14:textId="4221E4EA"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lastRenderedPageBreak/>
        <w:t xml:space="preserve">4.2 Shkalla e rëndësisë së shkeljes sipas rrethanave në çdo rast individual </w:t>
      </w:r>
    </w:p>
    <w:p w14:paraId="45DE96A2" w14:textId="24197556"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4.2.1 Natyra, rëndësia dhe kohëzgjatja e shkeljes </w:t>
      </w:r>
    </w:p>
    <w:p w14:paraId="0745A690" w14:textId="319C56E9"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4.2.2 Karakteri i qëllimshëm (dashja) ose pakujdesia </w:t>
      </w:r>
    </w:p>
    <w:p w14:paraId="16139065" w14:textId="178AD1DE"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4.2.3 Kategoritë e të dhënave personale të prekura </w:t>
      </w:r>
    </w:p>
    <w:p w14:paraId="0797415F" w14:textId="33C61AF9"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4.2.4 Klasifikimi i rëndësisë së shkeljes dhe identifikimi i shumës së pikënisjes së përllogaritjes së sanksionit administrativ </w:t>
      </w:r>
    </w:p>
    <w:p w14:paraId="50B38259" w14:textId="44BEFC5D"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4.3 Xhiroja e </w:t>
      </w:r>
      <w:r w:rsidR="007E1BEE" w:rsidRPr="001620BD">
        <w:rPr>
          <w:rFonts w:ascii="Garamond" w:hAnsi="Garamond" w:cs="Calibri"/>
          <w:sz w:val="24"/>
          <w:szCs w:val="24"/>
          <w:lang w:val="sq-AL"/>
        </w:rPr>
        <w:t>n</w:t>
      </w:r>
      <w:r w:rsidRPr="001620BD">
        <w:rPr>
          <w:rFonts w:ascii="Garamond" w:hAnsi="Garamond" w:cs="Calibri"/>
          <w:sz w:val="24"/>
          <w:szCs w:val="24"/>
          <w:lang w:val="sq-AL"/>
        </w:rPr>
        <w:t xml:space="preserve">dërmarrjes si element për vendosjen e një sanksioni efektiv, proporcional dhe me karakter parandalues </w:t>
      </w:r>
    </w:p>
    <w:p w14:paraId="119C69F3" w14:textId="3C7AD93C"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KAPITULLI 5</w:t>
      </w:r>
      <w:r w:rsidR="007E1BEE" w:rsidRPr="001620BD">
        <w:rPr>
          <w:rFonts w:ascii="Garamond" w:hAnsi="Garamond" w:cs="Calibri"/>
          <w:sz w:val="24"/>
          <w:szCs w:val="24"/>
          <w:lang w:val="sq-AL"/>
        </w:rPr>
        <w:t>.</w:t>
      </w:r>
      <w:r w:rsidRPr="001620BD">
        <w:rPr>
          <w:rFonts w:ascii="Garamond" w:hAnsi="Garamond" w:cs="Calibri"/>
          <w:sz w:val="24"/>
          <w:szCs w:val="24"/>
          <w:lang w:val="sq-AL"/>
        </w:rPr>
        <w:t xml:space="preserve"> RRETHANAT RËNDUESE DHE LEHTËSUESE </w:t>
      </w:r>
    </w:p>
    <w:p w14:paraId="38994C0C" w14:textId="6E508ECA"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5.1 Identifikimi i faktorëve rëndues dhe lehtësues </w:t>
      </w:r>
    </w:p>
    <w:p w14:paraId="6C0727BF" w14:textId="6E965695"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5.2 Veprimet e kontrolluesit/përpunuesit në zbutjen e dëmit të pësuar nga subjektet e të dhënave </w:t>
      </w:r>
    </w:p>
    <w:p w14:paraId="698CBDD9" w14:textId="2CEC66DF"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5.3 Shkalla e përgjegjësisë së kontrolluesit/përpunuesit </w:t>
      </w:r>
    </w:p>
    <w:p w14:paraId="575C2A96" w14:textId="3E467AA8"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5.4 Shkeljet e mëparshme të kontrolluesit/përpunuesit </w:t>
      </w:r>
    </w:p>
    <w:p w14:paraId="05DAA6E5" w14:textId="0CFA3AD7"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5.4.1 Korniza kohore </w:t>
      </w:r>
    </w:p>
    <w:p w14:paraId="30414FF9" w14:textId="56C5C423"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5.4.2 Çështja </w:t>
      </w:r>
    </w:p>
    <w:p w14:paraId="54A5C073" w14:textId="035BC5EE"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5.4.3 Vlerësime të tjera </w:t>
      </w:r>
    </w:p>
    <w:p w14:paraId="75D4D012" w14:textId="062C5497"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5.5 Shkalla e bashkëpunimit me Zyrën e Komisionerit për korrigjimin e shkeljes dhe zbutjen e efekteve negative të saj </w:t>
      </w:r>
    </w:p>
    <w:p w14:paraId="003F29A5" w14:textId="747283F6"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5.6 Mënyra sesi shkelja i është bërë e ditur Zyrës së Komisionerit </w:t>
      </w:r>
    </w:p>
    <w:p w14:paraId="122D5006" w14:textId="17C7E122"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5.7 Përputhshmëria me detyrat e lëna më herët për të njëjtën çështje </w:t>
      </w:r>
    </w:p>
    <w:p w14:paraId="6F63A8AE" w14:textId="7611FC5E"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5.8 Respektimi i kodeve të miratuara të sjelljes dhe/ose mekanizmave të miratuar të </w:t>
      </w:r>
      <w:r w:rsidR="007E1BEE" w:rsidRPr="001620BD">
        <w:rPr>
          <w:rFonts w:ascii="Garamond" w:hAnsi="Garamond" w:cs="Calibri"/>
          <w:sz w:val="24"/>
          <w:szCs w:val="24"/>
          <w:lang w:val="sq-AL"/>
        </w:rPr>
        <w:t>c</w:t>
      </w:r>
      <w:r w:rsidRPr="001620BD">
        <w:rPr>
          <w:rFonts w:ascii="Garamond" w:hAnsi="Garamond" w:cs="Calibri"/>
          <w:sz w:val="24"/>
          <w:szCs w:val="24"/>
          <w:lang w:val="sq-AL"/>
        </w:rPr>
        <w:t xml:space="preserve">ertifikimit </w:t>
      </w:r>
    </w:p>
    <w:p w14:paraId="5D4B13C0" w14:textId="33C40706"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5.9 Rrethana të tjera rënduese dhe lehtësuese </w:t>
      </w:r>
    </w:p>
    <w:p w14:paraId="2441986D" w14:textId="281C8B3C"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KAPITULLI 6</w:t>
      </w:r>
      <w:r w:rsidR="007E1BEE" w:rsidRPr="001620BD">
        <w:rPr>
          <w:rFonts w:ascii="Garamond" w:hAnsi="Garamond" w:cs="Calibri"/>
          <w:sz w:val="24"/>
          <w:szCs w:val="24"/>
          <w:lang w:val="sq-AL"/>
        </w:rPr>
        <w:t>.</w:t>
      </w:r>
      <w:r w:rsidRPr="001620BD">
        <w:rPr>
          <w:rFonts w:ascii="Garamond" w:hAnsi="Garamond" w:cs="Calibri"/>
          <w:sz w:val="24"/>
          <w:szCs w:val="24"/>
          <w:lang w:val="sq-AL"/>
        </w:rPr>
        <w:t xml:space="preserve"> TAVANI LIGJOR DHE PËRGJEGJËSIA KORPORATIVE </w:t>
      </w:r>
    </w:p>
    <w:p w14:paraId="038141C0" w14:textId="11E120D7"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6.1 Përcaktimi i tavanit ligjor </w:t>
      </w:r>
    </w:p>
    <w:p w14:paraId="10C4266A" w14:textId="5153536C"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6.1.1 Tavanet ligjore statike </w:t>
      </w:r>
    </w:p>
    <w:p w14:paraId="500264CF" w14:textId="75D685AB"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6.1.2 Tavanet ligjore dinamike </w:t>
      </w:r>
    </w:p>
    <w:p w14:paraId="06E22ACD" w14:textId="473C5C52"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6.2 Përcaktimi i xhiros së ndërmarrjes dhe përgjegjësia korporative </w:t>
      </w:r>
    </w:p>
    <w:p w14:paraId="2D90A688" w14:textId="52E26CFA"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6.2.1 Përcaktimi i një ndërmarrjeje dhe përgjegjësia korporative </w:t>
      </w:r>
    </w:p>
    <w:p w14:paraId="215181C1" w14:textId="45404788"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6.2.2 Përcaktimi i xhiros </w:t>
      </w:r>
    </w:p>
    <w:p w14:paraId="4EEB947E" w14:textId="74001338"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KAPITULLI 7</w:t>
      </w:r>
      <w:r w:rsidR="007E1BEE" w:rsidRPr="001620BD">
        <w:rPr>
          <w:rFonts w:ascii="Garamond" w:hAnsi="Garamond" w:cs="Calibri"/>
          <w:sz w:val="24"/>
          <w:szCs w:val="24"/>
          <w:lang w:val="sq-AL"/>
        </w:rPr>
        <w:t>.</w:t>
      </w:r>
      <w:r w:rsidRPr="001620BD">
        <w:rPr>
          <w:rFonts w:ascii="Garamond" w:hAnsi="Garamond" w:cs="Calibri"/>
          <w:sz w:val="24"/>
          <w:szCs w:val="24"/>
          <w:lang w:val="sq-AL"/>
        </w:rPr>
        <w:t xml:space="preserve"> EFEKTIVITETI, PROPORCIONALITETI DHE KARAKTERI PARANDALUES </w:t>
      </w:r>
    </w:p>
    <w:p w14:paraId="3EAC7546" w14:textId="6AEC8D06"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7.1 Efektiviteti </w:t>
      </w:r>
    </w:p>
    <w:p w14:paraId="791BCD8D" w14:textId="4908F0F8"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7.2 Proporcionaliteti </w:t>
      </w:r>
    </w:p>
    <w:p w14:paraId="3AA9933C" w14:textId="68B1D8A0"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 xml:space="preserve">7.3 Karakteri parandalues </w:t>
      </w:r>
    </w:p>
    <w:p w14:paraId="168225C3" w14:textId="0568D98A"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r w:rsidRPr="001620BD">
        <w:rPr>
          <w:rFonts w:ascii="Garamond" w:hAnsi="Garamond" w:cs="Calibri"/>
          <w:sz w:val="24"/>
          <w:szCs w:val="24"/>
          <w:lang w:val="sq-AL"/>
        </w:rPr>
        <w:t>KAPITULLI 8</w:t>
      </w:r>
      <w:r w:rsidR="007E1BEE" w:rsidRPr="001620BD">
        <w:rPr>
          <w:rFonts w:ascii="Garamond" w:hAnsi="Garamond" w:cs="Calibri"/>
          <w:sz w:val="24"/>
          <w:szCs w:val="24"/>
          <w:lang w:val="sq-AL"/>
        </w:rPr>
        <w:t>.</w:t>
      </w:r>
      <w:r w:rsidRPr="001620BD">
        <w:rPr>
          <w:rFonts w:ascii="Garamond" w:hAnsi="Garamond" w:cs="Calibri"/>
          <w:sz w:val="24"/>
          <w:szCs w:val="24"/>
          <w:lang w:val="sq-AL"/>
        </w:rPr>
        <w:t xml:space="preserve"> FLEKSIBILITETI DHE VLERËSIMI I RREGULLT </w:t>
      </w:r>
    </w:p>
    <w:p w14:paraId="19EF6FD3" w14:textId="77777777" w:rsidR="007B484B" w:rsidRPr="001620BD" w:rsidRDefault="007B484B" w:rsidP="007B484B">
      <w:pPr>
        <w:widowControl w:val="0"/>
        <w:autoSpaceDE w:val="0"/>
        <w:autoSpaceDN w:val="0"/>
        <w:adjustRightInd w:val="0"/>
        <w:spacing w:after="0" w:line="240" w:lineRule="auto"/>
        <w:rPr>
          <w:rFonts w:ascii="Garamond" w:hAnsi="Garamond" w:cs="Calibri"/>
          <w:sz w:val="24"/>
          <w:szCs w:val="24"/>
          <w:lang w:val="sq-AL"/>
        </w:rPr>
      </w:pPr>
    </w:p>
    <w:p w14:paraId="706D0BC4" w14:textId="557AD1AD" w:rsidR="006B2EC8" w:rsidRPr="001620BD" w:rsidRDefault="007E1BEE" w:rsidP="006B2EC8">
      <w:pPr>
        <w:pStyle w:val="TEKSTIIIII"/>
        <w:rPr>
          <w:b/>
          <w:color w:val="auto"/>
        </w:rPr>
      </w:pPr>
      <w:bookmarkStart w:id="0" w:name="_Toc203658639"/>
      <w:r w:rsidRPr="001620BD">
        <w:rPr>
          <w:b/>
          <w:color w:val="auto"/>
        </w:rPr>
        <w:t>Përmbledhje ekzekutive</w:t>
      </w:r>
      <w:bookmarkEnd w:id="0"/>
    </w:p>
    <w:p w14:paraId="22696227" w14:textId="2C29F0FB"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Kjo metodologji për llogaritjen e sanksioneve administrative, e miratuar nga Zyra e Komisionerit për të Drejtën e Informimit dhe Mbrojtjen e të Dhënave Personale (në vijim, “</w:t>
      </w:r>
      <w:r w:rsidRPr="001620BD">
        <w:rPr>
          <w:rFonts w:ascii="Garamond" w:hAnsi="Garamond" w:cs="Times New Roman"/>
          <w:bCs/>
          <w:sz w:val="24"/>
          <w:szCs w:val="24"/>
          <w:lang w:val="sq-AL"/>
        </w:rPr>
        <w:t>Zyra e Komisionerit</w:t>
      </w:r>
      <w:r w:rsidRPr="001620BD">
        <w:rPr>
          <w:rFonts w:ascii="Garamond" w:hAnsi="Garamond" w:cs="Times New Roman"/>
          <w:sz w:val="24"/>
          <w:szCs w:val="24"/>
          <w:lang w:val="sq-AL"/>
        </w:rPr>
        <w:t>”), përbën një instrument detyrues për Drejtorinë e Përgjithshme të Mbrojtjes së të Dhënave Personale pranë Zyrës së Komisionerit, për vlerësimin e drejtë, transparent dhe korrekt të masës së sanksionit administrativ ndaj një kontrolluesi/përpunuesi të caktuar – shkelës të legjislacionit për mbrojtjen e të dhënave personale – siç përcaktohet në nenin 94, në harmoni me nenin 93, të ligjit nr. 124, datë 19.12.2024</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 xml:space="preserve"> “</w:t>
      </w:r>
      <w:r w:rsidRPr="001620BD">
        <w:rPr>
          <w:rFonts w:ascii="Garamond" w:hAnsi="Garamond" w:cs="Times New Roman"/>
          <w:i/>
          <w:iCs/>
          <w:sz w:val="24"/>
          <w:szCs w:val="24"/>
          <w:lang w:val="sq-AL"/>
        </w:rPr>
        <w:t>Për mbrojtjen e të dhënave personale</w:t>
      </w:r>
      <w:r w:rsidRPr="001620BD">
        <w:rPr>
          <w:rFonts w:ascii="Garamond" w:hAnsi="Garamond" w:cs="Times New Roman"/>
          <w:sz w:val="24"/>
          <w:szCs w:val="24"/>
          <w:lang w:val="sq-AL"/>
        </w:rPr>
        <w:t>” (në vijim “</w:t>
      </w:r>
      <w:r w:rsidR="00CC0D9C" w:rsidRPr="001620BD">
        <w:rPr>
          <w:rFonts w:ascii="Garamond" w:hAnsi="Garamond" w:cs="Times New Roman"/>
          <w:bCs/>
          <w:sz w:val="24"/>
          <w:szCs w:val="24"/>
          <w:lang w:val="sq-AL"/>
        </w:rPr>
        <w:t xml:space="preserve">ligji </w:t>
      </w:r>
      <w:r w:rsidRPr="001620BD">
        <w:rPr>
          <w:rFonts w:ascii="Garamond" w:hAnsi="Garamond" w:cs="Times New Roman"/>
          <w:bCs/>
          <w:sz w:val="24"/>
          <w:szCs w:val="24"/>
          <w:lang w:val="sq-AL"/>
        </w:rPr>
        <w:t xml:space="preserve">për </w:t>
      </w:r>
      <w:r w:rsidR="007E1BEE" w:rsidRPr="001620BD">
        <w:rPr>
          <w:rFonts w:ascii="Garamond" w:hAnsi="Garamond" w:cs="Times New Roman"/>
          <w:bCs/>
          <w:sz w:val="24"/>
          <w:szCs w:val="24"/>
          <w:lang w:val="sq-AL"/>
        </w:rPr>
        <w:t>mbrojtjen e të dhënave</w:t>
      </w:r>
      <w:r w:rsidRPr="001620BD">
        <w:rPr>
          <w:rFonts w:ascii="Garamond" w:hAnsi="Garamond" w:cs="Times New Roman"/>
          <w:sz w:val="24"/>
          <w:szCs w:val="24"/>
          <w:lang w:val="sq-AL"/>
        </w:rPr>
        <w:t xml:space="preserve">”). </w:t>
      </w:r>
    </w:p>
    <w:p w14:paraId="3FE74710" w14:textId="3027CDF6"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Për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 xml:space="preserve">i ardhur në ndihmë një vlerësimi brenda parametrave të parashikuar në </w:t>
      </w:r>
      <w:r w:rsidR="007E1BEE" w:rsidRPr="001620BD">
        <w:rPr>
          <w:rFonts w:ascii="Garamond" w:hAnsi="Garamond" w:cs="Times New Roman"/>
          <w:sz w:val="24"/>
          <w:szCs w:val="24"/>
          <w:lang w:val="sq-AL"/>
        </w:rPr>
        <w:t xml:space="preserve">ligjin </w:t>
      </w:r>
      <w:r w:rsidRPr="001620BD">
        <w:rPr>
          <w:rFonts w:ascii="Garamond" w:hAnsi="Garamond" w:cs="Times New Roman"/>
          <w:sz w:val="24"/>
          <w:szCs w:val="24"/>
          <w:lang w:val="sq-AL"/>
        </w:rPr>
        <w:t xml:space="preserve">për </w:t>
      </w:r>
      <w:r w:rsidR="007E1BEE" w:rsidRPr="001620BD">
        <w:rPr>
          <w:rFonts w:ascii="Garamond" w:hAnsi="Garamond" w:cs="Times New Roman"/>
          <w:sz w:val="24"/>
          <w:szCs w:val="24"/>
          <w:lang w:val="sq-AL"/>
        </w:rPr>
        <w:t xml:space="preserve">mbrojtjen </w:t>
      </w:r>
      <w:r w:rsidRPr="001620BD">
        <w:rPr>
          <w:rFonts w:ascii="Garamond" w:hAnsi="Garamond" w:cs="Times New Roman"/>
          <w:sz w:val="24"/>
          <w:szCs w:val="24"/>
          <w:lang w:val="sq-AL"/>
        </w:rPr>
        <w:t xml:space="preserve">e të </w:t>
      </w:r>
      <w:r w:rsidR="007E1BEE" w:rsidRPr="001620BD">
        <w:rPr>
          <w:rFonts w:ascii="Garamond" w:hAnsi="Garamond" w:cs="Times New Roman"/>
          <w:sz w:val="24"/>
          <w:szCs w:val="24"/>
          <w:lang w:val="sq-AL"/>
        </w:rPr>
        <w:t>dhënave</w:t>
      </w:r>
      <w:r w:rsidRPr="001620BD">
        <w:rPr>
          <w:rFonts w:ascii="Garamond" w:hAnsi="Garamond" w:cs="Times New Roman"/>
          <w:sz w:val="24"/>
          <w:szCs w:val="24"/>
          <w:lang w:val="sq-AL"/>
        </w:rPr>
        <w:t>, Zyra e Komisionerit ka miratuar këtë metodologji, e cila përbëhet nga pesë hapa, për llogaritjen e sanksioneve administrative për shkeljet e dispozitave të tij.</w:t>
      </w:r>
    </w:p>
    <w:p w14:paraId="269E02F0" w14:textId="716602F9"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bCs/>
          <w:i/>
          <w:sz w:val="24"/>
          <w:szCs w:val="24"/>
          <w:lang w:val="sq-AL"/>
        </w:rPr>
        <w:lastRenderedPageBreak/>
        <w:t>Së pari</w:t>
      </w:r>
      <w:r w:rsidRPr="001620BD">
        <w:rPr>
          <w:rFonts w:ascii="Garamond" w:hAnsi="Garamond" w:cs="Times New Roman"/>
          <w:i/>
          <w:sz w:val="24"/>
          <w:szCs w:val="24"/>
          <w:lang w:val="sq-AL"/>
        </w:rPr>
        <w:t>,</w:t>
      </w:r>
      <w:r w:rsidRPr="001620BD">
        <w:rPr>
          <w:rFonts w:ascii="Garamond" w:hAnsi="Garamond" w:cs="Times New Roman"/>
          <w:sz w:val="24"/>
          <w:szCs w:val="24"/>
          <w:lang w:val="sq-AL"/>
        </w:rPr>
        <w:t xml:space="preserve"> duhet të identifikohet veprimtaria përkatëse e përpunimit të të dhënave dhe vlerësohet zbatueshmëria e dispozitave të pikës 3 të nenit 93 (që trajtohet në </w:t>
      </w:r>
      <w:r w:rsidR="007E1BEE" w:rsidRPr="001620BD">
        <w:rPr>
          <w:rFonts w:ascii="Garamond" w:hAnsi="Garamond" w:cs="Times New Roman"/>
          <w:bCs/>
          <w:sz w:val="24"/>
          <w:szCs w:val="24"/>
          <w:lang w:val="sq-AL"/>
        </w:rPr>
        <w:t xml:space="preserve">kapitullin </w:t>
      </w:r>
      <w:r w:rsidRPr="001620BD">
        <w:rPr>
          <w:rFonts w:ascii="Garamond" w:hAnsi="Garamond" w:cs="Times New Roman"/>
          <w:bCs/>
          <w:sz w:val="24"/>
          <w:szCs w:val="24"/>
          <w:lang w:val="sq-AL"/>
        </w:rPr>
        <w:t>3, të kësaj metodologjie</w:t>
      </w:r>
      <w:r w:rsidRPr="001620BD">
        <w:rPr>
          <w:rFonts w:ascii="Garamond" w:hAnsi="Garamond" w:cs="Times New Roman"/>
          <w:sz w:val="24"/>
          <w:szCs w:val="24"/>
          <w:lang w:val="sq-AL"/>
        </w:rPr>
        <w:t xml:space="preserve">). </w:t>
      </w:r>
    </w:p>
    <w:p w14:paraId="16E367AA" w14:textId="310A180F"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bCs/>
          <w:i/>
          <w:sz w:val="24"/>
          <w:szCs w:val="24"/>
          <w:lang w:val="sq-AL"/>
        </w:rPr>
        <w:t>Së dyti</w:t>
      </w:r>
      <w:r w:rsidRPr="001620BD">
        <w:rPr>
          <w:rFonts w:ascii="Garamond" w:hAnsi="Garamond" w:cs="Times New Roman"/>
          <w:i/>
          <w:sz w:val="24"/>
          <w:szCs w:val="24"/>
          <w:lang w:val="sq-AL"/>
        </w:rPr>
        <w:t>,</w:t>
      </w:r>
      <w:r w:rsidRPr="001620BD">
        <w:rPr>
          <w:rFonts w:ascii="Garamond" w:hAnsi="Garamond" w:cs="Times New Roman"/>
          <w:sz w:val="24"/>
          <w:szCs w:val="24"/>
          <w:lang w:val="sq-AL"/>
        </w:rPr>
        <w:t xml:space="preserve"> duhet të identifikohet pikënisja e përllogaritjes së masës së sanksionit administrativ </w:t>
      </w:r>
      <w:r w:rsidRPr="001620BD">
        <w:rPr>
          <w:rFonts w:ascii="Garamond" w:hAnsi="Garamond" w:cs="Times New Roman"/>
          <w:bCs/>
          <w:sz w:val="24"/>
          <w:szCs w:val="24"/>
          <w:lang w:val="sq-AL"/>
        </w:rPr>
        <w:t>(</w:t>
      </w:r>
      <w:r w:rsidR="007E1BEE" w:rsidRPr="001620BD">
        <w:rPr>
          <w:rFonts w:ascii="Garamond" w:hAnsi="Garamond" w:cs="Times New Roman"/>
          <w:bCs/>
          <w:sz w:val="24"/>
          <w:szCs w:val="24"/>
          <w:lang w:val="sq-AL"/>
        </w:rPr>
        <w:t xml:space="preserve">kapitulli </w:t>
      </w:r>
      <w:r w:rsidRPr="001620BD">
        <w:rPr>
          <w:rFonts w:ascii="Garamond" w:hAnsi="Garamond" w:cs="Times New Roman"/>
          <w:bCs/>
          <w:sz w:val="24"/>
          <w:szCs w:val="24"/>
          <w:lang w:val="sq-AL"/>
        </w:rPr>
        <w:t>4</w:t>
      </w:r>
      <w:r w:rsidRPr="001620BD">
        <w:rPr>
          <w:rFonts w:ascii="Garamond" w:hAnsi="Garamond" w:cs="Times New Roman"/>
          <w:sz w:val="24"/>
          <w:szCs w:val="24"/>
          <w:lang w:val="sq-AL"/>
        </w:rPr>
        <w:t xml:space="preserve">). Kjo kryhet duke vlerësuar klasifikimin e shkeljes sipas dispozitave të </w:t>
      </w:r>
      <w:r w:rsidR="005F71A5" w:rsidRPr="001620BD">
        <w:rPr>
          <w:rFonts w:ascii="Garamond" w:hAnsi="Garamond" w:cs="Times New Roman"/>
          <w:sz w:val="24"/>
          <w:szCs w:val="24"/>
          <w:lang w:val="sq-AL"/>
        </w:rPr>
        <w:t xml:space="preserve">ligjit për mbrojtjen e të dhënave, duke vlerësuar </w:t>
      </w:r>
      <w:r w:rsidRPr="001620BD">
        <w:rPr>
          <w:rFonts w:ascii="Garamond" w:hAnsi="Garamond" w:cs="Times New Roman"/>
          <w:sz w:val="24"/>
          <w:szCs w:val="24"/>
          <w:lang w:val="sq-AL"/>
        </w:rPr>
        <w:t>shkallën e rëndësisë së shkeljes në dritën e rrethanave të rastit, si dhe duke vlerësuar xhiron e sipërmarrjes/shoqërisë tregtare/organizatës jofitimprurëse sipas formës ligjore të kontrolluesit/përpunuesit (në vijim “</w:t>
      </w:r>
      <w:r w:rsidRPr="001620BD">
        <w:rPr>
          <w:rFonts w:ascii="Garamond" w:hAnsi="Garamond" w:cs="Times New Roman"/>
          <w:bCs/>
          <w:sz w:val="24"/>
          <w:szCs w:val="24"/>
          <w:lang w:val="sq-AL"/>
        </w:rPr>
        <w:t>Kontrollues/</w:t>
      </w:r>
      <w:r w:rsidR="007E1BEE" w:rsidRPr="001620BD">
        <w:rPr>
          <w:rFonts w:ascii="Garamond" w:hAnsi="Garamond" w:cs="Times New Roman"/>
          <w:bCs/>
          <w:sz w:val="24"/>
          <w:szCs w:val="24"/>
          <w:lang w:val="sq-AL"/>
        </w:rPr>
        <w:t>përpunues</w:t>
      </w:r>
      <w:r w:rsidRPr="001620BD">
        <w:rPr>
          <w:rFonts w:ascii="Garamond" w:hAnsi="Garamond" w:cs="Times New Roman"/>
          <w:sz w:val="24"/>
          <w:szCs w:val="24"/>
          <w:lang w:val="sq-AL"/>
        </w:rPr>
        <w:t xml:space="preserve">”). </w:t>
      </w:r>
    </w:p>
    <w:p w14:paraId="2D0C9A42" w14:textId="2093FA0C"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bCs/>
          <w:i/>
          <w:sz w:val="24"/>
          <w:szCs w:val="24"/>
          <w:lang w:val="sq-AL"/>
        </w:rPr>
        <w:t>Së treti</w:t>
      </w:r>
      <w:r w:rsidRPr="001620BD">
        <w:rPr>
          <w:rFonts w:ascii="Garamond" w:hAnsi="Garamond" w:cs="Times New Roman"/>
          <w:i/>
          <w:sz w:val="24"/>
          <w:szCs w:val="24"/>
          <w:lang w:val="sq-AL"/>
        </w:rPr>
        <w:t>,</w:t>
      </w:r>
      <w:r w:rsidRPr="001620BD">
        <w:rPr>
          <w:rFonts w:ascii="Garamond" w:hAnsi="Garamond" w:cs="Times New Roman"/>
          <w:sz w:val="24"/>
          <w:szCs w:val="24"/>
          <w:lang w:val="sq-AL"/>
        </w:rPr>
        <w:t xml:space="preserve"> duhen vlerësuar rrethanat rënduese dhe/ose lehtësuese që lidhen me sjelljen e mëparshme ose aktuale të kontrolluesit/përpunuesit, me qëllim zmadhimin ose zvogëlimin e masës së sanksionit, në përputhje me rrethanat përkatëse (</w:t>
      </w:r>
      <w:r w:rsidR="007E1BEE" w:rsidRPr="001620BD">
        <w:rPr>
          <w:rFonts w:ascii="Garamond" w:hAnsi="Garamond" w:cs="Times New Roman"/>
          <w:bCs/>
          <w:sz w:val="24"/>
          <w:szCs w:val="24"/>
          <w:lang w:val="sq-AL"/>
        </w:rPr>
        <w:t xml:space="preserve">kapitulli </w:t>
      </w:r>
      <w:r w:rsidRPr="001620BD">
        <w:rPr>
          <w:rFonts w:ascii="Garamond" w:hAnsi="Garamond" w:cs="Times New Roman"/>
          <w:bCs/>
          <w:sz w:val="24"/>
          <w:szCs w:val="24"/>
          <w:lang w:val="sq-AL"/>
        </w:rPr>
        <w:t>5</w:t>
      </w:r>
      <w:r w:rsidRPr="001620BD">
        <w:rPr>
          <w:rFonts w:ascii="Garamond" w:hAnsi="Garamond" w:cs="Times New Roman"/>
          <w:sz w:val="24"/>
          <w:szCs w:val="24"/>
          <w:lang w:val="sq-AL"/>
        </w:rPr>
        <w:t xml:space="preserve">). </w:t>
      </w:r>
    </w:p>
    <w:p w14:paraId="5786A3FA" w14:textId="43A56BAC"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bCs/>
          <w:i/>
          <w:sz w:val="24"/>
          <w:szCs w:val="24"/>
          <w:lang w:val="sq-AL"/>
        </w:rPr>
        <w:t>Së katërti</w:t>
      </w:r>
      <w:r w:rsidRPr="001620BD">
        <w:rPr>
          <w:rFonts w:ascii="Garamond" w:hAnsi="Garamond" w:cs="Times New Roman"/>
          <w:i/>
          <w:sz w:val="24"/>
          <w:szCs w:val="24"/>
          <w:lang w:val="sq-AL"/>
        </w:rPr>
        <w:t>,</w:t>
      </w:r>
      <w:r w:rsidRPr="001620BD">
        <w:rPr>
          <w:rFonts w:ascii="Garamond" w:hAnsi="Garamond" w:cs="Times New Roman"/>
          <w:sz w:val="24"/>
          <w:szCs w:val="24"/>
          <w:lang w:val="sq-AL"/>
        </w:rPr>
        <w:t xml:space="preserve"> duhen identifikuar tavanet ligjore të masës së sanksionit përkatës, për shkelje të ndryshme. Zmadhimet e aplikuara në hapat e mëparshëm ose të ardhshëm nuk mund të kalojnë këtë tavan ligjor, siç përcaktohet, përkatësisht, në pikat 1, 2 dhe 3 të nenit 94 të </w:t>
      </w:r>
      <w:r w:rsidR="008743B5" w:rsidRPr="001620BD">
        <w:rPr>
          <w:rFonts w:ascii="Garamond" w:hAnsi="Garamond" w:cs="Times New Roman"/>
          <w:sz w:val="24"/>
          <w:szCs w:val="24"/>
          <w:lang w:val="sq-AL"/>
        </w:rPr>
        <w:t>ligjit për mbrojtjen e të dhënave (</w:t>
      </w:r>
      <w:r w:rsidR="008743B5" w:rsidRPr="001620BD">
        <w:rPr>
          <w:rFonts w:ascii="Garamond" w:hAnsi="Garamond" w:cs="Times New Roman"/>
          <w:bCs/>
          <w:sz w:val="24"/>
          <w:szCs w:val="24"/>
          <w:lang w:val="sq-AL"/>
        </w:rPr>
        <w:t>kapitulli 6</w:t>
      </w:r>
      <w:r w:rsidR="008743B5" w:rsidRPr="001620BD">
        <w:rPr>
          <w:rFonts w:ascii="Garamond" w:hAnsi="Garamond" w:cs="Times New Roman"/>
          <w:sz w:val="24"/>
          <w:szCs w:val="24"/>
          <w:lang w:val="sq-AL"/>
        </w:rPr>
        <w:t xml:space="preserve">). </w:t>
      </w:r>
    </w:p>
    <w:p w14:paraId="634D8B07" w14:textId="4B4082BE"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bCs/>
          <w:i/>
          <w:sz w:val="24"/>
          <w:szCs w:val="24"/>
          <w:lang w:val="sq-AL"/>
        </w:rPr>
        <w:t>Së pesti</w:t>
      </w:r>
      <w:r w:rsidRPr="001620BD">
        <w:rPr>
          <w:rFonts w:ascii="Garamond" w:hAnsi="Garamond" w:cs="Times New Roman"/>
          <w:i/>
          <w:sz w:val="24"/>
          <w:szCs w:val="24"/>
          <w:lang w:val="sq-AL"/>
        </w:rPr>
        <w:t>,</w:t>
      </w:r>
      <w:r w:rsidRPr="001620BD">
        <w:rPr>
          <w:rFonts w:ascii="Garamond" w:hAnsi="Garamond" w:cs="Times New Roman"/>
          <w:sz w:val="24"/>
          <w:szCs w:val="24"/>
          <w:lang w:val="sq-AL"/>
        </w:rPr>
        <w:t xml:space="preserve"> duhet të analizohet nëse masa përfundimtare e sanksionit të përllogaritur i plotëson kërkesat e efektivitetit, proporcionalitetit dhe karakterit parandalues të saj. Në çdo rast masa përkatëse e sanksionit mund të jetë subjekt rishikimi në përputhje me rrethanat e rastit (</w:t>
      </w:r>
      <w:r w:rsidR="007E1BEE" w:rsidRPr="001620BD">
        <w:rPr>
          <w:rFonts w:ascii="Garamond" w:hAnsi="Garamond" w:cs="Times New Roman"/>
          <w:bCs/>
          <w:sz w:val="24"/>
          <w:szCs w:val="24"/>
          <w:lang w:val="sq-AL"/>
        </w:rPr>
        <w:t xml:space="preserve">kapitulli </w:t>
      </w:r>
      <w:r w:rsidRPr="001620BD">
        <w:rPr>
          <w:rFonts w:ascii="Garamond" w:hAnsi="Garamond" w:cs="Times New Roman"/>
          <w:bCs/>
          <w:sz w:val="24"/>
          <w:szCs w:val="24"/>
          <w:lang w:val="sq-AL"/>
        </w:rPr>
        <w:t>7</w:t>
      </w:r>
      <w:r w:rsidRPr="001620BD">
        <w:rPr>
          <w:rFonts w:ascii="Garamond" w:hAnsi="Garamond" w:cs="Times New Roman"/>
          <w:sz w:val="24"/>
          <w:szCs w:val="24"/>
          <w:lang w:val="sq-AL"/>
        </w:rPr>
        <w:t xml:space="preserve">), pa tejkaluar në çdo rast tavanet ligjore për përcaktimin e masës së sanksionit. </w:t>
      </w:r>
    </w:p>
    <w:p w14:paraId="30DB8A3F" w14:textId="48AF24FF"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Përgjatë gjithë hapave të sipërpërmendur, duhet pasur parasysh se përllogaritja e masës së sanksionit nuk është thjesht një ushtrim matematikor. Përkundrazi, rrethanat e rastit specifik janë faktorët vendimtarë që përcaktojnë vlerën përfundimtare të sanksionit, që – në të gjitha rastet – mund të ndryshojë midis vlerës minimale dhe maksimale ligjore.</w:t>
      </w:r>
      <w:bookmarkStart w:id="1" w:name="_Toc203658640"/>
    </w:p>
    <w:p w14:paraId="715372A4" w14:textId="77777777" w:rsidR="006B2EC8" w:rsidRPr="001620BD" w:rsidRDefault="006B2EC8" w:rsidP="006B2EC8">
      <w:pPr>
        <w:spacing w:after="0" w:line="240" w:lineRule="auto"/>
        <w:ind w:firstLine="284"/>
        <w:jc w:val="both"/>
        <w:rPr>
          <w:rFonts w:ascii="Garamond" w:hAnsi="Garamond" w:cs="Times New Roman"/>
          <w:sz w:val="24"/>
          <w:szCs w:val="24"/>
          <w:lang w:val="sq-AL"/>
        </w:rPr>
      </w:pPr>
    </w:p>
    <w:p w14:paraId="51DC2EB7" w14:textId="29A9541E" w:rsidR="007E1BEE" w:rsidRPr="001620BD" w:rsidRDefault="006B2EC8" w:rsidP="007E1BEE">
      <w:pPr>
        <w:pStyle w:val="TEKSTIIIII"/>
        <w:jc w:val="center"/>
        <w:rPr>
          <w:color w:val="auto"/>
        </w:rPr>
      </w:pPr>
      <w:r w:rsidRPr="001620BD">
        <w:rPr>
          <w:color w:val="auto"/>
        </w:rPr>
        <w:t>KAPITULLI 1</w:t>
      </w:r>
    </w:p>
    <w:p w14:paraId="29620307" w14:textId="38D80247" w:rsidR="006B2EC8" w:rsidRPr="001620BD" w:rsidRDefault="006B2EC8" w:rsidP="007E1BEE">
      <w:pPr>
        <w:pStyle w:val="TEKSTIIIII"/>
        <w:jc w:val="center"/>
        <w:rPr>
          <w:color w:val="auto"/>
        </w:rPr>
      </w:pPr>
      <w:r w:rsidRPr="001620BD">
        <w:rPr>
          <w:color w:val="auto"/>
        </w:rPr>
        <w:t>HYRJE</w:t>
      </w:r>
      <w:bookmarkEnd w:id="1"/>
    </w:p>
    <w:p w14:paraId="19F19C15" w14:textId="77777777" w:rsidR="007E1BEE" w:rsidRPr="001620BD" w:rsidRDefault="007E1BEE" w:rsidP="006B2EC8">
      <w:pPr>
        <w:pStyle w:val="Heading2"/>
        <w:spacing w:before="0" w:beforeAutospacing="0" w:after="0" w:afterAutospacing="0"/>
        <w:ind w:firstLine="284"/>
        <w:rPr>
          <w:rFonts w:ascii="Garamond" w:hAnsi="Garamond"/>
          <w:szCs w:val="24"/>
        </w:rPr>
      </w:pPr>
      <w:bookmarkStart w:id="2" w:name="_Toc203658641"/>
    </w:p>
    <w:p w14:paraId="301AEA5A" w14:textId="6FFBCB0B" w:rsidR="006B2EC8" w:rsidRPr="001620BD" w:rsidRDefault="006B2EC8" w:rsidP="006B2EC8">
      <w:pPr>
        <w:pStyle w:val="Heading2"/>
        <w:spacing w:before="0" w:beforeAutospacing="0" w:after="0" w:afterAutospacing="0"/>
        <w:ind w:firstLine="284"/>
        <w:rPr>
          <w:rFonts w:ascii="Garamond" w:hAnsi="Garamond"/>
          <w:szCs w:val="24"/>
        </w:rPr>
      </w:pPr>
      <w:r w:rsidRPr="001620BD">
        <w:rPr>
          <w:rFonts w:ascii="Garamond" w:hAnsi="Garamond"/>
          <w:szCs w:val="24"/>
        </w:rPr>
        <w:t>1.1 Qëllimi</w:t>
      </w:r>
      <w:bookmarkEnd w:id="2"/>
    </w:p>
    <w:p w14:paraId="139D4B20" w14:textId="1F262D17"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 Qëllimi i kësaj metodologjie është krijimi i pikënisjeve të përllogaritjes së masës së sanksionit, si një orientim, mbi bazën e të cilave të mund të kryhet përllogaritja në praktikë e sanksioneve për çdo rast specifik. Megjithatë, bazuar edhe në jurisprudencën e BE-së, kjo metodologji nuk mund të jetë aq specifike sa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 mundësojë një kontrolluesi ose përpunuesi të caktuar të bëjë përllogaritje paraprake, të saktë, matematikore të sanksionit të pritshëm</w:t>
      </w:r>
      <w:r w:rsidRPr="001620BD">
        <w:rPr>
          <w:rStyle w:val="FootnoteReference"/>
          <w:rFonts w:ascii="Garamond" w:hAnsi="Garamond" w:cs="Times New Roman"/>
          <w:sz w:val="24"/>
          <w:szCs w:val="24"/>
          <w:lang w:val="sq-AL"/>
        </w:rPr>
        <w:footnoteReference w:id="2"/>
      </w:r>
      <w:r w:rsidRPr="001620BD">
        <w:rPr>
          <w:rFonts w:ascii="Garamond" w:hAnsi="Garamond" w:cs="Times New Roman"/>
          <w:sz w:val="24"/>
          <w:szCs w:val="24"/>
          <w:lang w:val="sq-AL"/>
        </w:rPr>
        <w:t>. Në të gjithë këtë dokument theksohet se masa përfundimtare e sanksionit varet nga të gjitha rrethanat e çështjes specifike, të cilat do të vlerësohen rast pas rasti. Prandaj, Zyra e Komisionerit synon një qasje harmonizuese sa i takon ekzistencës së një modeli të ndjekur për përllogaritjen e masës së sanksionit, në vend të harmonizimit të rezultatit të përllogaritjes.</w:t>
      </w:r>
    </w:p>
    <w:p w14:paraId="1457C898" w14:textId="0884F737" w:rsidR="006B2EC8" w:rsidRPr="001620BD" w:rsidRDefault="006B2EC8" w:rsidP="006B2EC8">
      <w:pPr>
        <w:tabs>
          <w:tab w:val="left" w:pos="450"/>
        </w:tabs>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2. Pavarësisht nga kjo metodologji, Zyra e Komisionerit mbeten subjekt i të gjitha detyrimeve procedurale sipas legjislacionit shqiptar në fuqi, për arsyetimin e vendimmarrjeve të dhëna, në kuadër ushtrimit të veprimtarisë së saj mbikëqyrëse/inspektuese. Në këtë aspekt, megjithëse Zyra e Komisionerit duhet të paraqesë argumente dhe arsye të mjaftueshme ligjore për konstatimet dhe gjetjet e saj, gjatë veprimtarisë mbikëqyrëse/inspektuese, në përputhje me dispozitat e legjislacionit shqiptar në fuqi, kjo metodologji nuk mund dhe nuk duhet të interpretohet si një model shterues, preciz dhe detyrues për Zyrën e Komisionerit për përllogaritjen e masës së sanksionit ose për të paracaktuar </w:t>
      </w:r>
      <w:r w:rsidRPr="001620BD">
        <w:rPr>
          <w:rFonts w:ascii="Garamond" w:hAnsi="Garamond" w:cs="Times New Roman"/>
          <w:sz w:val="24"/>
          <w:szCs w:val="24"/>
          <w:lang w:val="sq-AL"/>
        </w:rPr>
        <w:lastRenderedPageBreak/>
        <w:t>ndikimin konkret të çdo rrethane rënduese ose lehtësuese</w:t>
      </w:r>
      <w:r w:rsidRPr="001620BD">
        <w:rPr>
          <w:rStyle w:val="FootnoteReference"/>
          <w:rFonts w:ascii="Garamond" w:hAnsi="Garamond" w:cs="Times New Roman"/>
          <w:sz w:val="24"/>
          <w:szCs w:val="24"/>
          <w:lang w:val="sq-AL"/>
        </w:rPr>
        <w:footnoteReference w:id="3"/>
      </w:r>
      <w:r w:rsidRPr="001620BD">
        <w:rPr>
          <w:rFonts w:ascii="Garamond" w:hAnsi="Garamond" w:cs="Times New Roman"/>
          <w:sz w:val="24"/>
          <w:szCs w:val="24"/>
          <w:lang w:val="sq-AL"/>
        </w:rPr>
        <w:t xml:space="preserve"> të rastit. Më tej, thjeshtë referenca në këtë metodologji nuk mund të zëvendësojë arsyetimin që duhet dhënë në një çështje specifike, në përputhje me legjislacionin procedural dhe material në fuqi.</w:t>
      </w:r>
    </w:p>
    <w:p w14:paraId="06B72B04" w14:textId="723DAD5B"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3. Kjo metodologji do të jetë objekt rishikimi i vazhdueshëm, bazuar në praktikën e zbatimit të Rregullores së BE-së në vendet e BE-së, si dhe bazuar në praktikën administrative të Zyrës së Komisionerit.</w:t>
      </w:r>
    </w:p>
    <w:p w14:paraId="1CB759EC" w14:textId="77777777" w:rsidR="007E1BEE" w:rsidRPr="001620BD" w:rsidRDefault="007E1BEE" w:rsidP="006B2EC8">
      <w:pPr>
        <w:pStyle w:val="TEKSTIIIII"/>
        <w:rPr>
          <w:b/>
          <w:color w:val="auto"/>
        </w:rPr>
      </w:pPr>
      <w:bookmarkStart w:id="3" w:name="_Toc203658642"/>
    </w:p>
    <w:p w14:paraId="50AFB51B" w14:textId="7FC3B149" w:rsidR="007E1BEE" w:rsidRPr="001620BD" w:rsidRDefault="006B2EC8" w:rsidP="007E1BEE">
      <w:pPr>
        <w:pStyle w:val="TEKSTIIIII"/>
        <w:jc w:val="center"/>
        <w:rPr>
          <w:color w:val="auto"/>
        </w:rPr>
      </w:pPr>
      <w:r w:rsidRPr="001620BD">
        <w:rPr>
          <w:color w:val="auto"/>
        </w:rPr>
        <w:t>KAPITULLI 2</w:t>
      </w:r>
    </w:p>
    <w:p w14:paraId="7D921E7E" w14:textId="2908C664" w:rsidR="006B2EC8" w:rsidRPr="001620BD" w:rsidRDefault="006B2EC8" w:rsidP="007E1BEE">
      <w:pPr>
        <w:pStyle w:val="TEKSTIIIII"/>
        <w:rPr>
          <w:color w:val="auto"/>
        </w:rPr>
      </w:pPr>
      <w:r w:rsidRPr="001620BD">
        <w:rPr>
          <w:color w:val="auto"/>
        </w:rPr>
        <w:t>METODOLOGJIA E PËRLLOGARITJES SË MASËS SË SANKSIONIT ADMINISTRATIV</w:t>
      </w:r>
      <w:bookmarkEnd w:id="3"/>
    </w:p>
    <w:p w14:paraId="60432042" w14:textId="77777777" w:rsidR="007E1BEE" w:rsidRPr="001620BD" w:rsidRDefault="007E1BEE" w:rsidP="006B2EC8">
      <w:pPr>
        <w:pStyle w:val="Heading2"/>
        <w:spacing w:before="0" w:beforeAutospacing="0" w:after="0" w:afterAutospacing="0"/>
        <w:ind w:firstLine="284"/>
        <w:rPr>
          <w:rFonts w:ascii="Garamond" w:hAnsi="Garamond"/>
          <w:szCs w:val="24"/>
        </w:rPr>
      </w:pPr>
      <w:bookmarkStart w:id="4" w:name="_Toc203658643"/>
    </w:p>
    <w:p w14:paraId="69A8BF95" w14:textId="714ADE68" w:rsidR="006B2EC8" w:rsidRPr="001620BD" w:rsidRDefault="006B2EC8" w:rsidP="006B2EC8">
      <w:pPr>
        <w:pStyle w:val="Heading2"/>
        <w:spacing w:before="0" w:beforeAutospacing="0" w:after="0" w:afterAutospacing="0"/>
        <w:ind w:firstLine="284"/>
        <w:rPr>
          <w:rFonts w:ascii="Garamond" w:hAnsi="Garamond"/>
          <w:szCs w:val="24"/>
        </w:rPr>
      </w:pPr>
      <w:r w:rsidRPr="001620BD">
        <w:rPr>
          <w:rFonts w:ascii="Garamond" w:hAnsi="Garamond"/>
          <w:szCs w:val="24"/>
        </w:rPr>
        <w:t>2.1 Informacion i përgjithshëm</w:t>
      </w:r>
      <w:bookmarkEnd w:id="4"/>
      <w:r w:rsidRPr="001620BD">
        <w:rPr>
          <w:rFonts w:ascii="Garamond" w:hAnsi="Garamond"/>
          <w:szCs w:val="24"/>
        </w:rPr>
        <w:t xml:space="preserve"> </w:t>
      </w:r>
    </w:p>
    <w:p w14:paraId="09CAA20E" w14:textId="38555B69"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4. Përllogaritja e masës së sanksionit administrativ është në diskrecionin e Zyrës së Komisionerit si autoriteti mbikëqyrës i ngarkuar me ligj për këtë qëllim. Dispozitat dhe fryma e përgjithshme e </w:t>
      </w:r>
      <w:r w:rsidR="0008704A" w:rsidRPr="001620BD">
        <w:rPr>
          <w:rFonts w:ascii="Garamond" w:hAnsi="Garamond" w:cs="Times New Roman"/>
          <w:sz w:val="24"/>
          <w:szCs w:val="24"/>
          <w:lang w:val="sq-AL"/>
        </w:rPr>
        <w:t xml:space="preserve">ligjit për mbrojtjen e të dhënave, kërkojnë </w:t>
      </w:r>
      <w:r w:rsidRPr="001620BD">
        <w:rPr>
          <w:rFonts w:ascii="Garamond" w:hAnsi="Garamond" w:cs="Times New Roman"/>
          <w:sz w:val="24"/>
          <w:szCs w:val="24"/>
          <w:lang w:val="sq-AL"/>
        </w:rPr>
        <w:t>që shuma e sanksionit në çdo rast individual të jetë efektive, proporcionale dhe me karakter parandalues (neni 93(1) i ligjit). Për më tepër, gjatë përcaktimit të masës së sanksionit, duhet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 xml:space="preserve">i kushtohet vëmendje listës së rrethanave që i referohen veçorive të shkeljes (shkallës së rëndësisë së saj) ose sjelljes së shkelësit (neni 93(2) i ligjit). Prandaj, përcaktimi sasior i masës së sanksionit bazohet në një vlerësim specifik të kryer në çdo rast, duke marrë parasysh parametrat e përfshirë në dispozitat e </w:t>
      </w:r>
      <w:r w:rsidR="0008704A" w:rsidRPr="001620BD">
        <w:rPr>
          <w:rFonts w:ascii="Garamond" w:hAnsi="Garamond" w:cs="Times New Roman"/>
          <w:sz w:val="24"/>
          <w:szCs w:val="24"/>
          <w:lang w:val="sq-AL"/>
        </w:rPr>
        <w:t>ligjit për mbrojtjen e të dhënave</w:t>
      </w:r>
      <w:r w:rsidRPr="001620BD">
        <w:rPr>
          <w:rFonts w:ascii="Garamond" w:hAnsi="Garamond" w:cs="Times New Roman"/>
          <w:sz w:val="24"/>
          <w:szCs w:val="24"/>
          <w:lang w:val="sq-AL"/>
        </w:rPr>
        <w:t>.</w:t>
      </w:r>
    </w:p>
    <w:p w14:paraId="3DB7AE48" w14:textId="31403A1E"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5. Për sjellje që shkelin rregullat e mbrojtjes së të dhënave, në </w:t>
      </w:r>
      <w:r w:rsidR="0008704A" w:rsidRPr="001620BD">
        <w:rPr>
          <w:rFonts w:ascii="Garamond" w:hAnsi="Garamond" w:cs="Times New Roman"/>
          <w:sz w:val="24"/>
          <w:szCs w:val="24"/>
          <w:lang w:val="sq-AL"/>
        </w:rPr>
        <w:t>dispozitat e ligjit për mbrojtjen e të dhënave nuk parashikohet një masë</w:t>
      </w:r>
      <w:r w:rsidRPr="001620BD">
        <w:rPr>
          <w:rFonts w:ascii="Garamond" w:hAnsi="Garamond" w:cs="Times New Roman"/>
          <w:sz w:val="24"/>
          <w:szCs w:val="24"/>
          <w:lang w:val="sq-AL"/>
        </w:rPr>
        <w:t xml:space="preserve"> minimale sanksioni. Përkundrazi, në to parashikohen vetëm tavanet maksimale, sipas nenit 94 të ligjit, në të cilin grupohen së bashku disa lloje të ndryshme sjelljesh. Një sanksion mund të përllogaritet, në mënyrë përfundimtare, vetëm duke vlerësuar dhe peshuar të gjithë element</w:t>
      </w:r>
      <w:r w:rsidR="007B7326" w:rsidRPr="001620BD">
        <w:rPr>
          <w:rFonts w:ascii="Garamond" w:hAnsi="Garamond" w:cs="Times New Roman"/>
          <w:sz w:val="24"/>
          <w:szCs w:val="24"/>
          <w:lang w:val="sq-AL"/>
        </w:rPr>
        <w:t>e</w:t>
      </w:r>
      <w:r w:rsidRPr="001620BD">
        <w:rPr>
          <w:rFonts w:ascii="Garamond" w:hAnsi="Garamond" w:cs="Times New Roman"/>
          <w:sz w:val="24"/>
          <w:szCs w:val="24"/>
          <w:lang w:val="sq-AL"/>
        </w:rPr>
        <w:t>t e identifikuar</w:t>
      </w:r>
      <w:r w:rsidR="007B7326" w:rsidRPr="001620BD">
        <w:rPr>
          <w:rFonts w:ascii="Garamond" w:hAnsi="Garamond" w:cs="Times New Roman"/>
          <w:sz w:val="24"/>
          <w:szCs w:val="24"/>
          <w:lang w:val="sq-AL"/>
        </w:rPr>
        <w:t>a</w:t>
      </w:r>
      <w:r w:rsidRPr="001620BD">
        <w:rPr>
          <w:rFonts w:ascii="Garamond" w:hAnsi="Garamond" w:cs="Times New Roman"/>
          <w:sz w:val="24"/>
          <w:szCs w:val="24"/>
          <w:lang w:val="sq-AL"/>
        </w:rPr>
        <w:t xml:space="preserve"> shprehimisht në pikën 2, të nenit 93 të ligjit, të cilat lidhen me çështjen përkatëse, si dhe çdo element tjetër përkatës, pavarësisht nëse përmendet ose jo shprehimisht në dispozitat në fjalë (pasi germa “gj” e pikës 2 të nenit 93 të ligjit kërkon që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 xml:space="preserve">i kushtohet vëmendje e duhur çdo faktori tjetër të zbatueshëm). Së fundi, masa përfundimtare e sanksionit që rezulton nga ky vlerësim duhet të jetë efektive, proporcionale dhe me karakter parandalues, për secilin rast specifik (pika 1 e nenit 93 të ligjit). Çdo sanksion i vendosur duhet të marrë në konsideratë të gjitha kushtet e parashikuara në këtë dispozitë, por pa tejkaluar në të njëjtën kohë tavanin ligjor të masës së sanksionit, të parashikuar në nenin 94, të </w:t>
      </w:r>
      <w:r w:rsidR="007E1BEE" w:rsidRPr="001620BD">
        <w:rPr>
          <w:rFonts w:ascii="Garamond" w:hAnsi="Garamond" w:cs="Times New Roman"/>
          <w:sz w:val="24"/>
          <w:szCs w:val="24"/>
          <w:lang w:val="sq-AL"/>
        </w:rPr>
        <w:t>ligjit për mbrojtjen e të dhënave</w:t>
      </w:r>
      <w:r w:rsidRPr="001620BD">
        <w:rPr>
          <w:rFonts w:ascii="Garamond" w:hAnsi="Garamond" w:cs="Times New Roman"/>
          <w:sz w:val="24"/>
          <w:szCs w:val="24"/>
          <w:lang w:val="sq-AL"/>
        </w:rPr>
        <w:t>.</w:t>
      </w:r>
    </w:p>
    <w:p w14:paraId="4AA5C6AA" w14:textId="3EABD484" w:rsidR="006B2EC8" w:rsidRPr="001620BD" w:rsidRDefault="006B2EC8" w:rsidP="006B2EC8">
      <w:pPr>
        <w:pStyle w:val="Heading2"/>
        <w:spacing w:before="0" w:beforeAutospacing="0" w:after="0" w:afterAutospacing="0"/>
        <w:ind w:firstLine="284"/>
        <w:rPr>
          <w:rFonts w:ascii="Garamond" w:hAnsi="Garamond"/>
          <w:szCs w:val="24"/>
        </w:rPr>
      </w:pPr>
      <w:bookmarkStart w:id="5" w:name="_Toc203658644"/>
      <w:r w:rsidRPr="001620BD">
        <w:rPr>
          <w:rFonts w:ascii="Garamond" w:hAnsi="Garamond"/>
          <w:szCs w:val="24"/>
        </w:rPr>
        <w:t>2.2 Pasqyrë e sintetizuar e metodologjisë</w:t>
      </w:r>
      <w:bookmarkEnd w:id="5"/>
    </w:p>
    <w:p w14:paraId="54C33EAC" w14:textId="6104B17B"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6. Duke marrë parasysh këta parametra, Zyra e Komisionerit ka hartuar këtë metodologji, për përllogaritjen e masave të sanksioneve administrative, për shkeljet e </w:t>
      </w:r>
      <w:r w:rsidR="007E1BEE" w:rsidRPr="001620BD">
        <w:rPr>
          <w:rFonts w:ascii="Garamond" w:hAnsi="Garamond" w:cs="Times New Roman"/>
          <w:sz w:val="24"/>
          <w:szCs w:val="24"/>
          <w:lang w:val="sq-AL"/>
        </w:rPr>
        <w:t>ligjit për mbrojtjen e të dhënave</w:t>
      </w:r>
      <w:r w:rsidRPr="001620BD">
        <w:rPr>
          <w:rFonts w:ascii="Garamond" w:hAnsi="Garamond" w:cs="Times New Roman"/>
          <w:sz w:val="24"/>
          <w:szCs w:val="24"/>
          <w:lang w:val="sq-AL"/>
        </w:rPr>
        <w:t>.</w:t>
      </w:r>
    </w:p>
    <w:tbl>
      <w:tblPr>
        <w:tblStyle w:val="TableGrid"/>
        <w:tblW w:w="5000" w:type="pct"/>
        <w:jc w:val="center"/>
        <w:tblLook w:val="04A0" w:firstRow="1" w:lastRow="0" w:firstColumn="1" w:lastColumn="0" w:noHBand="0" w:noVBand="1"/>
      </w:tblPr>
      <w:tblGrid>
        <w:gridCol w:w="9350"/>
      </w:tblGrid>
      <w:tr w:rsidR="001620BD" w:rsidRPr="001620BD" w14:paraId="7FB302A4" w14:textId="77777777" w:rsidTr="00FA1E34">
        <w:trPr>
          <w:jc w:val="center"/>
        </w:trPr>
        <w:tc>
          <w:tcPr>
            <w:tcW w:w="5000" w:type="pct"/>
          </w:tcPr>
          <w:p w14:paraId="2BFDE145" w14:textId="77777777" w:rsidR="006B2EC8" w:rsidRPr="001620BD" w:rsidRDefault="006B2EC8" w:rsidP="007E1BEE">
            <w:pPr>
              <w:ind w:firstLine="284"/>
              <w:jc w:val="both"/>
              <w:rPr>
                <w:rFonts w:ascii="Garamond" w:hAnsi="Garamond" w:cs="Times New Roman"/>
                <w:b/>
                <w:bCs/>
                <w:sz w:val="24"/>
                <w:szCs w:val="24"/>
                <w:lang w:val="sq-AL"/>
              </w:rPr>
            </w:pPr>
            <w:r w:rsidRPr="001620BD">
              <w:rPr>
                <w:rFonts w:ascii="Garamond" w:hAnsi="Garamond" w:cs="Times New Roman"/>
                <w:b/>
                <w:bCs/>
                <w:sz w:val="24"/>
                <w:szCs w:val="24"/>
                <w:lang w:val="sq-AL"/>
              </w:rPr>
              <w:t>Hapi 1:</w:t>
            </w:r>
          </w:p>
          <w:p w14:paraId="58847A29" w14:textId="6488CC23" w:rsidR="006B2EC8" w:rsidRPr="001620BD" w:rsidRDefault="006B2EC8" w:rsidP="007E1BEE">
            <w:pPr>
              <w:ind w:firstLine="284"/>
              <w:jc w:val="both"/>
              <w:rPr>
                <w:rFonts w:ascii="Garamond" w:hAnsi="Garamond" w:cs="Times New Roman"/>
                <w:bCs/>
                <w:sz w:val="24"/>
                <w:szCs w:val="24"/>
                <w:lang w:val="sq-AL"/>
              </w:rPr>
            </w:pPr>
            <w:r w:rsidRPr="001620BD">
              <w:rPr>
                <w:rFonts w:ascii="Garamond" w:hAnsi="Garamond" w:cs="Times New Roman"/>
                <w:sz w:val="24"/>
                <w:szCs w:val="24"/>
                <w:lang w:val="sq-AL"/>
              </w:rPr>
              <w:t xml:space="preserve">Identifikimi i proceseve/veprimtarisë së përpunimit, sipas rastit konkret dhe vlerësimi i zbatimit të pikës 3 të nenit 93, të </w:t>
            </w:r>
            <w:r w:rsidR="007E1BEE" w:rsidRPr="001620BD">
              <w:rPr>
                <w:rFonts w:ascii="Garamond" w:hAnsi="Garamond" w:cs="Times New Roman"/>
                <w:sz w:val="24"/>
                <w:szCs w:val="24"/>
                <w:lang w:val="sq-AL"/>
              </w:rPr>
              <w:t xml:space="preserve">ligjit për mbrojtjen e të dhënave </w:t>
            </w:r>
            <w:r w:rsidRPr="001620BD">
              <w:rPr>
                <w:rFonts w:ascii="Garamond" w:hAnsi="Garamond" w:cs="Times New Roman"/>
                <w:sz w:val="24"/>
                <w:szCs w:val="24"/>
                <w:lang w:val="sq-AL"/>
              </w:rPr>
              <w:t>(</w:t>
            </w:r>
            <w:r w:rsidR="007E1BEE" w:rsidRPr="001620BD">
              <w:rPr>
                <w:rFonts w:ascii="Garamond" w:hAnsi="Garamond" w:cs="Times New Roman"/>
                <w:bCs/>
                <w:sz w:val="24"/>
                <w:szCs w:val="24"/>
                <w:lang w:val="sq-AL"/>
              </w:rPr>
              <w:t>k</w:t>
            </w:r>
            <w:r w:rsidRPr="001620BD">
              <w:rPr>
                <w:rFonts w:ascii="Garamond" w:hAnsi="Garamond" w:cs="Times New Roman"/>
                <w:bCs/>
                <w:sz w:val="24"/>
                <w:szCs w:val="24"/>
                <w:lang w:val="sq-AL"/>
              </w:rPr>
              <w:t>apitulli 3</w:t>
            </w:r>
            <w:r w:rsidRPr="001620BD">
              <w:rPr>
                <w:rFonts w:ascii="Garamond" w:hAnsi="Garamond" w:cs="Times New Roman"/>
                <w:sz w:val="24"/>
                <w:szCs w:val="24"/>
                <w:lang w:val="sq-AL"/>
              </w:rPr>
              <w:t>).</w:t>
            </w:r>
          </w:p>
          <w:p w14:paraId="6D4F6DF4" w14:textId="77777777" w:rsidR="006B2EC8" w:rsidRPr="001620BD" w:rsidRDefault="006B2EC8" w:rsidP="007E1BEE">
            <w:pPr>
              <w:ind w:firstLine="284"/>
              <w:jc w:val="both"/>
              <w:rPr>
                <w:rFonts w:ascii="Garamond" w:hAnsi="Garamond" w:cs="Times New Roman"/>
                <w:b/>
                <w:bCs/>
                <w:sz w:val="24"/>
                <w:szCs w:val="24"/>
                <w:lang w:val="sq-AL"/>
              </w:rPr>
            </w:pPr>
            <w:r w:rsidRPr="001620BD">
              <w:rPr>
                <w:rFonts w:ascii="Garamond" w:hAnsi="Garamond" w:cs="Times New Roman"/>
                <w:b/>
                <w:bCs/>
                <w:sz w:val="24"/>
                <w:szCs w:val="24"/>
                <w:lang w:val="sq-AL"/>
              </w:rPr>
              <w:t>Hapi 2:</w:t>
            </w:r>
          </w:p>
          <w:p w14:paraId="1F3F0DD8" w14:textId="64B793FD" w:rsidR="006B2EC8" w:rsidRPr="001620BD" w:rsidRDefault="006B2EC8" w:rsidP="007E1BEE">
            <w:pPr>
              <w:ind w:firstLine="284"/>
              <w:jc w:val="both"/>
              <w:rPr>
                <w:rFonts w:ascii="Garamond" w:hAnsi="Garamond" w:cs="Times New Roman"/>
                <w:sz w:val="24"/>
                <w:szCs w:val="24"/>
                <w:lang w:val="sq-AL"/>
              </w:rPr>
            </w:pPr>
            <w:r w:rsidRPr="001620BD">
              <w:rPr>
                <w:rFonts w:ascii="Garamond" w:hAnsi="Garamond" w:cs="Times New Roman"/>
                <w:sz w:val="24"/>
                <w:szCs w:val="24"/>
                <w:lang w:val="sq-AL"/>
              </w:rPr>
              <w:t>Përcaktimi i modelit për përllogaritjen e mëtejshme të sanksionit, bazuar në një vlerësim të (</w:t>
            </w:r>
            <w:r w:rsidR="007E1BEE" w:rsidRPr="001620BD">
              <w:rPr>
                <w:rFonts w:ascii="Garamond" w:hAnsi="Garamond" w:cs="Times New Roman"/>
                <w:bCs/>
                <w:sz w:val="24"/>
                <w:szCs w:val="24"/>
                <w:lang w:val="sq-AL"/>
              </w:rPr>
              <w:t>k</w:t>
            </w:r>
            <w:r w:rsidRPr="001620BD">
              <w:rPr>
                <w:rFonts w:ascii="Garamond" w:hAnsi="Garamond" w:cs="Times New Roman"/>
                <w:bCs/>
                <w:sz w:val="24"/>
                <w:szCs w:val="24"/>
                <w:lang w:val="sq-AL"/>
              </w:rPr>
              <w:t>apitulli 4</w:t>
            </w:r>
            <w:r w:rsidRPr="001620BD">
              <w:rPr>
                <w:rFonts w:ascii="Garamond" w:hAnsi="Garamond" w:cs="Times New Roman"/>
                <w:sz w:val="24"/>
                <w:szCs w:val="24"/>
                <w:lang w:val="sq-AL"/>
              </w:rPr>
              <w:t>):</w:t>
            </w:r>
          </w:p>
          <w:p w14:paraId="5102DE5A" w14:textId="4303D4DA" w:rsidR="006B2EC8" w:rsidRPr="001620BD" w:rsidRDefault="006B2EC8" w:rsidP="006B2EC8">
            <w:pPr>
              <w:pStyle w:val="TEKSTIIIII"/>
              <w:rPr>
                <w:color w:val="auto"/>
              </w:rPr>
            </w:pPr>
            <w:r w:rsidRPr="001620BD">
              <w:rPr>
                <w:color w:val="auto"/>
              </w:rPr>
              <w:t xml:space="preserve">a) klasifikimit të shkeljes, sipas pikave 1, 2 dhe 3, të nenit 94, të </w:t>
            </w:r>
            <w:r w:rsidR="007E1BEE" w:rsidRPr="001620BD">
              <w:rPr>
                <w:color w:val="auto"/>
              </w:rPr>
              <w:t>ligjit për mbrojtjen e të dhënave;</w:t>
            </w:r>
          </w:p>
          <w:p w14:paraId="7618F616" w14:textId="58B0D2C1" w:rsidR="006B2EC8" w:rsidRPr="001620BD" w:rsidRDefault="007E1BEE" w:rsidP="006B2EC8">
            <w:pPr>
              <w:pStyle w:val="TEKSTIIIII"/>
              <w:rPr>
                <w:color w:val="auto"/>
              </w:rPr>
            </w:pPr>
            <w:r w:rsidRPr="001620BD">
              <w:rPr>
                <w:color w:val="auto"/>
              </w:rPr>
              <w:t>b) seriozitetit të shkeljes, sipas germave “a”, “b” dhe “e” të pikës 2, të neni</w:t>
            </w:r>
            <w:r w:rsidR="00207C7D" w:rsidRPr="001620BD">
              <w:rPr>
                <w:color w:val="auto"/>
              </w:rPr>
              <w:t>t</w:t>
            </w:r>
            <w:r w:rsidRPr="001620BD">
              <w:rPr>
                <w:color w:val="auto"/>
              </w:rPr>
              <w:t xml:space="preserve"> 93, të ligjit për mbrojtjen e të dhënave;</w:t>
            </w:r>
          </w:p>
          <w:p w14:paraId="1F3D40D7" w14:textId="2E698763" w:rsidR="006B2EC8" w:rsidRPr="001620BD" w:rsidRDefault="007E1BEE" w:rsidP="007E1BEE">
            <w:pPr>
              <w:pStyle w:val="TEKSTIIIII"/>
              <w:rPr>
                <w:b/>
                <w:bCs/>
                <w:color w:val="auto"/>
              </w:rPr>
            </w:pPr>
            <w:r w:rsidRPr="001620BD">
              <w:rPr>
                <w:color w:val="auto"/>
              </w:rPr>
              <w:t xml:space="preserve">c) xhiros së ndërmarrjes, si një element i rëndësishëm për t’u marrë në konsideratë, me synim vendosjen e një sanksioni efektiv, proporcional dhe me karakter parandalues, sipas pikës 1, të nenit </w:t>
            </w:r>
            <w:r w:rsidRPr="001620BD">
              <w:rPr>
                <w:color w:val="auto"/>
              </w:rPr>
              <w:lastRenderedPageBreak/>
              <w:t>93, të ligjit për mbrojtjen e të dhënave.</w:t>
            </w:r>
          </w:p>
          <w:p w14:paraId="0BED3FD1" w14:textId="77777777" w:rsidR="006B2EC8" w:rsidRPr="001620BD" w:rsidRDefault="006B2EC8" w:rsidP="007E1BEE">
            <w:pPr>
              <w:ind w:firstLine="284"/>
              <w:jc w:val="both"/>
              <w:rPr>
                <w:rFonts w:ascii="Garamond" w:hAnsi="Garamond" w:cs="Times New Roman"/>
                <w:b/>
                <w:bCs/>
                <w:sz w:val="24"/>
                <w:szCs w:val="24"/>
                <w:lang w:val="sq-AL"/>
              </w:rPr>
            </w:pPr>
            <w:r w:rsidRPr="001620BD">
              <w:rPr>
                <w:rFonts w:ascii="Garamond" w:hAnsi="Garamond" w:cs="Times New Roman"/>
                <w:b/>
                <w:bCs/>
                <w:sz w:val="24"/>
                <w:szCs w:val="24"/>
                <w:lang w:val="sq-AL"/>
              </w:rPr>
              <w:t>Hapi 3:</w:t>
            </w:r>
          </w:p>
          <w:p w14:paraId="3E271442" w14:textId="66D2758F" w:rsidR="006B2EC8" w:rsidRPr="001620BD" w:rsidRDefault="006B2EC8" w:rsidP="007E1BEE">
            <w:pPr>
              <w:ind w:firstLine="284"/>
              <w:jc w:val="both"/>
              <w:rPr>
                <w:rFonts w:ascii="Garamond" w:hAnsi="Garamond" w:cs="Times New Roman"/>
                <w:sz w:val="24"/>
                <w:szCs w:val="24"/>
                <w:lang w:val="sq-AL"/>
              </w:rPr>
            </w:pPr>
            <w:r w:rsidRPr="001620BD">
              <w:rPr>
                <w:rFonts w:ascii="Garamond" w:hAnsi="Garamond" w:cs="Times New Roman"/>
                <w:sz w:val="24"/>
                <w:szCs w:val="24"/>
                <w:lang w:val="sq-AL"/>
              </w:rPr>
              <w:t>Vlerësimi i rrethanave rënduese dhe lehtësuese që lidhen me sjelljen e mëparshme ose të tanishme të kontrolluesit/përpunuesit si dhe zmadhimi ose zvogëlimi i masës së sanksionit, në përputhje me këto rrethana (</w:t>
            </w:r>
            <w:r w:rsidR="007E1BEE" w:rsidRPr="001620BD">
              <w:rPr>
                <w:rFonts w:ascii="Garamond" w:hAnsi="Garamond" w:cs="Times New Roman"/>
                <w:bCs/>
                <w:sz w:val="24"/>
                <w:szCs w:val="24"/>
                <w:lang w:val="sq-AL"/>
              </w:rPr>
              <w:t>k</w:t>
            </w:r>
            <w:r w:rsidRPr="001620BD">
              <w:rPr>
                <w:rFonts w:ascii="Garamond" w:hAnsi="Garamond" w:cs="Times New Roman"/>
                <w:bCs/>
                <w:sz w:val="24"/>
                <w:szCs w:val="24"/>
                <w:lang w:val="sq-AL"/>
              </w:rPr>
              <w:t>apitulli 5</w:t>
            </w:r>
            <w:r w:rsidRPr="001620BD">
              <w:rPr>
                <w:rFonts w:ascii="Garamond" w:hAnsi="Garamond" w:cs="Times New Roman"/>
                <w:sz w:val="24"/>
                <w:szCs w:val="24"/>
                <w:lang w:val="sq-AL"/>
              </w:rPr>
              <w:t>).</w:t>
            </w:r>
          </w:p>
          <w:p w14:paraId="7C40FBF8" w14:textId="77777777" w:rsidR="006B2EC8" w:rsidRPr="001620BD" w:rsidRDefault="006B2EC8" w:rsidP="007E1BEE">
            <w:pPr>
              <w:ind w:firstLine="284"/>
              <w:jc w:val="both"/>
              <w:rPr>
                <w:rFonts w:ascii="Garamond" w:hAnsi="Garamond" w:cs="Times New Roman"/>
                <w:b/>
                <w:bCs/>
                <w:sz w:val="24"/>
                <w:szCs w:val="24"/>
                <w:lang w:val="sq-AL"/>
              </w:rPr>
            </w:pPr>
            <w:r w:rsidRPr="001620BD">
              <w:rPr>
                <w:rFonts w:ascii="Garamond" w:hAnsi="Garamond" w:cs="Times New Roman"/>
                <w:b/>
                <w:bCs/>
                <w:sz w:val="24"/>
                <w:szCs w:val="24"/>
                <w:lang w:val="sq-AL"/>
              </w:rPr>
              <w:t>Hapi 4:</w:t>
            </w:r>
          </w:p>
          <w:p w14:paraId="56E01CDE" w14:textId="32F4DF6B" w:rsidR="006B2EC8" w:rsidRPr="001620BD" w:rsidRDefault="006B2EC8" w:rsidP="007E1BEE">
            <w:pPr>
              <w:ind w:firstLine="284"/>
              <w:jc w:val="both"/>
              <w:rPr>
                <w:rFonts w:ascii="Garamond" w:hAnsi="Garamond" w:cs="Times New Roman"/>
                <w:bCs/>
                <w:sz w:val="24"/>
                <w:szCs w:val="24"/>
                <w:lang w:val="sq-AL"/>
              </w:rPr>
            </w:pPr>
            <w:r w:rsidRPr="001620BD">
              <w:rPr>
                <w:rFonts w:ascii="Garamond" w:hAnsi="Garamond" w:cs="Times New Roman"/>
                <w:sz w:val="24"/>
                <w:szCs w:val="24"/>
                <w:lang w:val="sq-AL"/>
              </w:rPr>
              <w:t>Identifikimi i tavanit ligjor, për masën e sanksionit lidhur me proceset/veprimtaritë e ndryshme të përpunimit. Zmadhimet e aplikuara ose që do të aplikohen nuk mund të tejkalojnë këtë tavan</w:t>
            </w:r>
            <w:r w:rsidRPr="001620BD" w:rsidDel="00EB61B9">
              <w:rPr>
                <w:rFonts w:ascii="Garamond" w:hAnsi="Garamond" w:cs="Times New Roman"/>
                <w:sz w:val="24"/>
                <w:szCs w:val="24"/>
                <w:lang w:val="sq-AL"/>
              </w:rPr>
              <w:t xml:space="preserve"> </w:t>
            </w:r>
            <w:r w:rsidRPr="001620BD">
              <w:rPr>
                <w:rFonts w:ascii="Garamond" w:hAnsi="Garamond" w:cs="Times New Roman"/>
                <w:sz w:val="24"/>
                <w:szCs w:val="24"/>
                <w:lang w:val="sq-AL"/>
              </w:rPr>
              <w:t>(</w:t>
            </w:r>
            <w:r w:rsidR="007E1BEE" w:rsidRPr="001620BD">
              <w:rPr>
                <w:rFonts w:ascii="Garamond" w:hAnsi="Garamond" w:cs="Times New Roman"/>
                <w:bCs/>
                <w:sz w:val="24"/>
                <w:szCs w:val="24"/>
                <w:lang w:val="sq-AL"/>
              </w:rPr>
              <w:t>k</w:t>
            </w:r>
            <w:r w:rsidRPr="001620BD">
              <w:rPr>
                <w:rFonts w:ascii="Garamond" w:hAnsi="Garamond" w:cs="Times New Roman"/>
                <w:bCs/>
                <w:sz w:val="24"/>
                <w:szCs w:val="24"/>
                <w:lang w:val="sq-AL"/>
              </w:rPr>
              <w:t>apitulli 6</w:t>
            </w:r>
            <w:r w:rsidRPr="001620BD">
              <w:rPr>
                <w:rFonts w:ascii="Garamond" w:hAnsi="Garamond" w:cs="Times New Roman"/>
                <w:sz w:val="24"/>
                <w:szCs w:val="24"/>
                <w:lang w:val="sq-AL"/>
              </w:rPr>
              <w:t>).</w:t>
            </w:r>
          </w:p>
          <w:p w14:paraId="6EC0428B" w14:textId="77777777" w:rsidR="006B2EC8" w:rsidRPr="001620BD" w:rsidRDefault="006B2EC8" w:rsidP="007E1BEE">
            <w:pPr>
              <w:ind w:firstLine="284"/>
              <w:jc w:val="both"/>
              <w:rPr>
                <w:rFonts w:ascii="Garamond" w:hAnsi="Garamond" w:cs="Times New Roman"/>
                <w:b/>
                <w:bCs/>
                <w:sz w:val="24"/>
                <w:szCs w:val="24"/>
                <w:lang w:val="sq-AL"/>
              </w:rPr>
            </w:pPr>
            <w:r w:rsidRPr="001620BD">
              <w:rPr>
                <w:rFonts w:ascii="Garamond" w:hAnsi="Garamond" w:cs="Times New Roman"/>
                <w:b/>
                <w:bCs/>
                <w:sz w:val="24"/>
                <w:szCs w:val="24"/>
                <w:lang w:val="sq-AL"/>
              </w:rPr>
              <w:t>Hapi 5:</w:t>
            </w:r>
          </w:p>
          <w:p w14:paraId="70D03CA2" w14:textId="421856F8" w:rsidR="006B2EC8" w:rsidRPr="001620BD" w:rsidRDefault="006B2EC8" w:rsidP="007E1BEE">
            <w:pPr>
              <w:ind w:firstLine="284"/>
              <w:jc w:val="both"/>
              <w:rPr>
                <w:rFonts w:ascii="Garamond" w:hAnsi="Garamond" w:cs="Times New Roman"/>
                <w:sz w:val="24"/>
                <w:szCs w:val="24"/>
                <w:lang w:val="sq-AL"/>
              </w:rPr>
            </w:pPr>
            <w:r w:rsidRPr="001620BD">
              <w:rPr>
                <w:rFonts w:ascii="Garamond" w:hAnsi="Garamond" w:cs="Times New Roman"/>
                <w:sz w:val="24"/>
                <w:szCs w:val="24"/>
                <w:lang w:val="sq-AL"/>
              </w:rPr>
              <w:t>Kryerja e analizës nëse shuma përfundimtare e sanksionit të përllogaritur plotëson kërkesat e efektivitetit, proporcionalitetit dhe karakterit parandalues, siç kërkohet nga dispozitat e pikës 1</w:t>
            </w:r>
            <w:r w:rsidRPr="0090601F">
              <w:rPr>
                <w:rFonts w:ascii="Garamond" w:hAnsi="Garamond" w:cs="Times New Roman"/>
                <w:sz w:val="24"/>
                <w:szCs w:val="24"/>
                <w:lang w:val="sq-AL"/>
              </w:rPr>
              <w:t xml:space="preserve">, të </w:t>
            </w:r>
            <w:r w:rsidR="00C762BF" w:rsidRPr="0090601F">
              <w:rPr>
                <w:rFonts w:ascii="Garamond" w:hAnsi="Garamond" w:cs="Times New Roman"/>
                <w:sz w:val="24"/>
                <w:szCs w:val="24"/>
                <w:lang w:val="sq-AL"/>
              </w:rPr>
              <w:t xml:space="preserve">nenit </w:t>
            </w:r>
            <w:r w:rsidRPr="0090601F">
              <w:rPr>
                <w:rFonts w:ascii="Garamond" w:hAnsi="Garamond" w:cs="Times New Roman"/>
                <w:sz w:val="24"/>
                <w:szCs w:val="24"/>
                <w:lang w:val="sq-AL"/>
              </w:rPr>
              <w:t>93,</w:t>
            </w:r>
            <w:r w:rsidRPr="001620BD">
              <w:rPr>
                <w:rFonts w:ascii="Garamond" w:hAnsi="Garamond" w:cs="Times New Roman"/>
                <w:sz w:val="24"/>
                <w:szCs w:val="24"/>
                <w:lang w:val="sq-AL"/>
              </w:rPr>
              <w:t xml:space="preserve"> të </w:t>
            </w:r>
            <w:r w:rsidR="007E1BEE" w:rsidRPr="001620BD">
              <w:rPr>
                <w:rFonts w:ascii="Garamond" w:hAnsi="Garamond" w:cs="Times New Roman"/>
                <w:sz w:val="24"/>
                <w:szCs w:val="24"/>
                <w:lang w:val="sq-AL"/>
              </w:rPr>
              <w:t xml:space="preserve">ligjit për mbrojtjen e të dhënave, dhe </w:t>
            </w:r>
            <w:r w:rsidRPr="001620BD">
              <w:rPr>
                <w:rFonts w:ascii="Garamond" w:hAnsi="Garamond" w:cs="Times New Roman"/>
                <w:sz w:val="24"/>
                <w:szCs w:val="24"/>
                <w:lang w:val="sq-AL"/>
              </w:rPr>
              <w:t>duke zmadhuar ose zvogëluar masën e sanksionit, në përputhje me rrethanat (</w:t>
            </w:r>
            <w:r w:rsidR="007E1BEE" w:rsidRPr="001620BD">
              <w:rPr>
                <w:rFonts w:ascii="Garamond" w:hAnsi="Garamond" w:cs="Times New Roman"/>
                <w:bCs/>
                <w:sz w:val="24"/>
                <w:szCs w:val="24"/>
                <w:lang w:val="sq-AL"/>
              </w:rPr>
              <w:t>k</w:t>
            </w:r>
            <w:r w:rsidRPr="001620BD">
              <w:rPr>
                <w:rFonts w:ascii="Garamond" w:hAnsi="Garamond" w:cs="Times New Roman"/>
                <w:bCs/>
                <w:sz w:val="24"/>
                <w:szCs w:val="24"/>
                <w:lang w:val="sq-AL"/>
              </w:rPr>
              <w:t>apitulli 7</w:t>
            </w:r>
            <w:r w:rsidRPr="001620BD">
              <w:rPr>
                <w:rFonts w:ascii="Garamond" w:hAnsi="Garamond" w:cs="Times New Roman"/>
                <w:sz w:val="24"/>
                <w:szCs w:val="24"/>
                <w:lang w:val="sq-AL"/>
              </w:rPr>
              <w:t>).</w:t>
            </w:r>
          </w:p>
        </w:tc>
      </w:tr>
    </w:tbl>
    <w:p w14:paraId="11794E15" w14:textId="77777777" w:rsidR="006B2EC8" w:rsidRPr="001620BD" w:rsidRDefault="006B2EC8" w:rsidP="006B2EC8">
      <w:pPr>
        <w:spacing w:after="0" w:line="240" w:lineRule="auto"/>
        <w:ind w:firstLine="284"/>
        <w:jc w:val="both"/>
        <w:rPr>
          <w:rFonts w:ascii="Garamond" w:hAnsi="Garamond" w:cs="Times New Roman"/>
          <w:b/>
          <w:bCs/>
          <w:sz w:val="24"/>
          <w:szCs w:val="24"/>
          <w:lang w:val="sq-AL"/>
        </w:rPr>
      </w:pPr>
    </w:p>
    <w:p w14:paraId="75B542E2" w14:textId="40A985C6" w:rsidR="006B2EC8" w:rsidRPr="001620BD" w:rsidRDefault="006B2EC8" w:rsidP="006B2EC8">
      <w:pPr>
        <w:pStyle w:val="Heading2"/>
        <w:spacing w:before="0" w:beforeAutospacing="0" w:after="0" w:afterAutospacing="0"/>
        <w:ind w:firstLine="284"/>
        <w:rPr>
          <w:rFonts w:ascii="Garamond" w:hAnsi="Garamond"/>
          <w:szCs w:val="24"/>
        </w:rPr>
      </w:pPr>
      <w:bookmarkStart w:id="6" w:name="_Toc203658645"/>
      <w:r w:rsidRPr="001620BD">
        <w:rPr>
          <w:rFonts w:ascii="Garamond" w:hAnsi="Garamond"/>
          <w:szCs w:val="24"/>
        </w:rPr>
        <w:t>2.3 Shkelje të sanksionueshme me masa fikse</w:t>
      </w:r>
      <w:bookmarkEnd w:id="6"/>
    </w:p>
    <w:p w14:paraId="45D3CE57" w14:textId="543160FE"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7. Në rrethana të caktuara, Zyra e Komisionerit mund të konsiderojë se shkelje të caktuara mund të dënohen me sanksion administrativ në një shumë të caktuar paraprakisht. Është në diskrecionin e Zyrës së Komisionerit të përcaktojë se cilat lloje shkeljesh kualifikohen si të tilla, bazuar në natyrën, rëndësinë dhe kohëzgjatjen e tyre. </w:t>
      </w:r>
    </w:p>
    <w:p w14:paraId="699FAB5B" w14:textId="5A39A579" w:rsidR="006B2EC8" w:rsidRPr="001620BD" w:rsidRDefault="006B2EC8" w:rsidP="006B2EC8">
      <w:pPr>
        <w:tabs>
          <w:tab w:val="left" w:pos="540"/>
        </w:tabs>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8. Masat fikse të sanksioneve administrative mund të përcaktohen sipas diskrecionit të Zyrës së Komisionerit, duke marrë parasysh – ndër të tjera – rrethanat dhe situatën sociale dhe ekonomike në vend, në lidhje me seriozitetin e shkeljes, parë kjo në harmoni me germat “a”, “b” dhe “e” të pikës 2 të nenit 93, të </w:t>
      </w:r>
      <w:r w:rsidR="007E1BEE" w:rsidRPr="001620BD">
        <w:rPr>
          <w:rFonts w:ascii="Garamond" w:hAnsi="Garamond" w:cs="Times New Roman"/>
          <w:sz w:val="24"/>
          <w:szCs w:val="24"/>
          <w:lang w:val="sq-AL"/>
        </w:rPr>
        <w:t>ligjit për mbrojtjen e të dhënave</w:t>
      </w:r>
      <w:r w:rsidRPr="001620BD">
        <w:rPr>
          <w:rFonts w:ascii="Garamond" w:hAnsi="Garamond" w:cs="Times New Roman"/>
          <w:sz w:val="24"/>
          <w:szCs w:val="24"/>
          <w:lang w:val="sq-AL"/>
        </w:rPr>
        <w:t>.</w:t>
      </w:r>
    </w:p>
    <w:p w14:paraId="71F845FA" w14:textId="77777777" w:rsidR="007E1BEE" w:rsidRPr="001620BD" w:rsidRDefault="007E1BEE" w:rsidP="006B2EC8">
      <w:pPr>
        <w:pStyle w:val="TEKSTIIIII"/>
        <w:rPr>
          <w:b/>
          <w:color w:val="auto"/>
        </w:rPr>
      </w:pPr>
      <w:bookmarkStart w:id="7" w:name="_Toc203658646"/>
    </w:p>
    <w:p w14:paraId="751A3D5E" w14:textId="34A3695B" w:rsidR="007E1BEE" w:rsidRPr="001620BD" w:rsidRDefault="007E1BEE" w:rsidP="007E1BEE">
      <w:pPr>
        <w:pStyle w:val="TEKSTIIIII"/>
        <w:jc w:val="center"/>
        <w:rPr>
          <w:color w:val="auto"/>
        </w:rPr>
      </w:pPr>
      <w:r w:rsidRPr="001620BD">
        <w:rPr>
          <w:color w:val="auto"/>
        </w:rPr>
        <w:t>KAPITULLI 3</w:t>
      </w:r>
    </w:p>
    <w:p w14:paraId="4A7E8DF0" w14:textId="273A1A11" w:rsidR="006B2EC8" w:rsidRPr="001620BD" w:rsidRDefault="007E1BEE" w:rsidP="007E1BEE">
      <w:pPr>
        <w:pStyle w:val="TEKSTIIIII"/>
        <w:jc w:val="center"/>
        <w:rPr>
          <w:color w:val="auto"/>
        </w:rPr>
      </w:pPr>
      <w:r w:rsidRPr="001620BD">
        <w:rPr>
          <w:color w:val="auto"/>
        </w:rPr>
        <w:t>SHKELJE KONKURRUESE DHE ZBATIMI I NENIT 93(3) TË LIGJIT</w:t>
      </w:r>
      <w:bookmarkEnd w:id="7"/>
    </w:p>
    <w:p w14:paraId="49D0145C" w14:textId="77777777" w:rsidR="007E1BEE" w:rsidRPr="001620BD" w:rsidRDefault="007E1BEE" w:rsidP="006B2EC8">
      <w:pPr>
        <w:pStyle w:val="TEKSTIIIII"/>
        <w:rPr>
          <w:color w:val="auto"/>
        </w:rPr>
      </w:pPr>
    </w:p>
    <w:p w14:paraId="741804B4" w14:textId="708DEC0B" w:rsidR="006B2EC8" w:rsidRPr="001620BD" w:rsidRDefault="006B2EC8" w:rsidP="006B2EC8">
      <w:pPr>
        <w:pStyle w:val="TEKSTIIIII"/>
        <w:rPr>
          <w:color w:val="auto"/>
        </w:rPr>
      </w:pPr>
      <w:r w:rsidRPr="001620BD">
        <w:rPr>
          <w:color w:val="auto"/>
        </w:rPr>
        <w:t>9. Përpara se të përllogaritet masa e një sanksioni, bazuar në këtë metodologji, është e rëndësishme që fillimisht të merret parasysh se mbi çfarë sjelljeje (rrethanat faktike në lidhje me sjelljen) dhe shkeljeje (përshkrim abstrakt ligjor i veprimit të sanksionueshëm) bazohet masa e sanksionit. Në praktikë, një rast i veçantë mund të përfshijë rrethana që mund të konsiderohen:</w:t>
      </w:r>
    </w:p>
    <w:p w14:paraId="58796965" w14:textId="6396E75B"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i</w:t>
      </w:r>
      <w:r w:rsidR="007478B4" w:rsidRPr="001620BD">
        <w:rPr>
          <w:rFonts w:ascii="Garamond" w:hAnsi="Garamond" w:cs="Times New Roman"/>
          <w:sz w:val="24"/>
          <w:szCs w:val="24"/>
          <w:lang w:val="sq-AL"/>
        </w:rPr>
        <w:t>.</w:t>
      </w:r>
      <w:r w:rsidRPr="001620BD">
        <w:rPr>
          <w:rFonts w:ascii="Garamond" w:hAnsi="Garamond" w:cs="Times New Roman"/>
          <w:sz w:val="24"/>
          <w:szCs w:val="24"/>
          <w:lang w:val="sq-AL"/>
        </w:rPr>
        <w:t xml:space="preserve"> si një sjellje e sanksionueshme; ose si </w:t>
      </w:r>
    </w:p>
    <w:p w14:paraId="44CD3935" w14:textId="58A3AD0A"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ii</w:t>
      </w:r>
      <w:r w:rsidR="007478B4" w:rsidRPr="001620BD">
        <w:rPr>
          <w:rFonts w:ascii="Garamond" w:hAnsi="Garamond" w:cs="Times New Roman"/>
          <w:sz w:val="24"/>
          <w:szCs w:val="24"/>
          <w:lang w:val="sq-AL"/>
        </w:rPr>
        <w:t>.</w:t>
      </w:r>
      <w:r w:rsidRPr="001620BD">
        <w:rPr>
          <w:rFonts w:ascii="Garamond" w:hAnsi="Garamond" w:cs="Times New Roman"/>
          <w:sz w:val="24"/>
          <w:szCs w:val="24"/>
          <w:lang w:val="sq-AL"/>
        </w:rPr>
        <w:t xml:space="preserve"> disa sjellje të veçanta të sanksionueshme. </w:t>
      </w:r>
    </w:p>
    <w:p w14:paraId="1807FE1B" w14:textId="446B0D9D"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Gjithashtu, është e mundur që një sjellje e vetme të mund të shkaktojë një numër shkeljesh të ndryshme, të cilat mund të përjashtojnë njëra-tjetrën ose mund të bashkë qëndrojnë/renditen te njëra-tjetra. Me fjalë të tjera, mund të ketë raste shkeljesh konkurruese/të njëkohshme. Në varësi të rregullave të konkurrueshmërisë, këto shkelje mund të shpien në përllogaritje të ndryshme sanksionesh.</w:t>
      </w:r>
    </w:p>
    <w:p w14:paraId="37D43F55" w14:textId="267D3B88"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10. Bazuar në praktikën gjyqësore të Gjykatës Evropiane të Drejtësisë, në lidhje me rregullat mbi rastet konkurrente të shkeljeve, si dhe duke marrë parasysh qëllimet e ndryshme të zbatimit të tyre si dhe pasojat ligjore, këto parime mund të grupohen përafërsisht në tr</w:t>
      </w:r>
      <w:r w:rsidR="005D7045" w:rsidRPr="001620BD">
        <w:rPr>
          <w:rFonts w:ascii="Garamond" w:hAnsi="Garamond" w:cs="Times New Roman"/>
          <w:sz w:val="24"/>
          <w:szCs w:val="24"/>
          <w:lang w:val="sq-AL"/>
        </w:rPr>
        <w:t>i</w:t>
      </w:r>
      <w:r w:rsidRPr="001620BD">
        <w:rPr>
          <w:rFonts w:ascii="Garamond" w:hAnsi="Garamond" w:cs="Times New Roman"/>
          <w:sz w:val="24"/>
          <w:szCs w:val="24"/>
          <w:lang w:val="sq-AL"/>
        </w:rPr>
        <w:t xml:space="preserve"> kategori si vijon:</w:t>
      </w:r>
    </w:p>
    <w:p w14:paraId="648E7658" w14:textId="4E3E3E48"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Konkurrenca e shkeljeve (</w:t>
      </w:r>
      <w:r w:rsidR="007E1BEE" w:rsidRPr="001620BD">
        <w:rPr>
          <w:rFonts w:ascii="Garamond" w:hAnsi="Garamond" w:cs="Times New Roman"/>
          <w:bCs/>
          <w:sz w:val="24"/>
          <w:szCs w:val="24"/>
          <w:lang w:val="sq-AL"/>
        </w:rPr>
        <w:t>n</w:t>
      </w:r>
      <w:r w:rsidRPr="001620BD">
        <w:rPr>
          <w:rFonts w:ascii="Garamond" w:hAnsi="Garamond" w:cs="Times New Roman"/>
          <w:bCs/>
          <w:sz w:val="24"/>
          <w:szCs w:val="24"/>
          <w:lang w:val="sq-AL"/>
        </w:rPr>
        <w:t>ënkapitulli 3.1.1</w:t>
      </w:r>
      <w:r w:rsidRPr="001620BD">
        <w:rPr>
          <w:rFonts w:ascii="Garamond" w:hAnsi="Garamond" w:cs="Times New Roman"/>
          <w:sz w:val="24"/>
          <w:szCs w:val="24"/>
          <w:lang w:val="sq-AL"/>
        </w:rPr>
        <w:t>).</w:t>
      </w:r>
    </w:p>
    <w:p w14:paraId="485EFF56" w14:textId="1CC4C91A"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Uniteti i veprimit (</w:t>
      </w:r>
      <w:r w:rsidR="007E1BEE" w:rsidRPr="001620BD">
        <w:rPr>
          <w:rFonts w:ascii="Garamond" w:hAnsi="Garamond" w:cs="Times New Roman"/>
          <w:bCs/>
          <w:sz w:val="24"/>
          <w:szCs w:val="24"/>
          <w:lang w:val="sq-AL"/>
        </w:rPr>
        <w:t>n</w:t>
      </w:r>
      <w:r w:rsidRPr="001620BD">
        <w:rPr>
          <w:rFonts w:ascii="Garamond" w:hAnsi="Garamond" w:cs="Times New Roman"/>
          <w:bCs/>
          <w:sz w:val="24"/>
          <w:szCs w:val="24"/>
          <w:lang w:val="sq-AL"/>
        </w:rPr>
        <w:t>ënkapitulli 3.1.2</w:t>
      </w:r>
      <w:r w:rsidRPr="001620BD">
        <w:rPr>
          <w:rFonts w:ascii="Garamond" w:hAnsi="Garamond" w:cs="Times New Roman"/>
          <w:sz w:val="24"/>
          <w:szCs w:val="24"/>
          <w:lang w:val="sq-AL"/>
        </w:rPr>
        <w:t>),</w:t>
      </w:r>
    </w:p>
    <w:p w14:paraId="7F765942" w14:textId="3C29FE5B"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Shumësia e veprimeve (</w:t>
      </w:r>
      <w:r w:rsidR="007E1BEE" w:rsidRPr="001620BD">
        <w:rPr>
          <w:rFonts w:ascii="Garamond" w:hAnsi="Garamond" w:cs="Times New Roman"/>
          <w:bCs/>
          <w:sz w:val="24"/>
          <w:szCs w:val="24"/>
          <w:lang w:val="sq-AL"/>
        </w:rPr>
        <w:t>k</w:t>
      </w:r>
      <w:r w:rsidRPr="001620BD">
        <w:rPr>
          <w:rFonts w:ascii="Garamond" w:hAnsi="Garamond" w:cs="Times New Roman"/>
          <w:bCs/>
          <w:sz w:val="24"/>
          <w:szCs w:val="24"/>
          <w:lang w:val="sq-AL"/>
        </w:rPr>
        <w:t>apitulli 3.2</w:t>
      </w:r>
      <w:r w:rsidRPr="001620BD">
        <w:rPr>
          <w:rFonts w:ascii="Garamond" w:hAnsi="Garamond" w:cs="Times New Roman"/>
          <w:sz w:val="24"/>
          <w:szCs w:val="24"/>
          <w:lang w:val="sq-AL"/>
        </w:rPr>
        <w:t>).</w:t>
      </w:r>
    </w:p>
    <w:p w14:paraId="7A4B4311" w14:textId="5689F223"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lastRenderedPageBreak/>
        <w:t>11. Këto kategori të ndryshme konkurrence nuk bien ndesh me njëra-tjetrën, por kanë fusha të ndryshme zbatimi dhe përshtaten në një sistem të përgjithshëm koherent, duke parashikuar një skemë testimi logjik.</w:t>
      </w:r>
    </w:p>
    <w:p w14:paraId="3458DA63" w14:textId="6FFADFC8"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12. Prandaj, është e rëndësishme që, së pari, të përcaktohet:</w:t>
      </w:r>
    </w:p>
    <w:p w14:paraId="4FBEE181" w14:textId="3AF4C3AA"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a) </w:t>
      </w:r>
      <w:r w:rsidR="00317782" w:rsidRPr="001620BD">
        <w:rPr>
          <w:rFonts w:ascii="Garamond" w:hAnsi="Garamond" w:cs="Times New Roman"/>
          <w:sz w:val="24"/>
          <w:szCs w:val="24"/>
          <w:lang w:val="sq-AL"/>
        </w:rPr>
        <w:t>n</w:t>
      </w:r>
      <w:r w:rsidRPr="001620BD">
        <w:rPr>
          <w:rFonts w:ascii="Garamond" w:hAnsi="Garamond" w:cs="Times New Roman"/>
          <w:sz w:val="24"/>
          <w:szCs w:val="24"/>
          <w:lang w:val="sq-AL"/>
        </w:rPr>
        <w:t>ëse rrethanat duhet të konsiderohen si një sjellje e sanksionueshme (</w:t>
      </w:r>
      <w:r w:rsidR="007E1BEE" w:rsidRPr="001620BD">
        <w:rPr>
          <w:rFonts w:ascii="Garamond" w:hAnsi="Garamond" w:cs="Times New Roman"/>
          <w:bCs/>
          <w:sz w:val="24"/>
          <w:szCs w:val="24"/>
          <w:lang w:val="sq-AL"/>
        </w:rPr>
        <w:t>k</w:t>
      </w:r>
      <w:r w:rsidRPr="001620BD">
        <w:rPr>
          <w:rFonts w:ascii="Garamond" w:hAnsi="Garamond" w:cs="Times New Roman"/>
          <w:bCs/>
          <w:sz w:val="24"/>
          <w:szCs w:val="24"/>
          <w:lang w:val="sq-AL"/>
        </w:rPr>
        <w:t>apitulli 3.1</w:t>
      </w:r>
      <w:r w:rsidRPr="001620BD">
        <w:rPr>
          <w:rFonts w:ascii="Garamond" w:hAnsi="Garamond" w:cs="Times New Roman"/>
          <w:sz w:val="24"/>
          <w:szCs w:val="24"/>
          <w:lang w:val="sq-AL"/>
        </w:rPr>
        <w:t>) ose sjellje të shumta të sanksionueshme (</w:t>
      </w:r>
      <w:r w:rsidR="007E1BEE" w:rsidRPr="001620BD">
        <w:rPr>
          <w:rFonts w:ascii="Garamond" w:hAnsi="Garamond" w:cs="Times New Roman"/>
          <w:bCs/>
          <w:sz w:val="24"/>
          <w:szCs w:val="24"/>
          <w:lang w:val="sq-AL"/>
        </w:rPr>
        <w:t>k</w:t>
      </w:r>
      <w:r w:rsidRPr="001620BD">
        <w:rPr>
          <w:rFonts w:ascii="Garamond" w:hAnsi="Garamond" w:cs="Times New Roman"/>
          <w:bCs/>
          <w:sz w:val="24"/>
          <w:szCs w:val="24"/>
          <w:lang w:val="sq-AL"/>
        </w:rPr>
        <w:t>apitulli 3.2</w:t>
      </w:r>
      <w:r w:rsidRPr="001620BD">
        <w:rPr>
          <w:rFonts w:ascii="Garamond" w:hAnsi="Garamond" w:cs="Times New Roman"/>
          <w:sz w:val="24"/>
          <w:szCs w:val="24"/>
          <w:lang w:val="sq-AL"/>
        </w:rPr>
        <w:t>);</w:t>
      </w:r>
    </w:p>
    <w:p w14:paraId="68DDEE06" w14:textId="33321788"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b) </w:t>
      </w:r>
      <w:r w:rsidR="00317782" w:rsidRPr="001620BD">
        <w:rPr>
          <w:rFonts w:ascii="Garamond" w:hAnsi="Garamond" w:cs="Times New Roman"/>
          <w:sz w:val="24"/>
          <w:szCs w:val="24"/>
          <w:lang w:val="sq-AL"/>
        </w:rPr>
        <w:t>n</w:t>
      </w:r>
      <w:r w:rsidRPr="001620BD">
        <w:rPr>
          <w:rFonts w:ascii="Garamond" w:hAnsi="Garamond" w:cs="Times New Roman"/>
          <w:sz w:val="24"/>
          <w:szCs w:val="24"/>
          <w:lang w:val="sq-AL"/>
        </w:rPr>
        <w:t>ë rast të një sjelljeje të sanksionueshme (</w:t>
      </w:r>
      <w:r w:rsidR="007E1BEE" w:rsidRPr="001620BD">
        <w:rPr>
          <w:rFonts w:ascii="Garamond" w:hAnsi="Garamond" w:cs="Times New Roman"/>
          <w:bCs/>
          <w:sz w:val="24"/>
          <w:szCs w:val="24"/>
          <w:lang w:val="sq-AL"/>
        </w:rPr>
        <w:t>k</w:t>
      </w:r>
      <w:r w:rsidRPr="001620BD">
        <w:rPr>
          <w:rFonts w:ascii="Garamond" w:hAnsi="Garamond" w:cs="Times New Roman"/>
          <w:bCs/>
          <w:sz w:val="24"/>
          <w:szCs w:val="24"/>
          <w:lang w:val="sq-AL"/>
        </w:rPr>
        <w:t>apitulli 3.1</w:t>
      </w:r>
      <w:r w:rsidRPr="001620BD">
        <w:rPr>
          <w:rFonts w:ascii="Garamond" w:hAnsi="Garamond" w:cs="Times New Roman"/>
          <w:sz w:val="24"/>
          <w:szCs w:val="24"/>
          <w:lang w:val="sq-AL"/>
        </w:rPr>
        <w:t>), nëse kjo sjellje shkakton, ose jo, një ose më shumë shkelje; dhe</w:t>
      </w:r>
    </w:p>
    <w:p w14:paraId="2501460E" w14:textId="050ACCEA" w:rsidR="006B2EC8" w:rsidRPr="001620BD" w:rsidRDefault="006B2EC8" w:rsidP="006B2EC8">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c) </w:t>
      </w:r>
      <w:r w:rsidR="00317782" w:rsidRPr="001620BD">
        <w:rPr>
          <w:rFonts w:ascii="Garamond" w:hAnsi="Garamond" w:cs="Times New Roman"/>
          <w:sz w:val="24"/>
          <w:szCs w:val="24"/>
          <w:lang w:val="sq-AL"/>
        </w:rPr>
        <w:t>n</w:t>
      </w:r>
      <w:r w:rsidRPr="001620BD">
        <w:rPr>
          <w:rFonts w:ascii="Garamond" w:hAnsi="Garamond" w:cs="Times New Roman"/>
          <w:sz w:val="24"/>
          <w:szCs w:val="24"/>
          <w:lang w:val="sq-AL"/>
        </w:rPr>
        <w:t>ë rast të një sjelljeje që shkakton shkelje të shumta, atribuimi i një shkeljeje përjashton atribuimin e një shkeljeje tjetër (</w:t>
      </w:r>
      <w:r w:rsidR="007E1BEE" w:rsidRPr="001620BD">
        <w:rPr>
          <w:rFonts w:ascii="Garamond" w:hAnsi="Garamond" w:cs="Times New Roman"/>
          <w:bCs/>
          <w:sz w:val="24"/>
          <w:szCs w:val="24"/>
          <w:lang w:val="sq-AL"/>
        </w:rPr>
        <w:t>n</w:t>
      </w:r>
      <w:r w:rsidRPr="001620BD">
        <w:rPr>
          <w:rFonts w:ascii="Garamond" w:hAnsi="Garamond" w:cs="Times New Roman"/>
          <w:bCs/>
          <w:sz w:val="24"/>
          <w:szCs w:val="24"/>
          <w:lang w:val="sq-AL"/>
        </w:rPr>
        <w:t>ënkapitulli 3.1.1</w:t>
      </w:r>
      <w:r w:rsidRPr="001620BD">
        <w:rPr>
          <w:rFonts w:ascii="Garamond" w:hAnsi="Garamond" w:cs="Times New Roman"/>
          <w:sz w:val="24"/>
          <w:szCs w:val="24"/>
          <w:lang w:val="sq-AL"/>
        </w:rPr>
        <w:t>) ose nëse ato bashkëqendrojnë i nënrenditen njëra-tjetrës (</w:t>
      </w:r>
      <w:r w:rsidR="007E1BEE" w:rsidRPr="001620BD">
        <w:rPr>
          <w:rFonts w:ascii="Garamond" w:hAnsi="Garamond" w:cs="Times New Roman"/>
          <w:bCs/>
          <w:sz w:val="24"/>
          <w:szCs w:val="24"/>
          <w:lang w:val="sq-AL"/>
        </w:rPr>
        <w:t>n</w:t>
      </w:r>
      <w:r w:rsidRPr="001620BD">
        <w:rPr>
          <w:rFonts w:ascii="Garamond" w:hAnsi="Garamond" w:cs="Times New Roman"/>
          <w:bCs/>
          <w:sz w:val="24"/>
          <w:szCs w:val="24"/>
          <w:lang w:val="sq-AL"/>
        </w:rPr>
        <w:t>ënkapitulli 3.1.2</w:t>
      </w:r>
      <w:r w:rsidRPr="001620BD">
        <w:rPr>
          <w:rFonts w:ascii="Garamond" w:hAnsi="Garamond" w:cs="Times New Roman"/>
          <w:sz w:val="24"/>
          <w:szCs w:val="24"/>
          <w:lang w:val="sq-AL"/>
        </w:rPr>
        <w:t>).</w:t>
      </w:r>
    </w:p>
    <w:p w14:paraId="3CE953D0" w14:textId="14CC430F" w:rsidR="006B2EC8" w:rsidRPr="001620BD" w:rsidRDefault="00643547" w:rsidP="00643547">
      <w:pPr>
        <w:pStyle w:val="TEKSTIIIII"/>
        <w:rPr>
          <w:color w:val="auto"/>
        </w:rPr>
      </w:pPr>
      <w:r w:rsidRPr="001620BD">
        <w:rPr>
          <w:noProof/>
          <w:color w:val="auto"/>
        </w:rPr>
        <w:drawing>
          <wp:inline distT="0" distB="0" distL="0" distR="0" wp14:anchorId="7B3559BB" wp14:editId="78FF1764">
            <wp:extent cx="5308270" cy="5621889"/>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titled-1.jpg"/>
                    <pic:cNvPicPr/>
                  </pic:nvPicPr>
                  <pic:blipFill>
                    <a:blip r:embed="rId12">
                      <a:extLst>
                        <a:ext uri="{28A0092B-C50C-407E-A947-70E740481C1C}">
                          <a14:useLocalDpi xmlns:a14="http://schemas.microsoft.com/office/drawing/2010/main" val="0"/>
                        </a:ext>
                      </a:extLst>
                    </a:blip>
                    <a:stretch>
                      <a:fillRect/>
                    </a:stretch>
                  </pic:blipFill>
                  <pic:spPr>
                    <a:xfrm>
                      <a:off x="0" y="0"/>
                      <a:ext cx="5319838" cy="5634140"/>
                    </a:xfrm>
                    <a:prstGeom prst="rect">
                      <a:avLst/>
                    </a:prstGeom>
                  </pic:spPr>
                </pic:pic>
              </a:graphicData>
            </a:graphic>
          </wp:inline>
        </w:drawing>
      </w:r>
    </w:p>
    <w:p w14:paraId="3774C90B" w14:textId="0A6F188B" w:rsidR="00133485" w:rsidRPr="001620BD" w:rsidRDefault="00133485" w:rsidP="00133485">
      <w:pPr>
        <w:pStyle w:val="Heading2"/>
        <w:spacing w:before="0" w:beforeAutospacing="0" w:after="0" w:afterAutospacing="0"/>
        <w:ind w:firstLine="284"/>
        <w:rPr>
          <w:rFonts w:ascii="Garamond" w:hAnsi="Garamond"/>
          <w:szCs w:val="24"/>
        </w:rPr>
      </w:pPr>
      <w:bookmarkStart w:id="8" w:name="_Toc203658647"/>
      <w:r w:rsidRPr="001620BD">
        <w:rPr>
          <w:rFonts w:ascii="Garamond" w:hAnsi="Garamond"/>
          <w:szCs w:val="24"/>
        </w:rPr>
        <w:t>3.1 Një sjellje e sanksionueshme</w:t>
      </w:r>
      <w:bookmarkEnd w:id="8"/>
    </w:p>
    <w:p w14:paraId="16517913" w14:textId="630D4B36"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13. Si hap i parë, është thelbësore të përcaktohet nëse ka një sjellje të sanksionueshme, apo ka shumë të tilla, në mënyrë që të identifikohet sjellja përkatëse e sanksionueshme që do të jetë subjekt sanksioni. Prandaj, është e rëndësishme të kuptohet se cilat rrethana konsiderohen si një sjellje e njëjtë, </w:t>
      </w:r>
      <w:r w:rsidRPr="001620BD">
        <w:rPr>
          <w:rFonts w:ascii="Garamond" w:hAnsi="Garamond" w:cs="Times New Roman"/>
          <w:sz w:val="24"/>
          <w:szCs w:val="24"/>
          <w:lang w:val="sq-AL"/>
        </w:rPr>
        <w:lastRenderedPageBreak/>
        <w:t>në krahasim me sjellje të shumta. Sjellja përkatëse e sanksionueshme duhet të vlerësohet dhe identifikohet rast pas rasti. Për shembull, në një rast të caktuar, procese/veprimtari të njëjta ose të lidhura përpunimi të dhënash mund të përbëjnë një (të njëjtën) sjellje.</w:t>
      </w:r>
    </w:p>
    <w:p w14:paraId="4E9E8BB8" w14:textId="55D628E4"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14. Termi “proces/veprimtari përpunimi” përfshihet në pikën 16, të nenit 5, të </w:t>
      </w:r>
      <w:r w:rsidR="007478B4" w:rsidRPr="001620BD">
        <w:rPr>
          <w:rFonts w:ascii="Garamond" w:hAnsi="Garamond" w:cs="Times New Roman"/>
          <w:sz w:val="24"/>
          <w:szCs w:val="24"/>
          <w:lang w:val="sq-AL"/>
        </w:rPr>
        <w:t xml:space="preserve">ligjit për mbrojtjen e të dhënave, ku </w:t>
      </w:r>
      <w:r w:rsidRPr="001620BD">
        <w:rPr>
          <w:rFonts w:ascii="Garamond" w:hAnsi="Garamond" w:cs="Times New Roman"/>
          <w:sz w:val="24"/>
          <w:szCs w:val="24"/>
          <w:lang w:val="sq-AL"/>
        </w:rPr>
        <w:t>me “</w:t>
      </w:r>
      <w:r w:rsidRPr="001620BD">
        <w:rPr>
          <w:rFonts w:ascii="Garamond" w:hAnsi="Garamond" w:cs="Times New Roman"/>
          <w:i/>
          <w:iCs/>
          <w:sz w:val="24"/>
          <w:szCs w:val="24"/>
          <w:lang w:val="sq-AL"/>
        </w:rPr>
        <w:t>përpunim</w:t>
      </w:r>
      <w:r w:rsidRPr="001620BD">
        <w:rPr>
          <w:rFonts w:ascii="Garamond" w:hAnsi="Garamond" w:cs="Times New Roman"/>
          <w:sz w:val="24"/>
          <w:szCs w:val="24"/>
          <w:lang w:val="sq-AL"/>
        </w:rPr>
        <w:t>” përkufizohet “</w:t>
      </w:r>
      <w:r w:rsidRPr="001620BD">
        <w:rPr>
          <w:rFonts w:ascii="Garamond" w:hAnsi="Garamond" w:cs="Times New Roman"/>
          <w:i/>
          <w:iCs/>
          <w:sz w:val="24"/>
          <w:szCs w:val="24"/>
          <w:lang w:val="sq-AL"/>
        </w:rPr>
        <w:t>çdo veprim ose një grup veprimesh që kryhet mbi të dhënat personale ose grupe të dhënash personale, pavarësisht nëse kryhen me mjete të automatizuara ose jo, të tilla si mbledhja, regjistrimi, organizimi, strukturimi, ruajtja, përshtatja ose ndryshimi, rikthimi, konsultimi, përdorimi, përhapja me anë të transmetimit, shpërndarjes ose vënies në dispozicion në ndonjë mënyrë tjetër, përafrimi ose kombinimi, kufizimi, fshirja ose shkatërrimi.</w:t>
      </w:r>
      <w:r w:rsidRPr="001620BD">
        <w:rPr>
          <w:rFonts w:ascii="Garamond" w:hAnsi="Garamond" w:cs="Times New Roman"/>
          <w:sz w:val="24"/>
          <w:szCs w:val="24"/>
          <w:lang w:val="sq-AL"/>
        </w:rPr>
        <w:t>”.</w:t>
      </w:r>
    </w:p>
    <w:p w14:paraId="3362E610" w14:textId="7689BB9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15. Gjatë vlerësimit të “proceseve/veprimeve të njëjta ose të lidhura të përpunimit” duhet mbajtur parasysh se Zyra e Komisionerit mund të marrë në konsideratë, për vlerësimin e shkeljeve, të gjitha dispozitat ligjore që detyrojnë kryerjen në mënyrë të ligjshme të proceseve/veprimtarive të përpunimit, duke përfshirë për shembull, detyrimet e transparencës (p.sh. neni 13, të </w:t>
      </w:r>
      <w:r w:rsidR="007E1BEE" w:rsidRPr="001620BD">
        <w:rPr>
          <w:rFonts w:ascii="Garamond" w:hAnsi="Garamond" w:cs="Times New Roman"/>
          <w:sz w:val="24"/>
          <w:szCs w:val="24"/>
          <w:lang w:val="sq-AL"/>
        </w:rPr>
        <w:t xml:space="preserve">ligjit për mbrojtjen e të dhënave). </w:t>
      </w:r>
      <w:r w:rsidR="00B021C6" w:rsidRPr="001620BD">
        <w:rPr>
          <w:rFonts w:ascii="Garamond" w:hAnsi="Garamond" w:cs="Times New Roman"/>
          <w:sz w:val="24"/>
          <w:szCs w:val="24"/>
          <w:lang w:val="sq-AL"/>
        </w:rPr>
        <w:t>K</w:t>
      </w:r>
      <w:r w:rsidR="007E1BEE" w:rsidRPr="001620BD">
        <w:rPr>
          <w:rFonts w:ascii="Garamond" w:hAnsi="Garamond" w:cs="Times New Roman"/>
          <w:sz w:val="24"/>
          <w:szCs w:val="24"/>
          <w:lang w:val="sq-AL"/>
        </w:rPr>
        <w:t>jo</w:t>
      </w:r>
      <w:r w:rsidR="00B021C6" w:rsidRPr="001620BD">
        <w:rPr>
          <w:rFonts w:ascii="Garamond" w:hAnsi="Garamond" w:cs="Times New Roman"/>
          <w:sz w:val="24"/>
          <w:szCs w:val="24"/>
          <w:lang w:val="sq-AL"/>
        </w:rPr>
        <w:t xml:space="preserve"> </w:t>
      </w:r>
      <w:r w:rsidRPr="001620BD">
        <w:rPr>
          <w:rFonts w:ascii="Garamond" w:hAnsi="Garamond" w:cs="Times New Roman"/>
          <w:sz w:val="24"/>
          <w:szCs w:val="24"/>
          <w:lang w:val="sq-AL"/>
        </w:rPr>
        <w:t>theksohet edhe me shprehjen “për procese/veprimtari përpunimi të njëjta ose të lidhura”, e cila tregon se objekti i kësaj dispozite përfshin çdo shkelje që lidhet dhe mund të ketë ndikim në të njëjtat procese/veprimtari përpunimi ose të lidhura.</w:t>
      </w:r>
    </w:p>
    <w:p w14:paraId="7420D3F1" w14:textId="600E85A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16. Termi “</w:t>
      </w:r>
      <w:r w:rsidRPr="001620BD">
        <w:rPr>
          <w:rFonts w:ascii="Garamond" w:hAnsi="Garamond" w:cs="Times New Roman"/>
          <w:i/>
          <w:iCs/>
          <w:sz w:val="24"/>
          <w:szCs w:val="24"/>
          <w:lang w:val="sq-AL"/>
        </w:rPr>
        <w:t>i lidhur</w:t>
      </w:r>
      <w:r w:rsidRPr="001620BD">
        <w:rPr>
          <w:rFonts w:ascii="Garamond" w:hAnsi="Garamond" w:cs="Times New Roman"/>
          <w:sz w:val="24"/>
          <w:szCs w:val="24"/>
          <w:lang w:val="sq-AL"/>
        </w:rPr>
        <w:t>” i referohet parimit, sipas të cilit një sjellje unitare/e vetme mund të përbëhet nga disa pjesë që kryhen nga një vullnet unitar/i njëjtë dhe janë të lidhura (në veçanti për</w:t>
      </w:r>
      <w:r w:rsidR="00CC0D9C" w:rsidRPr="001620BD">
        <w:rPr>
          <w:rFonts w:ascii="Garamond" w:hAnsi="Garamond" w:cs="Times New Roman"/>
          <w:sz w:val="24"/>
          <w:szCs w:val="24"/>
          <w:lang w:val="sq-AL"/>
        </w:rPr>
        <w:t xml:space="preserve"> </w:t>
      </w:r>
      <w:r w:rsidRPr="001620BD">
        <w:rPr>
          <w:rFonts w:ascii="Garamond" w:hAnsi="Garamond" w:cs="Times New Roman"/>
          <w:sz w:val="24"/>
          <w:szCs w:val="24"/>
          <w:lang w:val="sq-AL"/>
        </w:rPr>
        <w:t>sa i përket identitetit të subjektit të të dhënave, qëllimit dhe natyrës së përpunimit), në hapësirë dhe kohë, aq ngushtësisht sa një vëzhgues i jashtëm do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 konsideronte ato si një sjellje koherente. Në mënyrë që të zbatohen parimet, të parandalohen shkeljet dhe të zbatohet në mënyrë efektive ligji, është e rëndësishme që të prezumohet ekzistenca e një lidhje të mjaftueshme midis proceseve/veprimtarive të përpunimit. Prandaj, këto aspekte të marrëdhënieve për një lidhje të mjaftueshme midis proceseve/veprimtarive të përpunimit duhet të vlerësohen rast pas rasti.</w:t>
      </w:r>
    </w:p>
    <w:tbl>
      <w:tblPr>
        <w:tblStyle w:val="TableGrid"/>
        <w:tblW w:w="5000" w:type="pct"/>
        <w:jc w:val="center"/>
        <w:tblLook w:val="04A0" w:firstRow="1" w:lastRow="0" w:firstColumn="1" w:lastColumn="0" w:noHBand="0" w:noVBand="1"/>
      </w:tblPr>
      <w:tblGrid>
        <w:gridCol w:w="9350"/>
      </w:tblGrid>
      <w:tr w:rsidR="001620BD" w:rsidRPr="001620BD" w14:paraId="05F28945" w14:textId="77777777" w:rsidTr="00FA1E34">
        <w:trPr>
          <w:trHeight w:val="1799"/>
          <w:jc w:val="center"/>
        </w:trPr>
        <w:tc>
          <w:tcPr>
            <w:tcW w:w="5000" w:type="pct"/>
          </w:tcPr>
          <w:p w14:paraId="1D1E0EF7" w14:textId="62A10E99"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b/>
                <w:bCs/>
                <w:i/>
                <w:iCs/>
                <w:sz w:val="24"/>
                <w:szCs w:val="24"/>
                <w:lang w:val="sq-AL"/>
              </w:rPr>
              <w:t>Shembulli 1a</w:t>
            </w:r>
            <w:r w:rsidR="007E1BEE" w:rsidRPr="001620BD">
              <w:rPr>
                <w:rFonts w:ascii="Garamond" w:hAnsi="Garamond" w:cs="Times New Roman"/>
                <w:b/>
                <w:bCs/>
                <w:i/>
                <w:iCs/>
                <w:sz w:val="24"/>
                <w:szCs w:val="24"/>
                <w:lang w:val="sq-AL"/>
              </w:rPr>
              <w:t>.</w:t>
            </w:r>
            <w:r w:rsidRPr="001620BD">
              <w:rPr>
                <w:rFonts w:ascii="Garamond" w:hAnsi="Garamond" w:cs="Times New Roman"/>
                <w:i/>
                <w:iCs/>
                <w:sz w:val="24"/>
                <w:szCs w:val="24"/>
                <w:lang w:val="sq-AL"/>
              </w:rPr>
              <w:t xml:space="preserve"> </w:t>
            </w:r>
            <w:r w:rsidRPr="001620BD">
              <w:rPr>
                <w:rFonts w:ascii="Garamond" w:hAnsi="Garamond" w:cs="Times New Roman"/>
                <w:b/>
                <w:bCs/>
                <w:i/>
                <w:iCs/>
                <w:sz w:val="24"/>
                <w:szCs w:val="24"/>
                <w:lang w:val="sq-AL"/>
              </w:rPr>
              <w:t>Procese/veprimtari të njëjta ose të lidhura përpunimi</w:t>
            </w:r>
          </w:p>
          <w:p w14:paraId="2530C8A3" w14:textId="77777777"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Një institucion financiar kërkon, nga një agjenci raportimi kredish (ARK), kryerjen e një kontrolli aftësie kredie shlyerës për një kredimarrës të caktuar. Institucioni financiar e merr këtë informacion dhe e ruan në sistemin e tij.</w:t>
            </w:r>
          </w:p>
          <w:p w14:paraId="6D699127" w14:textId="0C86786F" w:rsidR="00133485" w:rsidRPr="001620BD" w:rsidRDefault="00133485" w:rsidP="007E1BEE">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t>Megjithëse mbledhja dhe ruajtja e të dhënave të aftësisë kredi shlyrëse, nga institucioni financiar përbëjnë secila operacione/veprimtari përpunimi në vetvete, ato formojnë një grup operacionesh/veprimtarish përpunimi që kryhen me të njëjtin vullnet dhe janë të lidhura, në hapësirë dhe kohë, në një mënyrë kaq të ngushtë me njëra-tjetrën, saqë një vëzhgues i jashtëm do t</w:t>
            </w:r>
            <w:r w:rsidR="007E1BEE" w:rsidRPr="001620BD">
              <w:rPr>
                <w:rFonts w:ascii="Garamond" w:hAnsi="Garamond" w:cs="Times New Roman"/>
                <w:i/>
                <w:iCs/>
                <w:sz w:val="24"/>
                <w:szCs w:val="24"/>
                <w:lang w:val="sq-AL"/>
              </w:rPr>
              <w:t>’</w:t>
            </w:r>
            <w:r w:rsidRPr="001620BD">
              <w:rPr>
                <w:rFonts w:ascii="Garamond" w:hAnsi="Garamond" w:cs="Times New Roman"/>
                <w:i/>
                <w:iCs/>
                <w:sz w:val="24"/>
                <w:szCs w:val="24"/>
                <w:lang w:val="sq-AL"/>
              </w:rPr>
              <w:t>i konsideronte ato si një sjellje të vetme. Prandaj, operacionet/veprimtaritë e përpunimit të kryera nga institucioni financiar duhet të konsiderohen si të “lidhura” dhe përbëjnë të njëjtën sjellje.</w:t>
            </w:r>
          </w:p>
        </w:tc>
      </w:tr>
      <w:tr w:rsidR="001620BD" w:rsidRPr="001620BD" w14:paraId="13D78977" w14:textId="77777777" w:rsidTr="00FA1E34">
        <w:trPr>
          <w:trHeight w:val="47"/>
          <w:jc w:val="center"/>
        </w:trPr>
        <w:tc>
          <w:tcPr>
            <w:tcW w:w="5000" w:type="pct"/>
          </w:tcPr>
          <w:p w14:paraId="50E7C9A6" w14:textId="4C204CCB"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b/>
                <w:bCs/>
                <w:i/>
                <w:iCs/>
                <w:sz w:val="24"/>
                <w:szCs w:val="24"/>
                <w:lang w:val="sq-AL"/>
              </w:rPr>
              <w:t>Shembulli 1b</w:t>
            </w:r>
            <w:r w:rsidR="007E1BEE" w:rsidRPr="001620BD">
              <w:rPr>
                <w:rFonts w:ascii="Garamond" w:hAnsi="Garamond" w:cs="Times New Roman"/>
                <w:b/>
                <w:bCs/>
                <w:i/>
                <w:iCs/>
                <w:sz w:val="24"/>
                <w:szCs w:val="24"/>
                <w:lang w:val="sq-AL"/>
              </w:rPr>
              <w:t>.</w:t>
            </w:r>
            <w:r w:rsidRPr="001620BD">
              <w:rPr>
                <w:rFonts w:ascii="Garamond" w:hAnsi="Garamond" w:cs="Times New Roman"/>
                <w:i/>
                <w:iCs/>
                <w:sz w:val="24"/>
                <w:szCs w:val="24"/>
                <w:lang w:val="sq-AL"/>
              </w:rPr>
              <w:t xml:space="preserve"> </w:t>
            </w:r>
            <w:r w:rsidRPr="001620BD">
              <w:rPr>
                <w:rFonts w:ascii="Garamond" w:hAnsi="Garamond" w:cs="Times New Roman"/>
                <w:b/>
                <w:bCs/>
                <w:i/>
                <w:iCs/>
                <w:sz w:val="24"/>
                <w:szCs w:val="24"/>
                <w:lang w:val="sq-AL"/>
              </w:rPr>
              <w:t>Procese/veprimtari të njëjta ose të lidhura përpunimi</w:t>
            </w:r>
          </w:p>
          <w:p w14:paraId="672FC2E3" w14:textId="511A9FA6"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Një ndërmjetës të dhënash vendos të ndërmarrë një veprimtari të re përpunimi: ai vendos të mbledhë – si palë e tretë – historinë e transaksioneve me konsumatorët nga dhjetëra shitës me pakicë, pa një bazë ligjore për këtë, me qëllim kryerjen e analizave psikometrike për të parashikuar sjelljet e ardhshme të individëve, përfshirë sjelljen/anësinë e tyre në votime politike, vullnetin për të lënë punën etj. Në të njëjtin vendim, ndërmjetësi i të dhënave vendos të mos e regjistrojë këtë procedurë në regjistrat e veprimtarive të përpunimit, të mos informojë subjektet e të dhënave dhe të shpërfillë çdo kërkesë për akses të tyre në lidhje me operacionet e reja të përpunimit.</w:t>
            </w:r>
          </w:p>
          <w:p w14:paraId="79CBA074" w14:textId="77777777"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Veprimet e përpunimit të përfshira në këtë veprimtari përpunuese formojnë një sërë procesesh/veprimtarish përpunimi që kryhen me një vullnet unitar/të njëjtë dhe janë të lidhura në hapësirë dhe kohë. Ato duhet të konsiderohen si të “lidhura” dhe që formojnë të njëjtën sjellje. Këtu përfshihet edhe mosregjistrimi i veprimtarisë së përpunimit në regjistrat përkatës, mosinformimi i subjekteve të të dhënave dhe mospërcaktimi i procedurave për të respektuar të drejtën e aksesit në lidhje me operacionet e reja të përpunimit. Këto detyrime janë shkelur për proceset/veprimtaritë e lidhura të përpunimit.</w:t>
            </w:r>
          </w:p>
        </w:tc>
      </w:tr>
    </w:tbl>
    <w:p w14:paraId="4EC14F81"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59F75139" w14:textId="77777777" w:rsidTr="00FA1E34">
        <w:trPr>
          <w:jc w:val="center"/>
        </w:trPr>
        <w:tc>
          <w:tcPr>
            <w:tcW w:w="5000" w:type="pct"/>
          </w:tcPr>
          <w:p w14:paraId="3B9E1E5D" w14:textId="4FF71800"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b/>
                <w:bCs/>
                <w:i/>
                <w:iCs/>
                <w:sz w:val="24"/>
                <w:szCs w:val="24"/>
                <w:lang w:val="sq-AL"/>
              </w:rPr>
              <w:t>Shembulli 1c</w:t>
            </w:r>
            <w:r w:rsidR="007E1BEE" w:rsidRPr="001620BD">
              <w:rPr>
                <w:rFonts w:ascii="Garamond" w:hAnsi="Garamond" w:cs="Times New Roman"/>
                <w:b/>
                <w:bCs/>
                <w:i/>
                <w:iCs/>
                <w:sz w:val="24"/>
                <w:szCs w:val="24"/>
                <w:lang w:val="sq-AL"/>
              </w:rPr>
              <w:t>.</w:t>
            </w:r>
            <w:r w:rsidRPr="001620BD">
              <w:rPr>
                <w:rFonts w:ascii="Garamond" w:hAnsi="Garamond" w:cs="Times New Roman"/>
                <w:i/>
                <w:iCs/>
                <w:sz w:val="24"/>
                <w:szCs w:val="24"/>
                <w:lang w:val="sq-AL"/>
              </w:rPr>
              <w:t xml:space="preserve"> </w:t>
            </w:r>
            <w:r w:rsidRPr="001620BD">
              <w:rPr>
                <w:rFonts w:ascii="Garamond" w:hAnsi="Garamond" w:cs="Times New Roman"/>
                <w:b/>
                <w:bCs/>
                <w:i/>
                <w:iCs/>
                <w:sz w:val="24"/>
                <w:szCs w:val="24"/>
                <w:lang w:val="sq-AL"/>
              </w:rPr>
              <w:t>Procese përpunimi të ndryshme dhe të pavarura</w:t>
            </w:r>
          </w:p>
          <w:p w14:paraId="3BFFAD01" w14:textId="5560A505"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lastRenderedPageBreak/>
              <w:t>i) Një kontrollues në fushën e ndërtimit kryen kontrollin e historikut të një kandidati për punë. Kontrolli i historikut përfshin edhe orientimin politik, anëtarësimin në sindikata dhe orientimin seksual.</w:t>
            </w:r>
          </w:p>
          <w:p w14:paraId="4AFE1753" w14:textId="77A795AB"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ii) Pesë ditë më vonë, subjekti në fjalë kërkon nga kontraktorët e tij (tregtarët individualë) një vetëdeklarim të tepruar në lidhje me marrëveshjet e tyre të biznesit me palë të tjera, pavarësisht se kjo nuk lidhet me kontratën në fuqi midis tyre ose detyrimet e përputhshmërisë ligjore, të përcaktuara nga legjislacioni i fushës. </w:t>
            </w:r>
          </w:p>
          <w:p w14:paraId="57BE9E68" w14:textId="7325ADB0"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iii) Një javë më vonë, kontrolluesi në fjalë bëhet subjekt cenimi (rrjedhjeje/humbjeje – data breach) të të dhënave të përpunuara prej tij. Rrjeti i kontrolluesit është hakeruar – pavarësisht se ka masa të përshtatshme teknike dhe organizative – dhe hakeri përkatës ka fituar akses në një sistem që përpunon të dhënat personale të qytetarëve që kishin paraqitur kërkesa pranë kontrolluesit në fjalë. Pavarësisht se të dhënat ishin enkriptuar në mënyrë të përshtatshme në përputhje me standardet e zbatueshme, hakeri është në gjendje t</w:t>
            </w:r>
            <w:r w:rsidR="007E1BEE" w:rsidRPr="001620BD">
              <w:rPr>
                <w:rFonts w:ascii="Garamond" w:hAnsi="Garamond" w:cs="Times New Roman"/>
                <w:i/>
                <w:iCs/>
                <w:sz w:val="24"/>
                <w:szCs w:val="24"/>
                <w:lang w:val="sq-AL"/>
              </w:rPr>
              <w:t>’</w:t>
            </w:r>
            <w:r w:rsidRPr="001620BD">
              <w:rPr>
                <w:rFonts w:ascii="Garamond" w:hAnsi="Garamond" w:cs="Times New Roman"/>
                <w:i/>
                <w:iCs/>
                <w:sz w:val="24"/>
                <w:szCs w:val="24"/>
                <w:lang w:val="sq-AL"/>
              </w:rPr>
              <w:t>i thyejë ato me teknologjinë e deshifrimit ushtarak dhe i shet të dhënat në rrjetin e errët (dark web). Subjekti i ndërtimit nuk njofton Zyrën e Komisionerit për cenimin (data breach) në fjalë, pavarësisht detyrimit të tij për ta bërë këtë.</w:t>
            </w:r>
          </w:p>
          <w:p w14:paraId="30C6E977" w14:textId="77777777" w:rsidR="00133485" w:rsidRPr="001620BD" w:rsidRDefault="00133485" w:rsidP="007E1BEE">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t>Proceset/veprimtaritë e përpunimit në këtë rast, d.m.th. kontrolli i historikut të kandidatit për punë, kërkesat për vetëdeklarim drejtuar kontraktorëve dhe mosnjoftimi i Zyrës së Komisionerit për cenimin e të dhënave personale, nuk janë të lidhura në vetvete. Prandaj, ato nuk duhet të konsiderohen si procese/veprimtari “të lidhura”, por, përkundrazi, ato përbëjnë sjellje të ndryshme (jo të njëjta).</w:t>
            </w:r>
          </w:p>
        </w:tc>
      </w:tr>
    </w:tbl>
    <w:p w14:paraId="7FF3CD1F"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p w14:paraId="47112129" w14:textId="59F6227D"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17. Kur konstatohet se rrethanat e çështjes përbëjnë të njëjtën sjellje dhe shkaktojnë një shkelje të vetme, sanksioni mund të përllogaritet bazuar në atë shkelje dhe në tavanin ligjor për masën e sanksionit. Megjithatë, nëse rrethanat e çështjes formojnë të njëjtën sjellje, por kjo sjellje shkakton jo vetëm një, por disa shkelje, duhet të vërtetohet nëse ato shkelje përjashtojnë njëra-tjetrën (</w:t>
      </w:r>
      <w:r w:rsidR="007E1BEE" w:rsidRPr="001620BD">
        <w:rPr>
          <w:rFonts w:ascii="Garamond" w:hAnsi="Garamond" w:cs="Times New Roman"/>
          <w:sz w:val="24"/>
          <w:szCs w:val="24"/>
          <w:lang w:val="sq-AL"/>
        </w:rPr>
        <w:t>n</w:t>
      </w:r>
      <w:r w:rsidRPr="001620BD">
        <w:rPr>
          <w:rFonts w:ascii="Garamond" w:hAnsi="Garamond" w:cs="Times New Roman"/>
          <w:sz w:val="24"/>
          <w:szCs w:val="24"/>
          <w:lang w:val="sq-AL"/>
        </w:rPr>
        <w:t>ënkapitulli 3.1.1), apo bashkëqendrojnë/nënrenditen te njëra-tjetra (</w:t>
      </w:r>
      <w:r w:rsidR="007E1BEE" w:rsidRPr="001620BD">
        <w:rPr>
          <w:rFonts w:ascii="Garamond" w:hAnsi="Garamond" w:cs="Times New Roman"/>
          <w:sz w:val="24"/>
          <w:szCs w:val="24"/>
          <w:lang w:val="sq-AL"/>
        </w:rPr>
        <w:t>k</w:t>
      </w:r>
      <w:r w:rsidRPr="001620BD">
        <w:rPr>
          <w:rFonts w:ascii="Garamond" w:hAnsi="Garamond" w:cs="Times New Roman"/>
          <w:sz w:val="24"/>
          <w:szCs w:val="24"/>
          <w:lang w:val="sq-AL"/>
        </w:rPr>
        <w:t xml:space="preserve">apitulli 3.1.2). Kur rrethanat e çështjes formojnë sjellje të shumta, ato duhet të konsiderohen si një tërësi veprimesh dhe të trajtohen në përputhje me </w:t>
      </w:r>
      <w:r w:rsidR="007E1BEE" w:rsidRPr="001620BD">
        <w:rPr>
          <w:rFonts w:ascii="Garamond" w:hAnsi="Garamond" w:cs="Times New Roman"/>
          <w:sz w:val="24"/>
          <w:szCs w:val="24"/>
          <w:lang w:val="sq-AL"/>
        </w:rPr>
        <w:t>k</w:t>
      </w:r>
      <w:r w:rsidRPr="001620BD">
        <w:rPr>
          <w:rFonts w:ascii="Garamond" w:hAnsi="Garamond" w:cs="Times New Roman"/>
          <w:sz w:val="24"/>
          <w:szCs w:val="24"/>
          <w:lang w:val="sq-AL"/>
        </w:rPr>
        <w:t>apitullin 3.2.</w:t>
      </w:r>
    </w:p>
    <w:p w14:paraId="77320852" w14:textId="1E131EA3" w:rsidR="00133485" w:rsidRPr="001620BD" w:rsidRDefault="00133485" w:rsidP="00133485">
      <w:pPr>
        <w:pStyle w:val="TEKSTIIIII"/>
        <w:rPr>
          <w:b/>
          <w:color w:val="auto"/>
        </w:rPr>
      </w:pPr>
      <w:bookmarkStart w:id="9" w:name="_Toc203658648"/>
      <w:r w:rsidRPr="001620BD">
        <w:rPr>
          <w:b/>
          <w:color w:val="auto"/>
        </w:rPr>
        <w:t>3.1.1 Konkurrenca e shkeljeve</w:t>
      </w:r>
      <w:bookmarkEnd w:id="9"/>
    </w:p>
    <w:p w14:paraId="5576173E" w14:textId="5D5AC83C"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18. Parimi i konkurrencës së shkeljeve</w:t>
      </w:r>
      <w:r w:rsidRPr="001620BD">
        <w:rPr>
          <w:rStyle w:val="FootnoteReference"/>
          <w:rFonts w:ascii="Garamond" w:hAnsi="Garamond" w:cs="Times New Roman"/>
          <w:sz w:val="24"/>
          <w:szCs w:val="24"/>
          <w:lang w:val="sq-AL"/>
        </w:rPr>
        <w:footnoteReference w:id="4"/>
      </w:r>
      <w:r w:rsidRPr="001620BD">
        <w:rPr>
          <w:rFonts w:ascii="Garamond" w:hAnsi="Garamond" w:cs="Times New Roman"/>
          <w:sz w:val="24"/>
          <w:szCs w:val="24"/>
          <w:lang w:val="sq-AL"/>
        </w:rPr>
        <w:t xml:space="preserve"> është i zbatueshëm në çdo rast kur zbatimi i një dispozite të ligjit përjashton ose përthith zbatimin e një dispozite tjetër. Me fjalë të tjera, konkurrenca ndodh tashmë në nivelin abstrakt të dispozitave ligjore. Kjo mund të ndodhë bazuar në parimin e specialitetit, subsidiaritetit ose konsumit, të cilët shpesh janë të zbatueshëm kur dispozitat e ligjit mbrojnë të njëjtin interes ligjor. Në raste të tilla, do të ishte e paligjshme të sanksionohej dy herë shkelësi për të njëjtën shkelje.</w:t>
      </w:r>
    </w:p>
    <w:p w14:paraId="2E667D44" w14:textId="4AA1505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19. Në rastin e konkurrencës së shkeljeve, masa e sanksionit duhet të përllogaritet vetëm në bazë të shkeljes së identifikuar sipas rregullave të mësipërme (shkelja mbizotëruese).</w:t>
      </w:r>
    </w:p>
    <w:p w14:paraId="2CE06814" w14:textId="77777777" w:rsidR="00133485" w:rsidRPr="001620BD" w:rsidRDefault="00133485" w:rsidP="00997B7B">
      <w:pPr>
        <w:pStyle w:val="TEKSTIIIII"/>
        <w:rPr>
          <w:b/>
          <w:color w:val="auto"/>
        </w:rPr>
      </w:pPr>
      <w:bookmarkStart w:id="10" w:name="_Toc203658649"/>
      <w:r w:rsidRPr="001620BD">
        <w:rPr>
          <w:b/>
          <w:color w:val="auto"/>
        </w:rPr>
        <w:t>Parimi i specialitetit</w:t>
      </w:r>
      <w:bookmarkEnd w:id="10"/>
    </w:p>
    <w:p w14:paraId="3805A0F5" w14:textId="3955A5CD"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20. Parimi i specialitetit (</w:t>
      </w:r>
      <w:r w:rsidRPr="001620BD">
        <w:rPr>
          <w:rFonts w:ascii="Garamond" w:hAnsi="Garamond" w:cs="Times New Roman"/>
          <w:i/>
          <w:iCs/>
          <w:sz w:val="24"/>
          <w:szCs w:val="24"/>
          <w:lang w:val="sq-AL"/>
        </w:rPr>
        <w:t>specialia generalibus derogant</w:t>
      </w:r>
      <w:r w:rsidRPr="001620BD">
        <w:rPr>
          <w:rFonts w:ascii="Garamond" w:hAnsi="Garamond" w:cs="Times New Roman"/>
          <w:sz w:val="24"/>
          <w:szCs w:val="24"/>
          <w:lang w:val="sq-AL"/>
        </w:rPr>
        <w:t>) është një parim juridik që nënkupton se një dispozitë më specifike (që rrjedh nga i njëjti akt ligjor ose akte të ndryshme ligjore të së njëjtës fuqi juridike) zëvendëson një dispozitë më të përgjithshme, megjithëse të dyja ndjekin të njëjtin objektiv. Shkelja më specifike konsiderohet ndonjëherë si një “lloj i kualifikuar” shkeljeje krahasuar me atë më pak specifike. Lloji i kualifikuar i shkeljes mund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 nënshtrohet një niveli më të lartë sanksioni, një tavani ligjor më të lartë ose një afati më të gjatë parashkrimi.</w:t>
      </w:r>
    </w:p>
    <w:p w14:paraId="4AFC9ABD" w14:textId="25C6700F"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21. Megjithatë, ndonjëherë, nëpërmjet teknikës së interpretimit, parimi i specialitetit mund të zbatohet edhe në rastet kur, për shkak të natyrës dhe sistematikës, një shkelje konsiderohet si kualifikim i një shkeljeje tjetër dukshëm më specifike, ndonëse formulimi i saj nuk përmend në mënyrë eksplicite një element shtesë.</w:t>
      </w:r>
    </w:p>
    <w:p w14:paraId="57C9264A" w14:textId="2994F98C"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22. Kur dy dispozita ndjekin objektiva të ndryshëm nga njëra-tjetra, ky përbën një faktor diferencues që justifikon vendosjen e sanksioneve të veçanta. Për shembull, nëse një shkelje e një </w:t>
      </w:r>
      <w:r w:rsidRPr="001620BD">
        <w:rPr>
          <w:rFonts w:ascii="Garamond" w:hAnsi="Garamond" w:cs="Times New Roman"/>
          <w:sz w:val="24"/>
          <w:szCs w:val="24"/>
          <w:lang w:val="sq-AL"/>
        </w:rPr>
        <w:lastRenderedPageBreak/>
        <w:t>dispozite rezulton automatikisht në shkelje të tjetrës, por e kundërta nuk ndodh, këto shkelje ndjekin objektiva të ndryshëm.</w:t>
      </w:r>
    </w:p>
    <w:p w14:paraId="5ACED8B8" w14:textId="056B7129"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23. Parimi i specialitetit mund të zbatohet vetëm nëse, si dhe për aq sa, objektivat e ndjekur nga shkeljet përkatëse janë në të vërtetë të ngjashme në çështjen individuale. Meqenëse, parimet e mbrojtjes së të dhënave, të parashikuara në nenin 6 të </w:t>
      </w:r>
      <w:r w:rsidR="007E1BEE" w:rsidRPr="001620BD">
        <w:rPr>
          <w:rFonts w:ascii="Garamond" w:hAnsi="Garamond" w:cs="Times New Roman"/>
          <w:sz w:val="24"/>
          <w:szCs w:val="24"/>
          <w:lang w:val="sq-AL"/>
        </w:rPr>
        <w:t>ligjit për mbrojtjen e të dhënave</w:t>
      </w:r>
      <w:r w:rsidRPr="001620BD">
        <w:rPr>
          <w:rFonts w:ascii="Garamond" w:hAnsi="Garamond" w:cs="Times New Roman"/>
          <w:sz w:val="24"/>
          <w:szCs w:val="24"/>
          <w:lang w:val="sq-AL"/>
        </w:rPr>
        <w:t xml:space="preserve">, janë përcaktuar si koncepte gjithëpërfshirëse, mund të ketë situata kur dispozita të tjera janë konkretizim i këtij parimi, por që nuk e kufizojnë parimin në tërësinë e tij. Me fjalë të tjera, një dispozitë nuk përcakton gjithmonë shtrirjen e plotë të parimit. Prandaj, në varësi të rrethanave, në disa raste, ato mbivendosen në mënyrë të ngjashme dhe një shkelje mund të zëvendësojë tjetrën, ndërsa në raste të tjera mbivendosja është vetëm e pjesshme dhe për këtë arsye jo plotësisht e njëjtë. Përderisa ato nuk janë të ngjashme, nuk ka përputhje të shkeljeve. Në vend të kësaj, ato mund të konsiderohen krahas njëra-tjetrës, në kuadër të përllogaritjes së sanksionit. </w:t>
      </w:r>
    </w:p>
    <w:p w14:paraId="4C5D0401" w14:textId="77777777" w:rsidR="00133485" w:rsidRPr="001620BD" w:rsidRDefault="00133485" w:rsidP="00133485">
      <w:pPr>
        <w:pStyle w:val="Heading3"/>
        <w:spacing w:before="0" w:line="240" w:lineRule="auto"/>
        <w:ind w:firstLine="284"/>
        <w:rPr>
          <w:rFonts w:ascii="Garamond" w:hAnsi="Garamond"/>
          <w:b/>
          <w:color w:val="auto"/>
          <w:lang w:val="sq-AL"/>
        </w:rPr>
      </w:pPr>
      <w:bookmarkStart w:id="11" w:name="_Toc203658650"/>
      <w:r w:rsidRPr="001620BD">
        <w:rPr>
          <w:rFonts w:ascii="Garamond" w:hAnsi="Garamond"/>
          <w:b/>
          <w:color w:val="auto"/>
          <w:lang w:val="sq-AL"/>
        </w:rPr>
        <w:t>Parimi i subsidiaritetit</w:t>
      </w:r>
      <w:bookmarkEnd w:id="11"/>
    </w:p>
    <w:p w14:paraId="276F6931" w14:textId="48C5A6F9"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24. Një formë tjetër e konkurrencës së shkeljeve shpesh përmendet si parimi i subsidiaritetit. Ai zbatohet nëse një shkelje konsiderohet si subsidiare e një shkeljeje tjetër. Kjo mund të ndodhë ose sepse ligji parashikon formalisht subsidiaritetin ose sepse subsidiariteti ekziston për arsye materiale. Ky i fundit mund të jetë rasti kur shkeljet kanë të njëjtin objektiv, por njëra përmban një rëndesë më të vogël në raport me tjetrën (p.sh., një shkelje e natyrës administrative mund të jetë subsidiare ndaj një shkeljeje të natyrës penale etj.).</w:t>
      </w:r>
    </w:p>
    <w:p w14:paraId="78233392" w14:textId="77777777" w:rsidR="00133485" w:rsidRPr="001620BD" w:rsidRDefault="00133485" w:rsidP="00133485">
      <w:pPr>
        <w:pStyle w:val="Heading3"/>
        <w:spacing w:before="0" w:line="240" w:lineRule="auto"/>
        <w:ind w:firstLine="284"/>
        <w:rPr>
          <w:rFonts w:ascii="Garamond" w:hAnsi="Garamond"/>
          <w:b/>
          <w:color w:val="auto"/>
          <w:lang w:val="sq-AL"/>
        </w:rPr>
      </w:pPr>
      <w:bookmarkStart w:id="12" w:name="_Toc203658651"/>
      <w:r w:rsidRPr="001620BD">
        <w:rPr>
          <w:rFonts w:ascii="Garamond" w:hAnsi="Garamond"/>
          <w:b/>
          <w:color w:val="auto"/>
          <w:lang w:val="sq-AL"/>
        </w:rPr>
        <w:t>Parimi i konsumit</w:t>
      </w:r>
      <w:bookmarkEnd w:id="12"/>
    </w:p>
    <w:p w14:paraId="797E5FC5" w14:textId="777F70B1"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25. Parimi i konsumit zbatohet në rastet kur shkelja e njërës dispozitë sjell shkeljen e tjetrës, shpesh për shkak se njëra shkelje i paraprin tjetrës.</w:t>
      </w:r>
    </w:p>
    <w:p w14:paraId="002D12F7" w14:textId="426E20C0" w:rsidR="00133485" w:rsidRPr="001620BD" w:rsidRDefault="00133485" w:rsidP="00133485">
      <w:pPr>
        <w:pStyle w:val="Heading3"/>
        <w:spacing w:before="0" w:line="240" w:lineRule="auto"/>
        <w:ind w:firstLine="284"/>
        <w:rPr>
          <w:rFonts w:ascii="Garamond" w:hAnsi="Garamond"/>
          <w:b/>
          <w:color w:val="auto"/>
          <w:lang w:val="sq-AL"/>
        </w:rPr>
      </w:pPr>
      <w:bookmarkStart w:id="13" w:name="_Toc203658652"/>
      <w:r w:rsidRPr="001620BD">
        <w:rPr>
          <w:rFonts w:ascii="Garamond" w:hAnsi="Garamond"/>
          <w:b/>
          <w:color w:val="auto"/>
          <w:lang w:val="sq-AL"/>
        </w:rPr>
        <w:t xml:space="preserve">3.1.2 Uniteti i veprimit </w:t>
      </w:r>
      <w:r w:rsidR="007E1BEE" w:rsidRPr="001620BD">
        <w:rPr>
          <w:rFonts w:ascii="Garamond" w:hAnsi="Garamond"/>
          <w:b/>
          <w:color w:val="auto"/>
          <w:lang w:val="sq-AL"/>
        </w:rPr>
        <w:t>– n</w:t>
      </w:r>
      <w:r w:rsidRPr="001620BD">
        <w:rPr>
          <w:rFonts w:ascii="Garamond" w:hAnsi="Garamond"/>
          <w:b/>
          <w:color w:val="auto"/>
          <w:lang w:val="sq-AL"/>
        </w:rPr>
        <w:t>eni 93(3) i ligjit</w:t>
      </w:r>
      <w:bookmarkEnd w:id="13"/>
    </w:p>
    <w:p w14:paraId="5C3D2DB9" w14:textId="466E52A0"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26. Në mënyrë të ngjashme me situatën e konkurrencës së shkeljeve, parimi i unitetit të veprimit</w:t>
      </w:r>
      <w:r w:rsidRPr="001620BD">
        <w:rPr>
          <w:rStyle w:val="FootnoteReference"/>
          <w:rFonts w:ascii="Garamond" w:hAnsi="Garamond" w:cs="Times New Roman"/>
          <w:sz w:val="24"/>
          <w:szCs w:val="24"/>
          <w:lang w:val="sq-AL"/>
        </w:rPr>
        <w:footnoteReference w:id="5"/>
      </w:r>
      <w:r w:rsidRPr="001620BD">
        <w:rPr>
          <w:rFonts w:ascii="Garamond" w:hAnsi="Garamond" w:cs="Times New Roman"/>
          <w:sz w:val="24"/>
          <w:szCs w:val="24"/>
          <w:lang w:val="sq-AL"/>
        </w:rPr>
        <w:t xml:space="preserve"> zbatohet në rastet kur një sjellje është objekt rregullimi nga disa dispozita ligjore, me ndryshimin se asnjë dispozitë nuk përjashtohet si dhe nuk përthithet te tjetra, sepse nuk bien në fushën e zbatimit të parimeve të specialitetit, subsidiaritetit apo konsumit dhe, më së shumti, ndjekin objektiva të </w:t>
      </w:r>
      <w:r w:rsidR="00D75708" w:rsidRPr="001620BD">
        <w:rPr>
          <w:rFonts w:ascii="Garamond" w:hAnsi="Garamond" w:cs="Times New Roman"/>
          <w:sz w:val="24"/>
          <w:szCs w:val="24"/>
          <w:lang w:val="sq-AL"/>
        </w:rPr>
        <w:t>ndryshëm</w:t>
      </w:r>
      <w:r w:rsidRPr="001620BD">
        <w:rPr>
          <w:rFonts w:ascii="Garamond" w:hAnsi="Garamond" w:cs="Times New Roman"/>
          <w:sz w:val="24"/>
          <w:szCs w:val="24"/>
          <w:lang w:val="sq-AL"/>
        </w:rPr>
        <w:t>.</w:t>
      </w:r>
    </w:p>
    <w:p w14:paraId="3210018E" w14:textId="00491B1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27. Parimi i unitetit të veprimit është specifikuar në pikën 3 të nenit 93 të </w:t>
      </w:r>
      <w:r w:rsidR="007E1BEE" w:rsidRPr="001620BD">
        <w:rPr>
          <w:rFonts w:ascii="Garamond" w:hAnsi="Garamond" w:cs="Times New Roman"/>
          <w:sz w:val="24"/>
          <w:szCs w:val="24"/>
          <w:lang w:val="sq-AL"/>
        </w:rPr>
        <w:t xml:space="preserve">ligjit për mbrojtjen e të dhënave në formën e </w:t>
      </w:r>
      <w:r w:rsidRPr="001620BD">
        <w:rPr>
          <w:rFonts w:ascii="Garamond" w:hAnsi="Garamond" w:cs="Times New Roman"/>
          <w:sz w:val="24"/>
          <w:szCs w:val="24"/>
          <w:lang w:val="sq-AL"/>
        </w:rPr>
        <w:t>një “</w:t>
      </w:r>
      <w:r w:rsidRPr="001620BD">
        <w:rPr>
          <w:rFonts w:ascii="Garamond" w:hAnsi="Garamond" w:cs="Times New Roman"/>
          <w:i/>
          <w:iCs/>
          <w:sz w:val="24"/>
          <w:szCs w:val="24"/>
          <w:lang w:val="sq-AL"/>
        </w:rPr>
        <w:t>uniteti përpunimi</w:t>
      </w:r>
      <w:r w:rsidRPr="001620BD">
        <w:rPr>
          <w:rFonts w:ascii="Garamond" w:hAnsi="Garamond" w:cs="Times New Roman"/>
          <w:sz w:val="24"/>
          <w:szCs w:val="24"/>
          <w:lang w:val="sq-AL"/>
        </w:rPr>
        <w:t xml:space="preserve">”. Është e rëndësishme të kuptohet se pika 3 e nenit 93 të </w:t>
      </w:r>
      <w:r w:rsidR="007E1BEE" w:rsidRPr="001620BD">
        <w:rPr>
          <w:rFonts w:ascii="Garamond" w:hAnsi="Garamond" w:cs="Times New Roman"/>
          <w:sz w:val="24"/>
          <w:szCs w:val="24"/>
          <w:lang w:val="sq-AL"/>
        </w:rPr>
        <w:t xml:space="preserve">ligjit për mbrojtjen e të dhënave është </w:t>
      </w:r>
      <w:r w:rsidRPr="001620BD">
        <w:rPr>
          <w:rFonts w:ascii="Garamond" w:hAnsi="Garamond" w:cs="Times New Roman"/>
          <w:sz w:val="24"/>
          <w:szCs w:val="24"/>
          <w:lang w:val="sq-AL"/>
        </w:rPr>
        <w:t>e kufizuar në zbatimin e tij dhe nuk do të zbatohet për çdo rast në të cilin konstatohet se kanë ndodhur shkelje të shumëfishta, por vetëm për ato raste kur shkeljet e shumëfishta kanë rezultuar nga procese/veprimtari të njëjta, ose të lidhura përpunimi siç shpjegohet më sipër.</w:t>
      </w:r>
      <w:r w:rsidRPr="001620BD">
        <w:rPr>
          <w:rFonts w:ascii="Garamond" w:eastAsia="Times New Roman" w:hAnsi="Garamond" w:cs="Courier New"/>
          <w:sz w:val="24"/>
          <w:szCs w:val="24"/>
          <w:lang w:val="sq-AL" w:eastAsia="en-GB"/>
        </w:rPr>
        <w:t xml:space="preserve"> </w:t>
      </w:r>
      <w:r w:rsidRPr="001620BD">
        <w:rPr>
          <w:rFonts w:ascii="Garamond" w:hAnsi="Garamond" w:cs="Times New Roman"/>
          <w:sz w:val="24"/>
          <w:szCs w:val="24"/>
          <w:lang w:val="sq-AL"/>
        </w:rPr>
        <w:t>Në këto raste, shuma totale e sanksionit administrativ nuk duhet të tejkalojë shumën e specifikuar për shkeljen më të rëndë.</w:t>
      </w:r>
    </w:p>
    <w:p w14:paraId="2B18634D" w14:textId="54F7C80D"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28. Nëse një kontrollues ose përpunues ka shkelur dispozitat e </w:t>
      </w:r>
      <w:r w:rsidR="007E1BEE" w:rsidRPr="001620BD">
        <w:rPr>
          <w:rFonts w:ascii="Garamond" w:hAnsi="Garamond" w:cs="Times New Roman"/>
          <w:sz w:val="24"/>
          <w:szCs w:val="24"/>
          <w:lang w:val="sq-AL"/>
        </w:rPr>
        <w:t xml:space="preserve">ligjit për mbrojtjen e të dhënave, </w:t>
      </w:r>
      <w:r w:rsidRPr="001620BD">
        <w:rPr>
          <w:rFonts w:ascii="Garamond" w:hAnsi="Garamond" w:cs="Times New Roman"/>
          <w:sz w:val="24"/>
          <w:szCs w:val="24"/>
          <w:lang w:val="sq-AL"/>
        </w:rPr>
        <w:t>me dashje ose pakujdesi, për procese/veprimtari të njëjta ose të lidhura përpunimi, masa totale e sanksionit nuk duhet të tejkalojë shumën për shkeljen më të rëndë (neni 93(3) i ligjit).</w:t>
      </w:r>
    </w:p>
    <w:p w14:paraId="61A65C15" w14:textId="40C27D2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29. Në disa raste të veçanta mund të supozohet gjithashtu një unitet veprimi, kur një veprim i vetëm shkel disa herë të njëjtën dispozitë ligjore. Ky mund të jetë veçanërisht rasti, kur rrethanat shkaktojnë një shkelje të përsëritur dhe të ngjashme të së njëjtës dispozitë ligjore në një vazhdimësi të ngushtë në hapësirë dhe kohë.</w:t>
      </w:r>
    </w:p>
    <w:p w14:paraId="46278D09"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67921313" w14:textId="77777777" w:rsidTr="00FA1E34">
        <w:trPr>
          <w:jc w:val="center"/>
        </w:trPr>
        <w:tc>
          <w:tcPr>
            <w:tcW w:w="5000" w:type="pct"/>
          </w:tcPr>
          <w:p w14:paraId="06E0D51D" w14:textId="4320BDCA" w:rsidR="00133485" w:rsidRPr="001620BD" w:rsidRDefault="00133485" w:rsidP="007E1BEE">
            <w:pPr>
              <w:ind w:firstLine="284"/>
              <w:jc w:val="both"/>
              <w:rPr>
                <w:rFonts w:ascii="Garamond" w:hAnsi="Garamond" w:cs="Times New Roman"/>
                <w:b/>
                <w:bCs/>
                <w:i/>
                <w:iCs/>
                <w:sz w:val="24"/>
                <w:szCs w:val="24"/>
                <w:lang w:val="sq-AL"/>
              </w:rPr>
            </w:pPr>
            <w:r w:rsidRPr="001620BD">
              <w:rPr>
                <w:rFonts w:ascii="Garamond" w:hAnsi="Garamond" w:cs="Times New Roman"/>
                <w:b/>
                <w:bCs/>
                <w:i/>
                <w:iCs/>
                <w:sz w:val="24"/>
                <w:szCs w:val="24"/>
                <w:lang w:val="sq-AL"/>
              </w:rPr>
              <w:t>Shembulli 2</w:t>
            </w:r>
            <w:r w:rsidR="007E1BEE"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Uniteti i veprimit</w:t>
            </w:r>
          </w:p>
          <w:p w14:paraId="473C18D9" w14:textId="457CCE86" w:rsidR="00133485" w:rsidRPr="001620BD" w:rsidRDefault="00133485" w:rsidP="00997B7B">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lastRenderedPageBreak/>
              <w:t xml:space="preserve">Një kontrollues u dërgon grupeve të ndryshme të subjekteve të të dhënave një mori e-mail-esh marketingu, në frekuenca të ndryshme gjatë një dite, pa pasur një bazë ligjore dhe kësisoj shkel, me unitet veprimi, disa herë pikën 1 të nenit 7 të </w:t>
            </w:r>
            <w:r w:rsidR="007E1BEE" w:rsidRPr="001620BD">
              <w:rPr>
                <w:rFonts w:ascii="Garamond" w:hAnsi="Garamond" w:cs="Times New Roman"/>
                <w:i/>
                <w:iCs/>
                <w:sz w:val="24"/>
                <w:szCs w:val="24"/>
                <w:lang w:val="sq-AL"/>
              </w:rPr>
              <w:t>ligjit për mbrojtjen e të dhënave</w:t>
            </w:r>
            <w:r w:rsidRPr="001620BD">
              <w:rPr>
                <w:rFonts w:ascii="Garamond" w:hAnsi="Garamond" w:cs="Times New Roman"/>
                <w:i/>
                <w:iCs/>
                <w:sz w:val="24"/>
                <w:szCs w:val="24"/>
                <w:lang w:val="sq-AL"/>
              </w:rPr>
              <w:t>.</w:t>
            </w:r>
          </w:p>
        </w:tc>
      </w:tr>
    </w:tbl>
    <w:p w14:paraId="69F29C5D"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p w14:paraId="1B657B2C" w14:textId="2AF2569C"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30. Përmbajtja e pikës 3 të nenit 93, të </w:t>
      </w:r>
      <w:r w:rsidR="007E1BEE" w:rsidRPr="001620BD">
        <w:rPr>
          <w:rFonts w:ascii="Garamond" w:hAnsi="Garamond" w:cs="Times New Roman"/>
          <w:sz w:val="24"/>
          <w:szCs w:val="24"/>
          <w:lang w:val="sq-AL"/>
        </w:rPr>
        <w:t xml:space="preserve">ligjit për mbrojtjen e të dhënave </w:t>
      </w:r>
      <w:r w:rsidRPr="001620BD">
        <w:rPr>
          <w:rFonts w:ascii="Garamond" w:hAnsi="Garamond" w:cs="Times New Roman"/>
          <w:sz w:val="24"/>
          <w:szCs w:val="24"/>
          <w:lang w:val="sq-AL"/>
        </w:rPr>
        <w:t>duket sikur nuk e mbulon drejtpërdrejt këtë rast të fundit të unitetit të veprimit, pasi nuk duket sikur janë shkelur “</w:t>
      </w:r>
      <w:r w:rsidRPr="001620BD">
        <w:rPr>
          <w:rFonts w:ascii="Garamond" w:hAnsi="Garamond" w:cs="Times New Roman"/>
          <w:i/>
          <w:iCs/>
          <w:sz w:val="24"/>
          <w:szCs w:val="24"/>
          <w:lang w:val="sq-AL"/>
        </w:rPr>
        <w:t>disa dispozita të ligjit</w:t>
      </w:r>
      <w:r w:rsidRPr="001620BD">
        <w:rPr>
          <w:rFonts w:ascii="Garamond" w:hAnsi="Garamond" w:cs="Times New Roman"/>
          <w:sz w:val="24"/>
          <w:szCs w:val="24"/>
          <w:lang w:val="sq-AL"/>
        </w:rPr>
        <w:t xml:space="preserve">”. Megjithatë, do të përbënte trajtim të pabarabartë dhe të padrejtë, nëse një shkelës, i cili me një veprim shkel dispozita të ndryshme që ndjekin objektiva të ndryshëm, do të privilegjohej kundrejt një shkelësi që shkel me të njëjtin veprim të njëjtën dispozitë, që ndjek të njëjtin objektiv, disa herë. Për të shmangur mospërputhjen e parimit ligjor dhe për të respektuar të drejtën themelore për trajtim të barabartë, në raste të tilla, pika 3 e nenit 93 të </w:t>
      </w:r>
      <w:r w:rsidR="007E1BEE" w:rsidRPr="001620BD">
        <w:rPr>
          <w:rFonts w:ascii="Garamond" w:hAnsi="Garamond" w:cs="Times New Roman"/>
          <w:sz w:val="24"/>
          <w:szCs w:val="24"/>
          <w:lang w:val="sq-AL"/>
        </w:rPr>
        <w:t xml:space="preserve">ligjit për mbrojtjen e të dhënave do </w:t>
      </w:r>
      <w:r w:rsidRPr="001620BD">
        <w:rPr>
          <w:rFonts w:ascii="Garamond" w:hAnsi="Garamond" w:cs="Times New Roman"/>
          <w:sz w:val="24"/>
          <w:szCs w:val="24"/>
          <w:lang w:val="sq-AL"/>
        </w:rPr>
        <w:t xml:space="preserve">të zbatohet </w:t>
      </w:r>
      <w:r w:rsidRPr="001620BD">
        <w:rPr>
          <w:rFonts w:ascii="Garamond" w:hAnsi="Garamond" w:cs="Times New Roman"/>
          <w:i/>
          <w:iCs/>
          <w:sz w:val="24"/>
          <w:szCs w:val="24"/>
          <w:lang w:val="sq-AL"/>
        </w:rPr>
        <w:t>mutatis mutandis</w:t>
      </w:r>
      <w:r w:rsidRPr="001620BD">
        <w:rPr>
          <w:rFonts w:ascii="Garamond" w:hAnsi="Garamond" w:cs="Times New Roman"/>
          <w:sz w:val="24"/>
          <w:szCs w:val="24"/>
          <w:lang w:val="sq-AL"/>
        </w:rPr>
        <w:t>.</w:t>
      </w:r>
    </w:p>
    <w:p w14:paraId="1F33033B" w14:textId="1B085D5C"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31. Në rast uniteti veprimi, masa totale e sanksionit nuk duhet të tejkalojë tavanin ligjor të zbatueshëm për shkeljen më të rëndë. Sa i përket interpretimit të pikës 3 të nenit 93 të </w:t>
      </w:r>
      <w:r w:rsidR="007E1BEE" w:rsidRPr="001620BD">
        <w:rPr>
          <w:rFonts w:ascii="Garamond" w:hAnsi="Garamond" w:cs="Times New Roman"/>
          <w:sz w:val="24"/>
          <w:szCs w:val="24"/>
          <w:lang w:val="sq-AL"/>
        </w:rPr>
        <w:t>ligjit për mbrojtjen e të dhënave, vlen të theksohet se, bazuar në parimin e interpretimit të normës si</w:t>
      </w:r>
      <w:r w:rsidRPr="001620BD">
        <w:rPr>
          <w:rFonts w:ascii="Garamond" w:hAnsi="Garamond" w:cs="Times New Roman"/>
          <w:sz w:val="24"/>
          <w:szCs w:val="24"/>
          <w:lang w:val="sq-AL"/>
        </w:rPr>
        <w:t>pas qëllimit të saj (</w:t>
      </w:r>
      <w:r w:rsidRPr="001620BD">
        <w:rPr>
          <w:rFonts w:ascii="Garamond" w:hAnsi="Garamond" w:cs="Times New Roman"/>
          <w:i/>
          <w:iCs/>
          <w:sz w:val="24"/>
          <w:szCs w:val="24"/>
          <w:lang w:val="sq-AL"/>
        </w:rPr>
        <w:t>effet utile</w:t>
      </w:r>
      <w:r w:rsidRPr="001620BD">
        <w:rPr>
          <w:rFonts w:ascii="Garamond" w:hAnsi="Garamond" w:cs="Times New Roman"/>
          <w:sz w:val="24"/>
          <w:szCs w:val="24"/>
          <w:lang w:val="sq-AL"/>
        </w:rPr>
        <w:t xml:space="preserve">) – në përcaktimin e masës së sanksionit – kjo dispozitë nuk duhet interpretuar në një mënyrë që relativizon faktin nëse shkelësi ka kryer një ose shumë shkelje </w:t>
      </w:r>
      <w:r w:rsidR="007E1BEE" w:rsidRPr="001620BD">
        <w:rPr>
          <w:rFonts w:ascii="Garamond" w:hAnsi="Garamond" w:cs="Times New Roman"/>
          <w:sz w:val="24"/>
          <w:szCs w:val="24"/>
          <w:lang w:val="sq-AL"/>
        </w:rPr>
        <w:t>të ligjit për mbrojtjen e të dhënave.</w:t>
      </w:r>
    </w:p>
    <w:p w14:paraId="030FA369" w14:textId="19A64742"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32. Termi “</w:t>
      </w:r>
      <w:r w:rsidRPr="001620BD">
        <w:rPr>
          <w:rFonts w:ascii="Garamond" w:hAnsi="Garamond" w:cs="Times New Roman"/>
          <w:i/>
          <w:iCs/>
          <w:sz w:val="24"/>
          <w:szCs w:val="24"/>
          <w:lang w:val="sq-AL"/>
        </w:rPr>
        <w:t>masa totale</w:t>
      </w:r>
      <w:r w:rsidRPr="001620BD">
        <w:rPr>
          <w:rFonts w:ascii="Garamond" w:hAnsi="Garamond" w:cs="Times New Roman"/>
          <w:sz w:val="24"/>
          <w:szCs w:val="24"/>
          <w:lang w:val="sq-AL"/>
        </w:rPr>
        <w:t>” nënkupton që të gjitha shkeljet e kryera duhet të merren parasysh kur vlerësohet masa e sanksionit dhe fraza “</w:t>
      </w:r>
      <w:r w:rsidRPr="001620BD">
        <w:rPr>
          <w:rFonts w:ascii="Garamond" w:hAnsi="Garamond" w:cs="Times New Roman"/>
          <w:i/>
          <w:iCs/>
          <w:sz w:val="24"/>
          <w:szCs w:val="24"/>
          <w:lang w:val="sq-AL"/>
        </w:rPr>
        <w:t>shuma e parashikuar për shkeljen më të rëndë</w:t>
      </w:r>
      <w:r w:rsidRPr="001620BD">
        <w:rPr>
          <w:rFonts w:ascii="Garamond" w:hAnsi="Garamond" w:cs="Times New Roman"/>
          <w:sz w:val="24"/>
          <w:szCs w:val="24"/>
          <w:lang w:val="sq-AL"/>
        </w:rPr>
        <w:t>” e pikës 3 të nenit 93 i referohet tavaneve ligjore të sanksioneve (sipas nenit 94 të ligjit). Prandaj, megjithëse vetë sanksioni nuk mund të tejkalojë tavanin ligjor të nivelit më të lartë të tij, kur vlerësohet masa e sanksionit përfundimtar, shkelësi do të konsiderohet, gjithsesi, shprehimisht fajtor për shkeljen e disa dispozitave dhe këto shkelje duhet të merren parasysh për këtë qëllim.</w:t>
      </w:r>
    </w:p>
    <w:p w14:paraId="09FCB6BC" w14:textId="1F987A14" w:rsidR="00133485" w:rsidRPr="001620BD" w:rsidRDefault="00133485" w:rsidP="00133485">
      <w:pPr>
        <w:pStyle w:val="Heading2"/>
        <w:spacing w:before="0" w:beforeAutospacing="0" w:after="0" w:afterAutospacing="0"/>
        <w:ind w:firstLine="284"/>
        <w:rPr>
          <w:rFonts w:ascii="Garamond" w:hAnsi="Garamond"/>
          <w:szCs w:val="24"/>
        </w:rPr>
      </w:pPr>
      <w:bookmarkStart w:id="14" w:name="_Toc203658653"/>
      <w:r w:rsidRPr="001620BD">
        <w:rPr>
          <w:rFonts w:ascii="Garamond" w:hAnsi="Garamond"/>
          <w:szCs w:val="24"/>
        </w:rPr>
        <w:t>3.2 Shumësia e veprimeve të sanksionueshme</w:t>
      </w:r>
      <w:bookmarkEnd w:id="14"/>
    </w:p>
    <w:p w14:paraId="3EFAF7A2" w14:textId="6E63326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33. Parimi i shumësisë së veprimeve</w:t>
      </w:r>
      <w:r w:rsidRPr="001620BD">
        <w:rPr>
          <w:rStyle w:val="FootnoteReference"/>
          <w:rFonts w:ascii="Garamond" w:hAnsi="Garamond" w:cs="Times New Roman"/>
          <w:sz w:val="24"/>
          <w:szCs w:val="24"/>
          <w:lang w:val="sq-AL"/>
        </w:rPr>
        <w:footnoteReference w:id="6"/>
      </w:r>
      <w:r w:rsidRPr="001620BD">
        <w:rPr>
          <w:rFonts w:ascii="Garamond" w:hAnsi="Garamond" w:cs="Times New Roman"/>
          <w:sz w:val="24"/>
          <w:szCs w:val="24"/>
          <w:lang w:val="sq-AL"/>
        </w:rPr>
        <w:t xml:space="preserve"> përshkruan të gjitha rastet që nuk përfshihen në parimet e konkurrencës së shkeljeve (</w:t>
      </w:r>
      <w:r w:rsidR="007E1BEE" w:rsidRPr="001620BD">
        <w:rPr>
          <w:rFonts w:ascii="Garamond" w:hAnsi="Garamond" w:cs="Times New Roman"/>
          <w:sz w:val="24"/>
          <w:szCs w:val="24"/>
          <w:lang w:val="sq-AL"/>
        </w:rPr>
        <w:t xml:space="preserve">nënkapitulli </w:t>
      </w:r>
      <w:r w:rsidRPr="001620BD">
        <w:rPr>
          <w:rFonts w:ascii="Garamond" w:hAnsi="Garamond" w:cs="Times New Roman"/>
          <w:sz w:val="24"/>
          <w:szCs w:val="24"/>
          <w:lang w:val="sq-AL"/>
        </w:rPr>
        <w:t xml:space="preserve">3.1.1) ose në pikën 3 e nenit 93, të </w:t>
      </w:r>
      <w:r w:rsidR="007E1BEE" w:rsidRPr="001620BD">
        <w:rPr>
          <w:rFonts w:ascii="Garamond" w:hAnsi="Garamond" w:cs="Times New Roman"/>
          <w:sz w:val="24"/>
          <w:szCs w:val="24"/>
          <w:lang w:val="sq-AL"/>
        </w:rPr>
        <w:t>ligjit për mbrojtjen e të dhënave personale (nënkapitulli 3.1.2).</w:t>
      </w:r>
    </w:p>
    <w:p w14:paraId="3CFAC833" w14:textId="6E9101F7"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34. Arsyeja e vetme që këto shkelje trajtohen në një vendim të vetëm lidhet me faktin se ato tërheqin në mënyrë rastësore vëmendjen e inspektorëve të Zyrës së Komisionerit, në të njëjtën kohë, pa qenë veprime të njëjta ose të lidhura përpunimi, në kuptim të pikës 3 të nenit 93, të </w:t>
      </w:r>
      <w:r w:rsidR="007E1BEE" w:rsidRPr="001620BD">
        <w:rPr>
          <w:rFonts w:ascii="Garamond" w:hAnsi="Garamond" w:cs="Times New Roman"/>
          <w:sz w:val="24"/>
          <w:szCs w:val="24"/>
          <w:lang w:val="sq-AL"/>
        </w:rPr>
        <w:t xml:space="preserve">ligjit </w:t>
      </w:r>
      <w:r w:rsidRPr="001620BD">
        <w:rPr>
          <w:rFonts w:ascii="Garamond" w:hAnsi="Garamond" w:cs="Times New Roman"/>
          <w:sz w:val="24"/>
          <w:szCs w:val="24"/>
          <w:lang w:val="sq-AL"/>
        </w:rPr>
        <w:t xml:space="preserve">për </w:t>
      </w:r>
      <w:r w:rsidR="007E1BEE" w:rsidRPr="001620BD">
        <w:rPr>
          <w:rFonts w:ascii="Garamond" w:hAnsi="Garamond" w:cs="Times New Roman"/>
          <w:sz w:val="24"/>
          <w:szCs w:val="24"/>
          <w:lang w:val="sq-AL"/>
        </w:rPr>
        <w:t>mbrojtjen e të dhënave. prandaj</w:t>
      </w:r>
      <w:r w:rsidRPr="001620BD">
        <w:rPr>
          <w:rFonts w:ascii="Garamond" w:hAnsi="Garamond" w:cs="Times New Roman"/>
          <w:sz w:val="24"/>
          <w:szCs w:val="24"/>
          <w:lang w:val="sq-AL"/>
        </w:rPr>
        <w:t xml:space="preserve">, në këtë rast, konstatohet se shkelësi ka shkelur disa dispozita ligjore dhe sanksionohet administrativisht me sanksione të veçanta në të njëjtin vendim ose në vendime të veçanta të Komisionerit. Për më tepër, meqenëse pika 3 e nenit 93 të </w:t>
      </w:r>
      <w:r w:rsidR="007E1BEE" w:rsidRPr="001620BD">
        <w:rPr>
          <w:rFonts w:ascii="Garamond" w:hAnsi="Garamond" w:cs="Times New Roman"/>
          <w:sz w:val="24"/>
          <w:szCs w:val="24"/>
          <w:lang w:val="sq-AL"/>
        </w:rPr>
        <w:t xml:space="preserve">ligjit për mbrojtjen e të dhënave </w:t>
      </w:r>
      <w:r w:rsidRPr="001620BD">
        <w:rPr>
          <w:rFonts w:ascii="Garamond" w:hAnsi="Garamond" w:cs="Times New Roman"/>
          <w:sz w:val="24"/>
          <w:szCs w:val="24"/>
          <w:lang w:val="sq-AL"/>
        </w:rPr>
        <w:t>nuk zbatohet, masa totale e sanksionit mund të kalojë shumën e specifikuar për shkeljen më të rëndë (</w:t>
      </w:r>
      <w:r w:rsidRPr="001620BD">
        <w:rPr>
          <w:rFonts w:ascii="Garamond" w:hAnsi="Garamond" w:cs="Times New Roman"/>
          <w:i/>
          <w:iCs/>
          <w:sz w:val="24"/>
          <w:szCs w:val="24"/>
          <w:lang w:val="sq-AL"/>
        </w:rPr>
        <w:t>argumentum e contrario</w:t>
      </w:r>
      <w:r w:rsidRPr="001620BD">
        <w:rPr>
          <w:rFonts w:ascii="Garamond" w:hAnsi="Garamond" w:cs="Times New Roman"/>
          <w:sz w:val="24"/>
          <w:szCs w:val="24"/>
          <w:lang w:val="sq-AL"/>
        </w:rPr>
        <w:t>). Rastet e shumësisë së veprimeve nuk paraqesin asnjë arsye për të privilegjuar shkelësin në lidhje me përllogaritjen e masës së sanksionit. Megjithatë, kjo nuk cenon detyrimin për të respektuar parimin e përgjithshëm të proporcionalitetit.</w:t>
      </w:r>
    </w:p>
    <w:p w14:paraId="7BDF2C95"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691EB0F5" w14:textId="77777777" w:rsidTr="00FA1E34">
        <w:trPr>
          <w:jc w:val="center"/>
        </w:trPr>
        <w:tc>
          <w:tcPr>
            <w:tcW w:w="5000" w:type="pct"/>
          </w:tcPr>
          <w:p w14:paraId="0E5367AF" w14:textId="6F4DA9C0" w:rsidR="00133485" w:rsidRPr="001620BD" w:rsidRDefault="00133485" w:rsidP="007E1BEE">
            <w:pPr>
              <w:ind w:firstLine="284"/>
              <w:jc w:val="both"/>
              <w:rPr>
                <w:rFonts w:ascii="Garamond" w:hAnsi="Garamond" w:cs="Times New Roman"/>
                <w:b/>
                <w:bCs/>
                <w:i/>
                <w:iCs/>
                <w:sz w:val="24"/>
                <w:szCs w:val="24"/>
                <w:lang w:val="sq-AL"/>
              </w:rPr>
            </w:pPr>
            <w:r w:rsidRPr="001620BD">
              <w:rPr>
                <w:rFonts w:ascii="Garamond" w:hAnsi="Garamond" w:cs="Times New Roman"/>
                <w:b/>
                <w:bCs/>
                <w:i/>
                <w:iCs/>
                <w:sz w:val="24"/>
                <w:szCs w:val="24"/>
                <w:lang w:val="sq-AL"/>
              </w:rPr>
              <w:t>Shembulli 3</w:t>
            </w:r>
            <w:r w:rsidR="007E1BEE"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Shumësia e veprimeve</w:t>
            </w:r>
          </w:p>
          <w:p w14:paraId="30BD4C23" w14:textId="54A4AE99"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Pas kryerjes së një inspektimi për mbrojtjen e të dhënave në ambientet e një kontrolluesi, Zyra e Komisionerit konstaton se kontrolluesi nuk ka parashikuar asnjë procedurë për rishikimin dhe përmirësimin e vazhdueshëm të sigurisë së faqes së tij të internetit, për t</w:t>
            </w:r>
            <w:r w:rsidR="007E1BEE" w:rsidRPr="001620BD">
              <w:rPr>
                <w:rFonts w:ascii="Garamond" w:hAnsi="Garamond" w:cs="Times New Roman"/>
                <w:i/>
                <w:iCs/>
                <w:sz w:val="24"/>
                <w:szCs w:val="24"/>
                <w:lang w:val="sq-AL"/>
              </w:rPr>
              <w:t>’</w:t>
            </w:r>
            <w:r w:rsidRPr="001620BD">
              <w:rPr>
                <w:rFonts w:ascii="Garamond" w:hAnsi="Garamond" w:cs="Times New Roman"/>
                <w:i/>
                <w:iCs/>
                <w:sz w:val="24"/>
                <w:szCs w:val="24"/>
                <w:lang w:val="sq-AL"/>
              </w:rPr>
              <w:t xml:space="preserve">u ofruar punonjësve informacionin e nenit 13 të ligjit në lidhje me përpunimin e të dhënave të burimeve njerëzore dhe për të informuar Zyrën e Komisionerit për një cenim të kohëve të fundit të të dhënave (data breach) të përpunuara/mbledhura nga kontraktorët e tij. Asnjë nga shkeljet nuk përjashtohen nga, ose përfshihen tek, njëra-tjetra në bazë të specialitetit, subsidiaritetit ose konsumit. Gjithashtu, ato nuk kualifikohen </w:t>
            </w:r>
            <w:r w:rsidRPr="001620BD">
              <w:rPr>
                <w:rFonts w:ascii="Garamond" w:hAnsi="Garamond" w:cs="Times New Roman"/>
                <w:i/>
                <w:iCs/>
                <w:sz w:val="24"/>
                <w:szCs w:val="24"/>
                <w:lang w:val="sq-AL"/>
              </w:rPr>
              <w:lastRenderedPageBreak/>
              <w:t xml:space="preserve">si veprimtari të njëjta përpunimi ose veprimtari të lidhura përpunimi; kësisoj, ato nuk përbëjnë unitet veprimi, por një shumësi veprimesh. Prandaj, Zyra e Komisionerit do të konstatojë shkelje të ndryshme të neneve 13, 28 dhe 29 të </w:t>
            </w:r>
            <w:r w:rsidR="007E1BEE" w:rsidRPr="001620BD">
              <w:rPr>
                <w:rFonts w:ascii="Garamond" w:hAnsi="Garamond" w:cs="Times New Roman"/>
                <w:i/>
                <w:iCs/>
                <w:sz w:val="24"/>
                <w:szCs w:val="24"/>
                <w:lang w:val="sq-AL"/>
              </w:rPr>
              <w:t>ligjit për mbrojtjen e të dhënave</w:t>
            </w:r>
            <w:r w:rsidRPr="001620BD">
              <w:rPr>
                <w:rFonts w:ascii="Garamond" w:hAnsi="Garamond" w:cs="Times New Roman"/>
                <w:i/>
                <w:iCs/>
                <w:sz w:val="24"/>
                <w:szCs w:val="24"/>
                <w:lang w:val="sq-AL"/>
              </w:rPr>
              <w:t>. Për këtë arsye, kontrolluesi do të sanksionohet me sanksione individuale për secilën shkelje, pa u kufizuar nga një tavan i vetëm ligjor i zbatueshëm për shumën e tyre.</w:t>
            </w:r>
          </w:p>
        </w:tc>
      </w:tr>
    </w:tbl>
    <w:p w14:paraId="29447AE5" w14:textId="77777777" w:rsidR="00373EAB" w:rsidRPr="001620BD" w:rsidRDefault="00373EAB" w:rsidP="00133485">
      <w:pPr>
        <w:pStyle w:val="Heading1"/>
        <w:spacing w:before="0" w:line="240" w:lineRule="auto"/>
        <w:ind w:firstLine="284"/>
        <w:jc w:val="both"/>
        <w:rPr>
          <w:rFonts w:ascii="Garamond" w:hAnsi="Garamond"/>
          <w:b/>
          <w:color w:val="auto"/>
          <w:sz w:val="24"/>
          <w:szCs w:val="24"/>
          <w:lang w:val="sq-AL"/>
        </w:rPr>
      </w:pPr>
      <w:bookmarkStart w:id="15" w:name="_Toc203658654"/>
    </w:p>
    <w:p w14:paraId="13926BEA" w14:textId="12F020B1" w:rsidR="007E1BEE" w:rsidRPr="001620BD" w:rsidRDefault="007E1BEE" w:rsidP="007E1BEE">
      <w:pPr>
        <w:pStyle w:val="Heading1"/>
        <w:spacing w:before="0" w:line="240" w:lineRule="auto"/>
        <w:ind w:firstLine="284"/>
        <w:jc w:val="center"/>
        <w:rPr>
          <w:rFonts w:ascii="Garamond" w:hAnsi="Garamond"/>
          <w:color w:val="auto"/>
          <w:sz w:val="24"/>
          <w:szCs w:val="24"/>
          <w:lang w:val="sq-AL"/>
        </w:rPr>
      </w:pPr>
      <w:r w:rsidRPr="001620BD">
        <w:rPr>
          <w:rFonts w:ascii="Garamond" w:hAnsi="Garamond"/>
          <w:color w:val="auto"/>
          <w:sz w:val="24"/>
          <w:szCs w:val="24"/>
          <w:lang w:val="sq-AL"/>
        </w:rPr>
        <w:t>KAPITULLI 4</w:t>
      </w:r>
    </w:p>
    <w:p w14:paraId="59778377" w14:textId="1B6C2F67" w:rsidR="00133485" w:rsidRPr="001620BD" w:rsidRDefault="007E1BEE" w:rsidP="007E1BEE">
      <w:pPr>
        <w:pStyle w:val="Heading1"/>
        <w:spacing w:before="0" w:line="240" w:lineRule="auto"/>
        <w:ind w:firstLine="284"/>
        <w:jc w:val="center"/>
        <w:rPr>
          <w:rFonts w:ascii="Garamond" w:hAnsi="Garamond"/>
          <w:color w:val="auto"/>
          <w:sz w:val="24"/>
          <w:szCs w:val="24"/>
          <w:lang w:val="sq-AL"/>
        </w:rPr>
      </w:pPr>
      <w:r w:rsidRPr="001620BD">
        <w:rPr>
          <w:rFonts w:ascii="Garamond" w:hAnsi="Garamond"/>
          <w:color w:val="auto"/>
          <w:sz w:val="24"/>
          <w:szCs w:val="24"/>
          <w:lang w:val="sq-AL"/>
        </w:rPr>
        <w:t>PIKËNISJA E PËRLLOGARITJES SË MASËS SË SANKSIONIT ADMINISTRATIV</w:t>
      </w:r>
      <w:bookmarkEnd w:id="15"/>
    </w:p>
    <w:p w14:paraId="6204957F" w14:textId="77777777" w:rsidR="007E1BEE" w:rsidRPr="001620BD" w:rsidRDefault="007E1BEE" w:rsidP="00133485">
      <w:pPr>
        <w:spacing w:after="0" w:line="240" w:lineRule="auto"/>
        <w:ind w:firstLine="284"/>
        <w:jc w:val="both"/>
        <w:rPr>
          <w:rFonts w:ascii="Garamond" w:hAnsi="Garamond" w:cs="Times New Roman"/>
          <w:sz w:val="24"/>
          <w:szCs w:val="24"/>
          <w:lang w:val="sq-AL"/>
        </w:rPr>
      </w:pPr>
    </w:p>
    <w:p w14:paraId="58FB4B9D" w14:textId="64E8194D"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35. Zyra e Komisionerit vlerëson se përllogaritja e masës së sanksionit duhet të fillojë nga një pikënisje e caktuar</w:t>
      </w:r>
      <w:r w:rsidRPr="001620BD">
        <w:rPr>
          <w:rStyle w:val="FootnoteReference"/>
          <w:rFonts w:ascii="Garamond" w:hAnsi="Garamond" w:cs="Times New Roman"/>
          <w:sz w:val="24"/>
          <w:szCs w:val="24"/>
          <w:lang w:val="sq-AL"/>
        </w:rPr>
        <w:footnoteReference w:id="7"/>
      </w:r>
      <w:r w:rsidRPr="001620BD">
        <w:rPr>
          <w:rFonts w:ascii="Garamond" w:hAnsi="Garamond" w:cs="Times New Roman"/>
          <w:sz w:val="24"/>
          <w:szCs w:val="24"/>
          <w:lang w:val="sq-AL"/>
        </w:rPr>
        <w:t>. Kjo pikënisje përbën fillimin për përllogaritjen e mëtejshme të sanksionit, ku merren parasysh dhe vlerësohen të gjitha rrethanat e çështjes, duke rezultuar në masën përfundimtare të sanksionit që do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 vendoset kontrolluesit dhe/ose përpunuesit përkatës.</w:t>
      </w:r>
    </w:p>
    <w:p w14:paraId="3B90A8A4" w14:textId="5BA14849"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36. Identifikimi i pikënisjes për përllogaritjen e masës së sanksionit nuk ndikon në vendimmarrjen e Komisionerit për të marrë në konsideratë çdo rast shkeljeje rrethanat përkatëse. Sanksioni i vendosur ndaj një kontrolluesi/përpunuesi mund të variojë nga masa minimale deri në tavanin e parashikuar në ligj, me kusht që ky sanksion administrativ të jetë efektiv, proporcional dhe me karakter parandalues. Ekzistenca e një pikënisjeje nuk e pengon Komisionerin për të rritur masën e sanksionit (deri në tavanin ligjor), nëse këtë e kërkojnë rrethanat e çështjes.</w:t>
      </w:r>
    </w:p>
    <w:p w14:paraId="37A276EB" w14:textId="62D858DB"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37. Zyra e Komisionerit konsideron tr</w:t>
      </w:r>
      <w:r w:rsidR="007B7326" w:rsidRPr="001620BD">
        <w:rPr>
          <w:rFonts w:ascii="Garamond" w:hAnsi="Garamond" w:cs="Times New Roman"/>
          <w:sz w:val="24"/>
          <w:szCs w:val="24"/>
          <w:lang w:val="sq-AL"/>
        </w:rPr>
        <w:t>i</w:t>
      </w:r>
      <w:r w:rsidRPr="001620BD">
        <w:rPr>
          <w:rFonts w:ascii="Garamond" w:hAnsi="Garamond" w:cs="Times New Roman"/>
          <w:sz w:val="24"/>
          <w:szCs w:val="24"/>
          <w:lang w:val="sq-AL"/>
        </w:rPr>
        <w:t xml:space="preserve"> element</w:t>
      </w:r>
      <w:r w:rsidR="007B7326" w:rsidRPr="001620BD">
        <w:rPr>
          <w:rFonts w:ascii="Garamond" w:hAnsi="Garamond" w:cs="Times New Roman"/>
          <w:sz w:val="24"/>
          <w:szCs w:val="24"/>
          <w:lang w:val="sq-AL"/>
        </w:rPr>
        <w:t>e</w:t>
      </w:r>
      <w:r w:rsidRPr="001620BD">
        <w:rPr>
          <w:rFonts w:ascii="Garamond" w:hAnsi="Garamond" w:cs="Times New Roman"/>
          <w:sz w:val="24"/>
          <w:szCs w:val="24"/>
          <w:lang w:val="sq-AL"/>
        </w:rPr>
        <w:t xml:space="preserve"> thelbësor</w:t>
      </w:r>
      <w:r w:rsidR="007B7326" w:rsidRPr="001620BD">
        <w:rPr>
          <w:rFonts w:ascii="Garamond" w:hAnsi="Garamond" w:cs="Times New Roman"/>
          <w:sz w:val="24"/>
          <w:szCs w:val="24"/>
          <w:lang w:val="sq-AL"/>
        </w:rPr>
        <w:t>e</w:t>
      </w:r>
      <w:r w:rsidRPr="001620BD">
        <w:rPr>
          <w:rFonts w:ascii="Garamond" w:hAnsi="Garamond" w:cs="Times New Roman"/>
          <w:sz w:val="24"/>
          <w:szCs w:val="24"/>
          <w:lang w:val="sq-AL"/>
        </w:rPr>
        <w:t xml:space="preserve"> në përcaktimin e pikënisjes për përllogaritjen e sanksionit: </w:t>
      </w:r>
    </w:p>
    <w:p w14:paraId="6EB8D8F4" w14:textId="53160096"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i</w:t>
      </w:r>
      <w:r w:rsidR="00AC3CAA" w:rsidRPr="001620BD">
        <w:rPr>
          <w:rFonts w:ascii="Garamond" w:hAnsi="Garamond" w:cs="Times New Roman"/>
          <w:sz w:val="24"/>
          <w:szCs w:val="24"/>
          <w:lang w:val="sq-AL"/>
        </w:rPr>
        <w:t>.</w:t>
      </w:r>
      <w:r w:rsidRPr="001620BD">
        <w:rPr>
          <w:rFonts w:ascii="Garamond" w:hAnsi="Garamond" w:cs="Times New Roman"/>
          <w:sz w:val="24"/>
          <w:szCs w:val="24"/>
          <w:lang w:val="sq-AL"/>
        </w:rPr>
        <w:t xml:space="preserve"> kategorizimin e shkeljeve sipas natyrës, sipas nenit 94, të </w:t>
      </w:r>
      <w:r w:rsidR="00AC3CAA" w:rsidRPr="001620BD">
        <w:rPr>
          <w:rFonts w:ascii="Garamond" w:hAnsi="Garamond" w:cs="Times New Roman"/>
          <w:sz w:val="24"/>
          <w:szCs w:val="24"/>
          <w:lang w:val="sq-AL"/>
        </w:rPr>
        <w:t xml:space="preserve">ligjit për mbrojtjen e të dhënave; </w:t>
      </w:r>
    </w:p>
    <w:p w14:paraId="446802B3" w14:textId="13186A7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ii</w:t>
      </w:r>
      <w:r w:rsidR="00AC3CAA" w:rsidRPr="001620BD">
        <w:rPr>
          <w:rFonts w:ascii="Garamond" w:hAnsi="Garamond" w:cs="Times New Roman"/>
          <w:sz w:val="24"/>
          <w:szCs w:val="24"/>
          <w:lang w:val="sq-AL"/>
        </w:rPr>
        <w:t>.</w:t>
      </w:r>
      <w:r w:rsidRPr="001620BD">
        <w:rPr>
          <w:rFonts w:ascii="Garamond" w:hAnsi="Garamond" w:cs="Times New Roman"/>
          <w:sz w:val="24"/>
          <w:szCs w:val="24"/>
          <w:lang w:val="sq-AL"/>
        </w:rPr>
        <w:t xml:space="preserve"> shkallën e rëndësisë së shkeljeve, bazuar në pikën 2 të nenit 93, të </w:t>
      </w:r>
      <w:r w:rsidR="00AC3CAA" w:rsidRPr="001620BD">
        <w:rPr>
          <w:rFonts w:ascii="Garamond" w:hAnsi="Garamond" w:cs="Times New Roman"/>
          <w:sz w:val="24"/>
          <w:szCs w:val="24"/>
          <w:lang w:val="sq-AL"/>
        </w:rPr>
        <w:t xml:space="preserve">ligjit për mbrojtjen e të dhënave; si dhe </w:t>
      </w:r>
    </w:p>
    <w:p w14:paraId="653C62D1" w14:textId="6480AE40"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iii</w:t>
      </w:r>
      <w:r w:rsidR="00AC3CAA" w:rsidRPr="001620BD">
        <w:rPr>
          <w:rFonts w:ascii="Garamond" w:hAnsi="Garamond" w:cs="Times New Roman"/>
          <w:sz w:val="24"/>
          <w:szCs w:val="24"/>
          <w:lang w:val="sq-AL"/>
        </w:rPr>
        <w:t>.</w:t>
      </w:r>
      <w:r w:rsidRPr="001620BD">
        <w:rPr>
          <w:rFonts w:ascii="Garamond" w:hAnsi="Garamond" w:cs="Times New Roman"/>
          <w:sz w:val="24"/>
          <w:szCs w:val="24"/>
          <w:lang w:val="sq-AL"/>
        </w:rPr>
        <w:t xml:space="preserve"> xhiron e </w:t>
      </w:r>
      <w:r w:rsidR="0086367E" w:rsidRPr="001620BD">
        <w:rPr>
          <w:rFonts w:ascii="Garamond" w:hAnsi="Garamond" w:cs="Times New Roman"/>
          <w:sz w:val="24"/>
          <w:szCs w:val="24"/>
          <w:lang w:val="sq-AL"/>
        </w:rPr>
        <w:t>ndërmarrjes</w:t>
      </w:r>
      <w:r w:rsidRPr="001620BD">
        <w:rPr>
          <w:rFonts w:ascii="Garamond" w:hAnsi="Garamond" w:cs="Times New Roman"/>
          <w:sz w:val="24"/>
          <w:szCs w:val="24"/>
          <w:lang w:val="sq-AL"/>
        </w:rPr>
        <w:t xml:space="preserve">, të cilët merren në konsideratë, me synim vendosjen e një sanksioni efektiv, proporcional dhe me karakter parandalues, bazuar në pikën 1 të nenit 93 të ligjit për </w:t>
      </w:r>
      <w:r w:rsidR="0086367E" w:rsidRPr="001620BD">
        <w:rPr>
          <w:rFonts w:ascii="Garamond" w:hAnsi="Garamond" w:cs="Times New Roman"/>
          <w:sz w:val="24"/>
          <w:szCs w:val="24"/>
          <w:lang w:val="sq-AL"/>
        </w:rPr>
        <w:t xml:space="preserve">mbrojtjen </w:t>
      </w:r>
      <w:r w:rsidRPr="001620BD">
        <w:rPr>
          <w:rFonts w:ascii="Garamond" w:hAnsi="Garamond" w:cs="Times New Roman"/>
          <w:sz w:val="24"/>
          <w:szCs w:val="24"/>
          <w:lang w:val="sq-AL"/>
        </w:rPr>
        <w:t xml:space="preserve">e të </w:t>
      </w:r>
      <w:r w:rsidR="00AC3CAA" w:rsidRPr="001620BD">
        <w:rPr>
          <w:rFonts w:ascii="Garamond" w:hAnsi="Garamond" w:cs="Times New Roman"/>
          <w:sz w:val="24"/>
          <w:szCs w:val="24"/>
          <w:lang w:val="sq-AL"/>
        </w:rPr>
        <w:t>dhënave</w:t>
      </w:r>
      <w:r w:rsidRPr="001620BD">
        <w:rPr>
          <w:rFonts w:ascii="Garamond" w:hAnsi="Garamond" w:cs="Times New Roman"/>
          <w:sz w:val="24"/>
          <w:szCs w:val="24"/>
          <w:lang w:val="sq-AL"/>
        </w:rPr>
        <w:t>. Kët</w:t>
      </w:r>
      <w:r w:rsidR="00AC3CAA" w:rsidRPr="001620BD">
        <w:rPr>
          <w:rFonts w:ascii="Garamond" w:hAnsi="Garamond" w:cs="Times New Roman"/>
          <w:sz w:val="24"/>
          <w:szCs w:val="24"/>
          <w:lang w:val="sq-AL"/>
        </w:rPr>
        <w:t>o</w:t>
      </w:r>
      <w:r w:rsidRPr="001620BD">
        <w:rPr>
          <w:rFonts w:ascii="Garamond" w:hAnsi="Garamond" w:cs="Times New Roman"/>
          <w:sz w:val="24"/>
          <w:szCs w:val="24"/>
          <w:lang w:val="sq-AL"/>
        </w:rPr>
        <w:t xml:space="preserve"> element</w:t>
      </w:r>
      <w:r w:rsidR="00AC3CAA" w:rsidRPr="001620BD">
        <w:rPr>
          <w:rFonts w:ascii="Garamond" w:hAnsi="Garamond" w:cs="Times New Roman"/>
          <w:sz w:val="24"/>
          <w:szCs w:val="24"/>
          <w:lang w:val="sq-AL"/>
        </w:rPr>
        <w:t>e</w:t>
      </w:r>
      <w:r w:rsidRPr="001620BD">
        <w:rPr>
          <w:rFonts w:ascii="Garamond" w:hAnsi="Garamond" w:cs="Times New Roman"/>
          <w:sz w:val="24"/>
          <w:szCs w:val="24"/>
          <w:lang w:val="sq-AL"/>
        </w:rPr>
        <w:t xml:space="preserve"> sqarohen në </w:t>
      </w:r>
      <w:r w:rsidR="00AC3CAA" w:rsidRPr="001620BD">
        <w:rPr>
          <w:rFonts w:ascii="Garamond" w:hAnsi="Garamond" w:cs="Times New Roman"/>
          <w:sz w:val="24"/>
          <w:szCs w:val="24"/>
          <w:lang w:val="sq-AL"/>
        </w:rPr>
        <w:t xml:space="preserve">kapitujt </w:t>
      </w:r>
      <w:r w:rsidRPr="001620BD">
        <w:rPr>
          <w:rFonts w:ascii="Garamond" w:hAnsi="Garamond" w:cs="Times New Roman"/>
          <w:sz w:val="24"/>
          <w:szCs w:val="24"/>
          <w:lang w:val="sq-AL"/>
        </w:rPr>
        <w:t>4.1, 4.2 dhe 4.3 në vijim.</w:t>
      </w:r>
    </w:p>
    <w:p w14:paraId="58A7EB4D" w14:textId="68B2238A" w:rsidR="00133485" w:rsidRPr="001620BD" w:rsidRDefault="00133485" w:rsidP="00133485">
      <w:pPr>
        <w:pStyle w:val="Heading2"/>
        <w:spacing w:before="0" w:beforeAutospacing="0" w:after="0" w:afterAutospacing="0"/>
        <w:ind w:firstLine="284"/>
        <w:rPr>
          <w:rFonts w:ascii="Garamond" w:hAnsi="Garamond"/>
          <w:szCs w:val="24"/>
        </w:rPr>
      </w:pPr>
      <w:bookmarkStart w:id="16" w:name="_Toc203658655"/>
      <w:r w:rsidRPr="001620BD">
        <w:rPr>
          <w:rFonts w:ascii="Garamond" w:hAnsi="Garamond"/>
          <w:szCs w:val="24"/>
        </w:rPr>
        <w:t>4.1 Kategorizimi i shkeljeve sipas nenit 94 të ligjit</w:t>
      </w:r>
      <w:bookmarkEnd w:id="16"/>
    </w:p>
    <w:p w14:paraId="3CFAE115" w14:textId="2FE188CE" w:rsidR="00133485" w:rsidRPr="001620BD" w:rsidRDefault="00133485" w:rsidP="00133485">
      <w:pPr>
        <w:tabs>
          <w:tab w:val="left" w:pos="540"/>
        </w:tabs>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38. Pothuajse të gjitha detyrimet e kontrolluesve dhe përpunuesve janë kategorizuar, sipas natyrës së tyre, në dispozitat e nenit 94 të </w:t>
      </w:r>
      <w:r w:rsidR="00AC3CAA" w:rsidRPr="001620BD">
        <w:rPr>
          <w:rFonts w:ascii="Garamond" w:hAnsi="Garamond" w:cs="Times New Roman"/>
          <w:sz w:val="24"/>
          <w:szCs w:val="24"/>
          <w:lang w:val="sq-AL"/>
        </w:rPr>
        <w:t>ligjit për mbrojtjen e të dhënave personale</w:t>
      </w:r>
      <w:r w:rsidRPr="001620BD">
        <w:rPr>
          <w:rFonts w:ascii="Garamond" w:hAnsi="Garamond" w:cs="Times New Roman"/>
          <w:sz w:val="24"/>
          <w:szCs w:val="24"/>
          <w:lang w:val="sq-AL"/>
        </w:rPr>
        <w:t>, në të cilat parashikohen dy kategori shkeljesh: i) shkeljet e sanksionueshme sipas pikës 1, të nenit 94</w:t>
      </w:r>
      <w:r w:rsidR="00AC3CAA" w:rsidRPr="001620BD">
        <w:rPr>
          <w:rFonts w:ascii="Garamond" w:hAnsi="Garamond" w:cs="Times New Roman"/>
          <w:sz w:val="24"/>
          <w:szCs w:val="24"/>
          <w:lang w:val="sq-AL"/>
        </w:rPr>
        <w:t>;</w:t>
      </w:r>
      <w:r w:rsidRPr="001620BD">
        <w:rPr>
          <w:rFonts w:ascii="Garamond" w:hAnsi="Garamond" w:cs="Times New Roman"/>
          <w:sz w:val="24"/>
          <w:szCs w:val="24"/>
          <w:lang w:val="sq-AL"/>
        </w:rPr>
        <w:t xml:space="preserve"> dhe ii) shkelje të sanksionueshme sipas pik</w:t>
      </w:r>
      <w:r w:rsidR="00DA0272" w:rsidRPr="001620BD">
        <w:rPr>
          <w:rFonts w:ascii="Garamond" w:hAnsi="Garamond" w:cs="Times New Roman"/>
          <w:sz w:val="24"/>
          <w:szCs w:val="24"/>
          <w:lang w:val="sq-AL"/>
        </w:rPr>
        <w:t>ave</w:t>
      </w:r>
      <w:r w:rsidRPr="001620BD">
        <w:rPr>
          <w:rFonts w:ascii="Garamond" w:hAnsi="Garamond" w:cs="Times New Roman"/>
          <w:sz w:val="24"/>
          <w:szCs w:val="24"/>
          <w:lang w:val="sq-AL"/>
        </w:rPr>
        <w:t xml:space="preserve"> 2 dhe 3, të nenit 94. Kategoria e parë e shkeljeve dënohet me sanksion deri në 1 000 000 000 lekë ose 2% të xhiros vjetore, për vitin financiar paraardhës të </w:t>
      </w:r>
      <w:r w:rsidR="00AC3CAA" w:rsidRPr="001620BD">
        <w:rPr>
          <w:rFonts w:ascii="Garamond" w:hAnsi="Garamond" w:cs="Times New Roman"/>
          <w:sz w:val="24"/>
          <w:szCs w:val="24"/>
          <w:lang w:val="sq-AL"/>
        </w:rPr>
        <w:t>kontrolluesit/përpunuesit</w:t>
      </w:r>
      <w:r w:rsidRPr="001620BD">
        <w:rPr>
          <w:rFonts w:ascii="Garamond" w:hAnsi="Garamond" w:cs="Times New Roman"/>
          <w:sz w:val="24"/>
          <w:szCs w:val="24"/>
          <w:lang w:val="sq-AL"/>
        </w:rPr>
        <w:t xml:space="preserve">, cilado është më e lartë. Ndërsa rasti i dytë dënohet me sanksion deri në 2 000 000 000 lekë ose 4% të xhiros vjetore për vitin financiar paraardhës të </w:t>
      </w:r>
      <w:r w:rsidR="00AC3CAA" w:rsidRPr="001620BD">
        <w:rPr>
          <w:rFonts w:ascii="Garamond" w:hAnsi="Garamond" w:cs="Times New Roman"/>
          <w:sz w:val="24"/>
          <w:szCs w:val="24"/>
          <w:lang w:val="sq-AL"/>
        </w:rPr>
        <w:t>kontrolluesit/përpunuesit</w:t>
      </w:r>
      <w:r w:rsidRPr="001620BD">
        <w:rPr>
          <w:rFonts w:ascii="Garamond" w:hAnsi="Garamond" w:cs="Times New Roman"/>
          <w:sz w:val="24"/>
          <w:szCs w:val="24"/>
          <w:lang w:val="sq-AL"/>
        </w:rPr>
        <w:t>, cilado është më e lartë.</w:t>
      </w:r>
    </w:p>
    <w:p w14:paraId="7F99C2FC" w14:textId="1734834D" w:rsidR="00133485" w:rsidRPr="001620BD" w:rsidRDefault="00133485" w:rsidP="00133485">
      <w:pPr>
        <w:spacing w:after="0" w:line="240" w:lineRule="auto"/>
        <w:ind w:firstLine="284"/>
        <w:jc w:val="both"/>
        <w:rPr>
          <w:rFonts w:ascii="Garamond" w:hAnsi="Garamond" w:cs="Times New Roman"/>
          <w:b/>
          <w:bCs/>
          <w:sz w:val="24"/>
          <w:szCs w:val="24"/>
          <w:lang w:val="sq-AL"/>
        </w:rPr>
      </w:pPr>
      <w:r w:rsidRPr="001620BD">
        <w:rPr>
          <w:rFonts w:ascii="Garamond" w:hAnsi="Garamond" w:cs="Times New Roman"/>
          <w:sz w:val="24"/>
          <w:szCs w:val="24"/>
          <w:lang w:val="sq-AL"/>
        </w:rPr>
        <w:t>39. Me këtë dallim, ligjvënësi ka përcaktuar treguesin e parë të shkallës së rëndësisë së një shkeljeje në kuptimin abstrakt. Sa më e rëndë të jetë shkelja, aq më e madhe mund të jetë masa e sanksioni</w:t>
      </w:r>
      <w:r w:rsidRPr="004A5F82">
        <w:rPr>
          <w:rFonts w:ascii="Garamond" w:hAnsi="Garamond" w:cs="Times New Roman"/>
          <w:sz w:val="24"/>
          <w:szCs w:val="24"/>
          <w:lang w:val="sq-AL"/>
        </w:rPr>
        <w:t>t</w:t>
      </w:r>
      <w:r w:rsidR="004A5F82" w:rsidRPr="004A5F82">
        <w:rPr>
          <w:rFonts w:ascii="Garamond" w:hAnsi="Garamond" w:cs="Times New Roman"/>
          <w:bCs/>
          <w:sz w:val="24"/>
          <w:szCs w:val="24"/>
          <w:lang w:val="sq-AL"/>
        </w:rPr>
        <w:t>.</w:t>
      </w:r>
    </w:p>
    <w:p w14:paraId="48DA2E04" w14:textId="487FA263" w:rsidR="00133485" w:rsidRPr="001620BD" w:rsidRDefault="00133485" w:rsidP="00133485">
      <w:pPr>
        <w:pStyle w:val="Heading2"/>
        <w:spacing w:before="0" w:beforeAutospacing="0" w:after="0" w:afterAutospacing="0"/>
        <w:ind w:firstLine="284"/>
        <w:rPr>
          <w:rFonts w:ascii="Garamond" w:hAnsi="Garamond"/>
          <w:szCs w:val="24"/>
        </w:rPr>
      </w:pPr>
      <w:bookmarkStart w:id="17" w:name="_Toc203658656"/>
      <w:r w:rsidRPr="001620BD">
        <w:rPr>
          <w:rFonts w:ascii="Garamond" w:hAnsi="Garamond"/>
          <w:szCs w:val="24"/>
        </w:rPr>
        <w:t>4.2 Shkalla e rëndësisë së shkeljes sipas rrethanave në çdo rast individual</w:t>
      </w:r>
      <w:bookmarkEnd w:id="17"/>
    </w:p>
    <w:p w14:paraId="75241BA7" w14:textId="45123351"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40. Gjithashtu, </w:t>
      </w:r>
      <w:r w:rsidR="00AC3CAA" w:rsidRPr="001620BD">
        <w:rPr>
          <w:rFonts w:ascii="Garamond" w:hAnsi="Garamond" w:cs="Times New Roman"/>
          <w:sz w:val="24"/>
          <w:szCs w:val="24"/>
          <w:lang w:val="sq-AL"/>
        </w:rPr>
        <w:t xml:space="preserve">ligji për mbrojtjen e të dhënave personale, parashikon </w:t>
      </w:r>
      <w:r w:rsidRPr="001620BD">
        <w:rPr>
          <w:rFonts w:ascii="Garamond" w:hAnsi="Garamond" w:cs="Times New Roman"/>
          <w:sz w:val="24"/>
          <w:szCs w:val="24"/>
          <w:lang w:val="sq-AL"/>
        </w:rPr>
        <w:t xml:space="preserve">se duhen të merren në konsideratë rrethanat që cilësojnë seriozitetin e shkeljes në një çështje individuale. Me fjalë të tjera, ligji kërkon që Zyra e Komisionerit të marrë në konsideratë natyrën, rëndësinë dhe kohëzgjatjen e shkeljes, duke pasur parasysh natyrën, objektin ose qëllimin e përpunimit përkatës, si dhe numrin e </w:t>
      </w:r>
      <w:r w:rsidRPr="001620BD">
        <w:rPr>
          <w:rFonts w:ascii="Garamond" w:hAnsi="Garamond" w:cs="Times New Roman"/>
          <w:sz w:val="24"/>
          <w:szCs w:val="24"/>
          <w:lang w:val="sq-AL"/>
        </w:rPr>
        <w:lastRenderedPageBreak/>
        <w:t>subjekteve të të dhënave, të prekura nga kjo shkelje si dhe nivelin e dëmit të shkaktuar ndaj tyre (neni 93(2)(a) i ligjit); karakterin e qëllimshëm (dashjen) ose pakujdesinë (neni 93(2)(b) i ligjit); dhe kategoritë e të dhënave personale të prekura nga shkelja (neni 93(2) (e) i ligjit).</w:t>
      </w:r>
    </w:p>
    <w:p w14:paraId="0545CB76" w14:textId="5496FC88"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41. Zyra e Komisionerit analizon kët</w:t>
      </w:r>
      <w:r w:rsidR="007B7326" w:rsidRPr="001620BD">
        <w:rPr>
          <w:rFonts w:ascii="Garamond" w:hAnsi="Garamond" w:cs="Times New Roman"/>
          <w:sz w:val="24"/>
          <w:szCs w:val="24"/>
          <w:lang w:val="sq-AL"/>
        </w:rPr>
        <w:t>o</w:t>
      </w:r>
      <w:r w:rsidRPr="001620BD">
        <w:rPr>
          <w:rFonts w:ascii="Garamond" w:hAnsi="Garamond" w:cs="Times New Roman"/>
          <w:sz w:val="24"/>
          <w:szCs w:val="24"/>
          <w:lang w:val="sq-AL"/>
        </w:rPr>
        <w:t xml:space="preserve"> element</w:t>
      </w:r>
      <w:r w:rsidR="007B7326" w:rsidRPr="001620BD">
        <w:rPr>
          <w:rFonts w:ascii="Garamond" w:hAnsi="Garamond" w:cs="Times New Roman"/>
          <w:sz w:val="24"/>
          <w:szCs w:val="24"/>
          <w:lang w:val="sq-AL"/>
        </w:rPr>
        <w:t>e</w:t>
      </w:r>
      <w:r w:rsidRPr="001620BD">
        <w:rPr>
          <w:rFonts w:ascii="Garamond" w:hAnsi="Garamond" w:cs="Times New Roman"/>
          <w:sz w:val="24"/>
          <w:szCs w:val="24"/>
          <w:lang w:val="sq-AL"/>
        </w:rPr>
        <w:t xml:space="preserve"> në dritën e rrethanave të çështjes përkatëse dhe konkludon – në bazë të kësaj analize – në lidhje me shkallën e rëndësisë së shkeljes (siç do të trajtohen në vijim, te paragrafi numër 49). Në këtë kuadër, Zyra e Komisionerit mund të marrë gjithashtu në konsideratë, nëse e dhëna përkatëse ishte drejtpërdrejt e identifikueshme. Edhe pse ata trajtohen individualisht në këtë metodologji, në praktikë, kët</w:t>
      </w:r>
      <w:r w:rsidR="007B7326" w:rsidRPr="001620BD">
        <w:rPr>
          <w:rFonts w:ascii="Garamond" w:hAnsi="Garamond" w:cs="Times New Roman"/>
          <w:sz w:val="24"/>
          <w:szCs w:val="24"/>
          <w:lang w:val="sq-AL"/>
        </w:rPr>
        <w:t>o</w:t>
      </w:r>
      <w:r w:rsidRPr="001620BD">
        <w:rPr>
          <w:rFonts w:ascii="Garamond" w:hAnsi="Garamond" w:cs="Times New Roman"/>
          <w:sz w:val="24"/>
          <w:szCs w:val="24"/>
          <w:lang w:val="sq-AL"/>
        </w:rPr>
        <w:t xml:space="preserve"> element</w:t>
      </w:r>
      <w:r w:rsidR="007B7326" w:rsidRPr="001620BD">
        <w:rPr>
          <w:rFonts w:ascii="Garamond" w:hAnsi="Garamond" w:cs="Times New Roman"/>
          <w:sz w:val="24"/>
          <w:szCs w:val="24"/>
          <w:lang w:val="sq-AL"/>
        </w:rPr>
        <w:t>e</w:t>
      </w:r>
      <w:r w:rsidRPr="001620BD">
        <w:rPr>
          <w:rFonts w:ascii="Garamond" w:hAnsi="Garamond" w:cs="Times New Roman"/>
          <w:sz w:val="24"/>
          <w:szCs w:val="24"/>
          <w:lang w:val="sq-AL"/>
        </w:rPr>
        <w:t xml:space="preserve"> janë shpesh të ndërthurur</w:t>
      </w:r>
      <w:r w:rsidR="007B7326" w:rsidRPr="001620BD">
        <w:rPr>
          <w:rFonts w:ascii="Garamond" w:hAnsi="Garamond" w:cs="Times New Roman"/>
          <w:sz w:val="24"/>
          <w:szCs w:val="24"/>
          <w:lang w:val="sq-AL"/>
        </w:rPr>
        <w:t>a</w:t>
      </w:r>
      <w:r w:rsidRPr="001620BD">
        <w:rPr>
          <w:rFonts w:ascii="Garamond" w:hAnsi="Garamond" w:cs="Times New Roman"/>
          <w:sz w:val="24"/>
          <w:szCs w:val="24"/>
          <w:lang w:val="sq-AL"/>
        </w:rPr>
        <w:t xml:space="preserve"> dhe duhen parë në lidhje me faktet e çështjes, në tërësi.</w:t>
      </w:r>
    </w:p>
    <w:p w14:paraId="619B0FA8" w14:textId="5E6270A0" w:rsidR="00133485" w:rsidRPr="001620BD" w:rsidRDefault="00133485" w:rsidP="00133485">
      <w:pPr>
        <w:pStyle w:val="Heading3"/>
        <w:spacing w:before="0" w:line="240" w:lineRule="auto"/>
        <w:ind w:firstLine="284"/>
        <w:rPr>
          <w:rFonts w:ascii="Garamond" w:hAnsi="Garamond"/>
          <w:color w:val="auto"/>
          <w:lang w:val="sq-AL"/>
        </w:rPr>
      </w:pPr>
      <w:bookmarkStart w:id="18" w:name="_Toc203658657"/>
      <w:r w:rsidRPr="001620BD">
        <w:rPr>
          <w:rFonts w:ascii="Garamond" w:hAnsi="Garamond"/>
          <w:b/>
          <w:color w:val="auto"/>
          <w:lang w:val="sq-AL"/>
        </w:rPr>
        <w:t>4.2.1 Natyra, rëndësia dhe kohëzgjatja e shkeljes</w:t>
      </w:r>
      <w:bookmarkEnd w:id="18"/>
    </w:p>
    <w:p w14:paraId="14B49D2A" w14:textId="4D8AD626"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42. Germa “a” e pikës 2 të nenit 93 të </w:t>
      </w:r>
      <w:r w:rsidR="00AC3CAA" w:rsidRPr="001620BD">
        <w:rPr>
          <w:rFonts w:ascii="Garamond" w:hAnsi="Garamond" w:cs="Times New Roman"/>
          <w:sz w:val="24"/>
          <w:szCs w:val="24"/>
          <w:lang w:val="sq-AL"/>
        </w:rPr>
        <w:t>ligjit për mbrojtjen e të dhënave personale</w:t>
      </w:r>
      <w:r w:rsidRPr="001620BD">
        <w:rPr>
          <w:rFonts w:ascii="Garamond" w:hAnsi="Garamond" w:cs="Times New Roman"/>
          <w:sz w:val="24"/>
          <w:szCs w:val="24"/>
          <w:lang w:val="sq-AL"/>
        </w:rPr>
        <w:t>, ka një objekt të gjerë dhe kërkon që Zyra e Komisionerit të kryejë një shqyrtim të plotë të të gjith</w:t>
      </w:r>
      <w:r w:rsidR="007B7326" w:rsidRPr="001620BD">
        <w:rPr>
          <w:rFonts w:ascii="Garamond" w:hAnsi="Garamond" w:cs="Times New Roman"/>
          <w:sz w:val="24"/>
          <w:szCs w:val="24"/>
          <w:lang w:val="sq-AL"/>
        </w:rPr>
        <w:t>a</w:t>
      </w:r>
      <w:r w:rsidRPr="001620BD">
        <w:rPr>
          <w:rFonts w:ascii="Garamond" w:hAnsi="Garamond" w:cs="Times New Roman"/>
          <w:sz w:val="24"/>
          <w:szCs w:val="24"/>
          <w:lang w:val="sq-AL"/>
        </w:rPr>
        <w:t xml:space="preserve"> element</w:t>
      </w:r>
      <w:r w:rsidR="007B7326" w:rsidRPr="001620BD">
        <w:rPr>
          <w:rFonts w:ascii="Garamond" w:hAnsi="Garamond" w:cs="Times New Roman"/>
          <w:sz w:val="24"/>
          <w:szCs w:val="24"/>
          <w:lang w:val="sq-AL"/>
        </w:rPr>
        <w:t>e</w:t>
      </w:r>
      <w:r w:rsidRPr="001620BD">
        <w:rPr>
          <w:rFonts w:ascii="Garamond" w:hAnsi="Garamond" w:cs="Times New Roman"/>
          <w:sz w:val="24"/>
          <w:szCs w:val="24"/>
          <w:lang w:val="sq-AL"/>
        </w:rPr>
        <w:t>ve që përbëjnë një shkelje të caktuar, të cilat mjaftojnë për ta diferencuar atë nga shkelje të tjera të të njëjtit lloj. Ky vlerësim duhet të marrë në konsideratë element</w:t>
      </w:r>
      <w:r w:rsidR="007B7326" w:rsidRPr="001620BD">
        <w:rPr>
          <w:rFonts w:ascii="Garamond" w:hAnsi="Garamond" w:cs="Times New Roman"/>
          <w:sz w:val="24"/>
          <w:szCs w:val="24"/>
          <w:lang w:val="sq-AL"/>
        </w:rPr>
        <w:t>e</w:t>
      </w:r>
      <w:r w:rsidRPr="001620BD">
        <w:rPr>
          <w:rFonts w:ascii="Garamond" w:hAnsi="Garamond" w:cs="Times New Roman"/>
          <w:sz w:val="24"/>
          <w:szCs w:val="24"/>
          <w:lang w:val="sq-AL"/>
        </w:rPr>
        <w:t>t specifik</w:t>
      </w:r>
      <w:r w:rsidR="007B7326" w:rsidRPr="001620BD">
        <w:rPr>
          <w:rFonts w:ascii="Garamond" w:hAnsi="Garamond" w:cs="Times New Roman"/>
          <w:sz w:val="24"/>
          <w:szCs w:val="24"/>
          <w:lang w:val="sq-AL"/>
        </w:rPr>
        <w:t>e</w:t>
      </w:r>
      <w:r w:rsidRPr="001620BD">
        <w:rPr>
          <w:rFonts w:ascii="Garamond" w:hAnsi="Garamond" w:cs="Times New Roman"/>
          <w:sz w:val="24"/>
          <w:szCs w:val="24"/>
          <w:lang w:val="sq-AL"/>
        </w:rPr>
        <w:t>, si vijon:</w:t>
      </w:r>
    </w:p>
    <w:p w14:paraId="6FFE14C5" w14:textId="0B850804" w:rsidR="00133485" w:rsidRPr="001620BD" w:rsidRDefault="00EB67C1" w:rsidP="00EB67C1">
      <w:pPr>
        <w:pStyle w:val="TEKSTIIIII"/>
        <w:rPr>
          <w:color w:val="auto"/>
        </w:rPr>
      </w:pPr>
      <w:r w:rsidRPr="001620BD">
        <w:rPr>
          <w:b/>
          <w:bCs/>
          <w:color w:val="auto"/>
        </w:rPr>
        <w:t xml:space="preserve">a) </w:t>
      </w:r>
      <w:r w:rsidR="00133485" w:rsidRPr="001620BD">
        <w:rPr>
          <w:b/>
          <w:bCs/>
          <w:color w:val="auto"/>
        </w:rPr>
        <w:t>Natyrën e shkeljes</w:t>
      </w:r>
      <w:r w:rsidR="00133485" w:rsidRPr="001620BD">
        <w:rPr>
          <w:color w:val="auto"/>
        </w:rPr>
        <w:t>, e vlerësuar në bazë të rrethanave konkrete të çështjes. Në këtë kuptim, kjo analizë është më specifike sesa klasifikimi abstrakt i pikave 1, 2 dhe 3 të nenit 94 i ligjit. Zyra e Komisionerit mund të marrë parasysh edhe interesin që synon të mbrojë dispozita e shkelur dhe vendin e saj në kuadrin e mbrojtjes së të dhënave personale. Gjithashtu, Zyra e Komisionerit mund të marrë në konsideratë shkallën në të cilën shkelja përkatëse ka penguar zbatimin efektiv të dispozitës dhe përmbushjen e objektivit që ajo synon të mbrojë;</w:t>
      </w:r>
    </w:p>
    <w:p w14:paraId="351E6476" w14:textId="267DE8FF" w:rsidR="00133485" w:rsidRPr="001620BD" w:rsidRDefault="00EB67C1" w:rsidP="00EB67C1">
      <w:pPr>
        <w:pStyle w:val="TEKSTIIIII"/>
        <w:rPr>
          <w:color w:val="auto"/>
        </w:rPr>
      </w:pPr>
      <w:r w:rsidRPr="001620BD">
        <w:rPr>
          <w:b/>
          <w:bCs/>
          <w:color w:val="auto"/>
        </w:rPr>
        <w:t xml:space="preserve">b) </w:t>
      </w:r>
      <w:r w:rsidR="00133485" w:rsidRPr="001620BD">
        <w:rPr>
          <w:b/>
          <w:bCs/>
          <w:color w:val="auto"/>
        </w:rPr>
        <w:t>Rëndësinë e shkeljes</w:t>
      </w:r>
      <w:r w:rsidR="00133485" w:rsidRPr="001620BD">
        <w:rPr>
          <w:color w:val="auto"/>
        </w:rPr>
        <w:t>, e vlerësuar në bazë të rrethanave konkrete të çështjes. Siç përcaktohet në germën “a” të pikës 2, të nenit 93 të ligjit. Tregues për rëndësinë e shkeljes janë natyra e përpunimit, por edhe objekti dhe qëllimi i tij, si dhe numri i subjekteve të të dhënave të prekura dhe niveli i dëmit që u është shkaktuar atyre.</w:t>
      </w:r>
    </w:p>
    <w:p w14:paraId="4E39E3F5" w14:textId="461DC602" w:rsidR="00133485" w:rsidRPr="001620BD" w:rsidRDefault="00133485" w:rsidP="00133485">
      <w:pPr>
        <w:pStyle w:val="ListParagraph"/>
        <w:spacing w:after="0" w:line="240" w:lineRule="auto"/>
        <w:ind w:left="0" w:firstLine="284"/>
        <w:jc w:val="both"/>
        <w:rPr>
          <w:rFonts w:ascii="Garamond" w:hAnsi="Garamond" w:cs="Times New Roman"/>
          <w:color w:val="auto"/>
          <w:sz w:val="24"/>
          <w:szCs w:val="24"/>
        </w:rPr>
      </w:pPr>
      <w:r w:rsidRPr="001620BD">
        <w:rPr>
          <w:rFonts w:ascii="Garamond" w:hAnsi="Garamond" w:cs="Times New Roman"/>
          <w:b/>
          <w:bCs/>
          <w:color w:val="auto"/>
          <w:sz w:val="24"/>
          <w:szCs w:val="24"/>
        </w:rPr>
        <w:t>i.</w:t>
      </w:r>
      <w:r w:rsidRPr="001620BD">
        <w:rPr>
          <w:rFonts w:ascii="Garamond" w:hAnsi="Garamond" w:cs="Times New Roman"/>
          <w:bCs/>
          <w:color w:val="auto"/>
          <w:sz w:val="24"/>
          <w:szCs w:val="24"/>
        </w:rPr>
        <w:t xml:space="preserve"> </w:t>
      </w:r>
      <w:r w:rsidRPr="001620BD">
        <w:rPr>
          <w:rFonts w:ascii="Garamond" w:hAnsi="Garamond" w:cs="Times New Roman"/>
          <w:b/>
          <w:bCs/>
          <w:color w:val="auto"/>
          <w:sz w:val="24"/>
          <w:szCs w:val="24"/>
        </w:rPr>
        <w:t>Natyra e përpunimit</w:t>
      </w:r>
      <w:r w:rsidRPr="001620BD">
        <w:rPr>
          <w:rFonts w:ascii="Garamond" w:hAnsi="Garamond" w:cs="Times New Roman"/>
          <w:color w:val="auto"/>
          <w:sz w:val="24"/>
          <w:szCs w:val="24"/>
        </w:rPr>
        <w:t>, duke përfshirë kontekstin për të cilin kryhet ky përpunim (p.sh. veprimtari biznesi, veprimtari jofitimprurëse, parti politike etj.), si dhe të gjitha karakteristikat e përpunimit. Kur natyra e përpunimit sjell rreziqe më të larta, p.sh. kur qëllimi është monitorimi i sjelljeve, vlerësimi i aspekteve personale ose marrja e vendimeve ose masave me efekte negative për subjektet e të dhënave, në varësi të kontekstit të përpunimit dhe rolit të kontrolluesit ose përpunuesit, Zyra e Komisionerit mund të konsiderojë t</w:t>
      </w:r>
      <w:r w:rsidR="007E1BEE" w:rsidRPr="001620BD">
        <w:rPr>
          <w:rFonts w:ascii="Garamond" w:hAnsi="Garamond" w:cs="Times New Roman"/>
          <w:color w:val="auto"/>
          <w:sz w:val="24"/>
          <w:szCs w:val="24"/>
        </w:rPr>
        <w:t>’</w:t>
      </w:r>
      <w:r w:rsidRPr="001620BD">
        <w:rPr>
          <w:rFonts w:ascii="Garamond" w:hAnsi="Garamond" w:cs="Times New Roman"/>
          <w:color w:val="auto"/>
          <w:sz w:val="24"/>
          <w:szCs w:val="24"/>
        </w:rPr>
        <w:t>i japë më shumë peshë këtij faktori. Gjithashtu, mund t</w:t>
      </w:r>
      <w:r w:rsidR="007E1BEE" w:rsidRPr="001620BD">
        <w:rPr>
          <w:rFonts w:ascii="Garamond" w:hAnsi="Garamond" w:cs="Times New Roman"/>
          <w:color w:val="auto"/>
          <w:sz w:val="24"/>
          <w:szCs w:val="24"/>
        </w:rPr>
        <w:t>’</w:t>
      </w:r>
      <w:r w:rsidRPr="001620BD">
        <w:rPr>
          <w:rFonts w:ascii="Garamond" w:hAnsi="Garamond" w:cs="Times New Roman"/>
          <w:color w:val="auto"/>
          <w:sz w:val="24"/>
          <w:szCs w:val="24"/>
        </w:rPr>
        <w:t>i kushtohet rëndësi vlerësimit të këtij faktori, kur subjekti i të dhënave dhe kontrolluesit janë në kushte të pabarabarta (p.sh. kur subjektet e të dhënave janë punonjës, nxënës ose pacientë) ose kur përpunimi përfshin një kategori subjektesh lehtësisht të cenueshme (vulnerabël) të dhënash, veçanërisht fëmijët/të miturit.</w:t>
      </w:r>
    </w:p>
    <w:p w14:paraId="1DEB12A3" w14:textId="1D49272A" w:rsidR="00133485" w:rsidRPr="001620BD" w:rsidRDefault="00133485" w:rsidP="00133485">
      <w:pPr>
        <w:pStyle w:val="ListParagraph"/>
        <w:tabs>
          <w:tab w:val="left" w:pos="1260"/>
        </w:tabs>
        <w:spacing w:after="0" w:line="240" w:lineRule="auto"/>
        <w:ind w:left="0" w:firstLine="284"/>
        <w:jc w:val="both"/>
        <w:rPr>
          <w:rFonts w:ascii="Garamond" w:hAnsi="Garamond" w:cs="Times New Roman"/>
          <w:color w:val="auto"/>
          <w:sz w:val="24"/>
          <w:szCs w:val="24"/>
        </w:rPr>
      </w:pPr>
      <w:r w:rsidRPr="001620BD">
        <w:rPr>
          <w:rFonts w:ascii="Garamond" w:hAnsi="Garamond" w:cs="Times New Roman"/>
          <w:b/>
          <w:color w:val="auto"/>
          <w:sz w:val="24"/>
          <w:szCs w:val="24"/>
        </w:rPr>
        <w:t>ii.</w:t>
      </w:r>
      <w:r w:rsidRPr="001620BD">
        <w:rPr>
          <w:rFonts w:ascii="Garamond" w:hAnsi="Garamond" w:cs="Times New Roman"/>
          <w:color w:val="auto"/>
          <w:sz w:val="24"/>
          <w:szCs w:val="24"/>
        </w:rPr>
        <w:t xml:space="preserve"> </w:t>
      </w:r>
      <w:r w:rsidRPr="001620BD">
        <w:rPr>
          <w:rFonts w:ascii="Garamond" w:hAnsi="Garamond" w:cs="Times New Roman"/>
          <w:b/>
          <w:bCs/>
          <w:color w:val="auto"/>
          <w:sz w:val="24"/>
          <w:szCs w:val="24"/>
        </w:rPr>
        <w:t>Objekti i përpunimit</w:t>
      </w:r>
      <w:r w:rsidRPr="001620BD">
        <w:rPr>
          <w:rFonts w:ascii="Garamond" w:hAnsi="Garamond" w:cs="Times New Roman"/>
          <w:color w:val="auto"/>
          <w:sz w:val="24"/>
          <w:szCs w:val="24"/>
        </w:rPr>
        <w:t>, bazuar në objektin vendas ose ndërkufitar të përpunimit të kryer dhe marrëdhënies midis këtij informacioni dhe shtrirjes/gjerësisë reale të përpunimit, referuar burimeve të alokuara për këtë qëllim nga kontrolluesi. Ky element nxjerr në pah një faktor real rreziku, të lidhur me vështirësinë gjithnjë e më të madhe për subjektin e të dhënave dhe Zyrën e Komisionerit për të frenuar sjelljen e paligjshme, ndërsa objekti i përpunimit zmadhohet. Sa më i madh të jetë objekti i përpunimit, aq më shumë peshë mund t</w:t>
      </w:r>
      <w:r w:rsidR="007E1BEE" w:rsidRPr="001620BD">
        <w:rPr>
          <w:rFonts w:ascii="Garamond" w:hAnsi="Garamond" w:cs="Times New Roman"/>
          <w:color w:val="auto"/>
          <w:sz w:val="24"/>
          <w:szCs w:val="24"/>
        </w:rPr>
        <w:t>’</w:t>
      </w:r>
      <w:r w:rsidRPr="001620BD">
        <w:rPr>
          <w:rFonts w:ascii="Garamond" w:hAnsi="Garamond" w:cs="Times New Roman"/>
          <w:color w:val="auto"/>
          <w:sz w:val="24"/>
          <w:szCs w:val="24"/>
        </w:rPr>
        <w:t>i japë Zyra e Komisionerit këtij faktori.</w:t>
      </w:r>
    </w:p>
    <w:p w14:paraId="71EBBDB8" w14:textId="4D416132" w:rsidR="00133485" w:rsidRPr="001620BD" w:rsidRDefault="00133485" w:rsidP="00133485">
      <w:pPr>
        <w:pStyle w:val="ListParagraph"/>
        <w:spacing w:after="0" w:line="240" w:lineRule="auto"/>
        <w:ind w:left="0" w:firstLine="284"/>
        <w:jc w:val="both"/>
        <w:rPr>
          <w:rFonts w:ascii="Garamond" w:hAnsi="Garamond" w:cs="Times New Roman"/>
          <w:color w:val="auto"/>
          <w:sz w:val="24"/>
          <w:szCs w:val="24"/>
        </w:rPr>
      </w:pPr>
      <w:r w:rsidRPr="001620BD">
        <w:rPr>
          <w:rFonts w:ascii="Garamond" w:hAnsi="Garamond" w:cs="Times New Roman"/>
          <w:b/>
          <w:color w:val="auto"/>
          <w:sz w:val="24"/>
          <w:szCs w:val="24"/>
        </w:rPr>
        <w:t>iii.</w:t>
      </w:r>
      <w:r w:rsidRPr="001620BD">
        <w:rPr>
          <w:rFonts w:ascii="Garamond" w:hAnsi="Garamond" w:cs="Times New Roman"/>
          <w:color w:val="auto"/>
          <w:sz w:val="24"/>
          <w:szCs w:val="24"/>
        </w:rPr>
        <w:t xml:space="preserve"> </w:t>
      </w:r>
      <w:r w:rsidRPr="001620BD">
        <w:rPr>
          <w:rFonts w:ascii="Garamond" w:hAnsi="Garamond" w:cs="Times New Roman"/>
          <w:b/>
          <w:bCs/>
          <w:color w:val="auto"/>
          <w:sz w:val="24"/>
          <w:szCs w:val="24"/>
        </w:rPr>
        <w:t>Qëllimi i përpunimit</w:t>
      </w:r>
      <w:r w:rsidRPr="001620BD">
        <w:rPr>
          <w:rFonts w:ascii="Garamond" w:hAnsi="Garamond" w:cs="Times New Roman"/>
          <w:color w:val="auto"/>
          <w:sz w:val="24"/>
          <w:szCs w:val="24"/>
        </w:rPr>
        <w:t xml:space="preserve"> është një faktor që Zyra e Komisionerit i jep shumë peshë, duke shqyrtuar, gjithashtu, nëse qëllimi (i përpunimit) përbën të ashtuquajturën veprimtari thelbësore (</w:t>
      </w:r>
      <w:r w:rsidRPr="001620BD">
        <w:rPr>
          <w:rFonts w:ascii="Garamond" w:hAnsi="Garamond" w:cs="Times New Roman"/>
          <w:i/>
          <w:iCs/>
          <w:color w:val="auto"/>
          <w:sz w:val="24"/>
          <w:szCs w:val="24"/>
        </w:rPr>
        <w:t>core activity</w:t>
      </w:r>
      <w:r w:rsidRPr="001620BD">
        <w:rPr>
          <w:rFonts w:ascii="Garamond" w:hAnsi="Garamond" w:cs="Times New Roman"/>
          <w:color w:val="auto"/>
          <w:sz w:val="24"/>
          <w:szCs w:val="24"/>
        </w:rPr>
        <w:t>)</w:t>
      </w:r>
      <w:r w:rsidRPr="001620BD">
        <w:rPr>
          <w:rFonts w:ascii="Garamond" w:hAnsi="Garamond" w:cs="Times New Roman"/>
          <w:i/>
          <w:iCs/>
          <w:color w:val="auto"/>
          <w:sz w:val="24"/>
          <w:szCs w:val="24"/>
        </w:rPr>
        <w:t xml:space="preserve"> </w:t>
      </w:r>
      <w:r w:rsidRPr="001620BD">
        <w:rPr>
          <w:rFonts w:ascii="Garamond" w:hAnsi="Garamond" w:cs="Times New Roman"/>
          <w:color w:val="auto"/>
          <w:sz w:val="24"/>
          <w:szCs w:val="24"/>
        </w:rPr>
        <w:t>të kontrolluesit. Sa më qendror të jetë përpunimi në veprimtaritë thelbësore të kontrolluesit ose përpunuesit, aq më të rënda do të jenë parregullsitë në këtë përpunim. Në këto rrethana, ky faktor merr më shumë rëndësi/peshë. Megjithatë, mund të ketë rrethana në të cilat përpunimi i të dhënave personale nuk përbën më tej veprimtari thelbësore të kontrolluesit ose përpunuesit, por ndikon ndjeshëm në vlerësim (ky është rasti, p.sh., i përpunimit lidhur me të dhënat personale të punonjësve, ku shkelja ndikon ndjeshëm në dinjitetin e tyre).</w:t>
      </w:r>
    </w:p>
    <w:p w14:paraId="7ED6C32C" w14:textId="5D17964B" w:rsidR="00133485" w:rsidRPr="001620BD" w:rsidRDefault="00133485" w:rsidP="00133485">
      <w:pPr>
        <w:pStyle w:val="ListParagraph"/>
        <w:tabs>
          <w:tab w:val="left" w:pos="1260"/>
        </w:tabs>
        <w:spacing w:after="0" w:line="240" w:lineRule="auto"/>
        <w:ind w:left="0" w:firstLine="284"/>
        <w:jc w:val="both"/>
        <w:rPr>
          <w:rFonts w:ascii="Garamond" w:hAnsi="Garamond" w:cs="Times New Roman"/>
          <w:color w:val="auto"/>
          <w:sz w:val="24"/>
          <w:szCs w:val="24"/>
        </w:rPr>
      </w:pPr>
      <w:r w:rsidRPr="0057046C">
        <w:rPr>
          <w:rFonts w:ascii="Garamond" w:hAnsi="Garamond" w:cs="Times New Roman"/>
          <w:b/>
          <w:color w:val="auto"/>
          <w:sz w:val="24"/>
          <w:szCs w:val="24"/>
        </w:rPr>
        <w:lastRenderedPageBreak/>
        <w:t>iv.</w:t>
      </w:r>
      <w:r w:rsidRPr="001620BD">
        <w:rPr>
          <w:rFonts w:ascii="Garamond" w:hAnsi="Garamond" w:cs="Times New Roman"/>
          <w:color w:val="auto"/>
          <w:sz w:val="24"/>
          <w:szCs w:val="24"/>
        </w:rPr>
        <w:t xml:space="preserve"> </w:t>
      </w:r>
      <w:r w:rsidRPr="001620BD">
        <w:rPr>
          <w:rFonts w:ascii="Garamond" w:hAnsi="Garamond" w:cs="Times New Roman"/>
          <w:b/>
          <w:bCs/>
          <w:color w:val="auto"/>
          <w:sz w:val="24"/>
          <w:szCs w:val="24"/>
        </w:rPr>
        <w:t>Numri i subjekteve të të dhënave</w:t>
      </w:r>
      <w:r w:rsidRPr="001620BD">
        <w:rPr>
          <w:rFonts w:ascii="Garamond" w:hAnsi="Garamond" w:cs="Times New Roman"/>
          <w:color w:val="auto"/>
          <w:sz w:val="24"/>
          <w:szCs w:val="24"/>
        </w:rPr>
        <w:t xml:space="preserve"> të cenuar konkretisht, por edhe potencialisht. Sa më i madh të jetë numri i subjekteve të të dhënave të përfshira, aq më shumë peshë mund t</w:t>
      </w:r>
      <w:r w:rsidR="007E1BEE" w:rsidRPr="001620BD">
        <w:rPr>
          <w:rFonts w:ascii="Garamond" w:hAnsi="Garamond" w:cs="Times New Roman"/>
          <w:color w:val="auto"/>
          <w:sz w:val="24"/>
          <w:szCs w:val="24"/>
        </w:rPr>
        <w:t>’</w:t>
      </w:r>
      <w:r w:rsidRPr="001620BD">
        <w:rPr>
          <w:rFonts w:ascii="Garamond" w:hAnsi="Garamond" w:cs="Times New Roman"/>
          <w:color w:val="auto"/>
          <w:sz w:val="24"/>
          <w:szCs w:val="24"/>
        </w:rPr>
        <w:t>i japë Zyra e Komisionerit vlerësimit të këtij faktori. Në shumë raste mund të konsiderohet, gjithashtu, se shkelja merr një natyrë sistemike/tërësore dhe për këtë arsye, mund të ndikojë në kohë të ndryshme, edhe subjekte të tjera të dhënash të cilët nuk kanë paraqitur ankesa pranë Zyrës së Komisionerit. Zyra e Komisionerit, në varësi të rrethanave të rastit, mund të marrë në konsideratë raportin midis numrit të subjekteve të të dhënave të prekura dhe numrit total të subjekteve të të dhënave në atë kontekst (p.sh. numri i qytetarëve, klientëve ose punonjësve) për të vlerësuar nëse shkelja është e një natyre sistemike.</w:t>
      </w:r>
    </w:p>
    <w:p w14:paraId="7D0D4286" w14:textId="54B69BA9" w:rsidR="00133485" w:rsidRPr="001620BD" w:rsidRDefault="00133485" w:rsidP="00133485">
      <w:pPr>
        <w:pStyle w:val="ListParagraph"/>
        <w:spacing w:after="0" w:line="240" w:lineRule="auto"/>
        <w:ind w:left="0" w:firstLine="284"/>
        <w:jc w:val="both"/>
        <w:rPr>
          <w:rFonts w:ascii="Garamond" w:hAnsi="Garamond" w:cs="Times New Roman"/>
          <w:color w:val="auto"/>
          <w:sz w:val="24"/>
          <w:szCs w:val="24"/>
        </w:rPr>
      </w:pPr>
      <w:r w:rsidRPr="001620BD">
        <w:rPr>
          <w:rFonts w:ascii="Garamond" w:hAnsi="Garamond" w:cs="Times New Roman"/>
          <w:b/>
          <w:color w:val="auto"/>
          <w:sz w:val="24"/>
          <w:szCs w:val="24"/>
        </w:rPr>
        <w:t>v.</w:t>
      </w:r>
      <w:r w:rsidRPr="001620BD">
        <w:rPr>
          <w:rFonts w:ascii="Garamond" w:hAnsi="Garamond" w:cs="Times New Roman"/>
          <w:color w:val="auto"/>
          <w:sz w:val="24"/>
          <w:szCs w:val="24"/>
        </w:rPr>
        <w:t xml:space="preserve"> </w:t>
      </w:r>
      <w:r w:rsidRPr="001620BD">
        <w:rPr>
          <w:rFonts w:ascii="Garamond" w:hAnsi="Garamond" w:cs="Times New Roman"/>
          <w:b/>
          <w:bCs/>
          <w:color w:val="auto"/>
          <w:sz w:val="24"/>
          <w:szCs w:val="24"/>
        </w:rPr>
        <w:t>Niveli i dëmit</w:t>
      </w:r>
      <w:r w:rsidRPr="001620BD">
        <w:rPr>
          <w:rFonts w:ascii="Garamond" w:hAnsi="Garamond" w:cs="Times New Roman"/>
          <w:color w:val="auto"/>
          <w:sz w:val="24"/>
          <w:szCs w:val="24"/>
        </w:rPr>
        <w:t xml:space="preserve"> të pësuar dhe shkalla në të cilën sjellja mund të ndikojë në të drejtat dhe liritë individuale. Për këtë arsye, referimi për “</w:t>
      </w:r>
      <w:r w:rsidRPr="001620BD">
        <w:rPr>
          <w:rFonts w:ascii="Garamond" w:hAnsi="Garamond" w:cs="Times New Roman"/>
          <w:i/>
          <w:iCs/>
          <w:color w:val="auto"/>
          <w:sz w:val="24"/>
          <w:szCs w:val="24"/>
        </w:rPr>
        <w:t>nivelin</w:t>
      </w:r>
      <w:r w:rsidRPr="001620BD">
        <w:rPr>
          <w:rFonts w:ascii="Garamond" w:hAnsi="Garamond" w:cs="Times New Roman"/>
          <w:color w:val="auto"/>
          <w:sz w:val="24"/>
          <w:szCs w:val="24"/>
        </w:rPr>
        <w:t>” e dëmit të pësuar synon të tërheqë vëmendjen e Zyrës së Komisionerit për dëmin e shkaktuar, ose që mund të ishte shkaktuar, si një parametër tjetër, i veçantë, në lidhje me numrin e subjekteve të të dhënave të përfshira (p.sh., në rastet kur numri i individëve të prekur nga përpunimi i paligjshëm është i madh, por dëmi i pësuar prej tyre është margjinal/dytësor). Shkalla e dëmit të shkaktuar i referohet dëmit fizik, material ose jomaterial</w:t>
      </w:r>
      <w:r w:rsidRPr="001620BD">
        <w:rPr>
          <w:rStyle w:val="FootnoteReference"/>
          <w:rFonts w:ascii="Garamond" w:hAnsi="Garamond" w:cs="Times New Roman"/>
          <w:color w:val="auto"/>
          <w:sz w:val="24"/>
          <w:szCs w:val="24"/>
        </w:rPr>
        <w:footnoteReference w:id="8"/>
      </w:r>
      <w:r w:rsidRPr="001620BD">
        <w:rPr>
          <w:rFonts w:ascii="Garamond" w:hAnsi="Garamond" w:cs="Times New Roman"/>
          <w:color w:val="auto"/>
          <w:sz w:val="24"/>
          <w:szCs w:val="24"/>
        </w:rPr>
        <w:t>. Vlerësimi i dëmit, në çdo rast, kufizohet në atë që është funksionalisht e nevojshme për të arritur vlerësimin e saktë të shkallës së rëndësisë së shkeljes, siç tregohet në paragrafin 49 më poshtë, kjo pa krijuar mbivendosje me veprimtarinë e autoriteteve gjyqësore të ngarkuara për të konstatuar format e ndryshme të dëmit individual.</w:t>
      </w:r>
    </w:p>
    <w:p w14:paraId="1564F067" w14:textId="3F6AFE9E" w:rsidR="00133485" w:rsidRPr="001620BD" w:rsidRDefault="0057046C" w:rsidP="00EB67C1">
      <w:pPr>
        <w:pStyle w:val="TEKSTIIIII"/>
        <w:rPr>
          <w:color w:val="auto"/>
        </w:rPr>
      </w:pPr>
      <w:r>
        <w:rPr>
          <w:b/>
          <w:bCs/>
          <w:color w:val="auto"/>
        </w:rPr>
        <w:t>c</w:t>
      </w:r>
      <w:r w:rsidR="00EB67C1" w:rsidRPr="001620BD">
        <w:rPr>
          <w:b/>
          <w:bCs/>
          <w:color w:val="auto"/>
        </w:rPr>
        <w:t xml:space="preserve">) </w:t>
      </w:r>
      <w:r w:rsidR="00133485" w:rsidRPr="001620BD">
        <w:rPr>
          <w:b/>
          <w:bCs/>
          <w:color w:val="auto"/>
        </w:rPr>
        <w:t>Kohëzgjatjen e shkeljes</w:t>
      </w:r>
      <w:r w:rsidR="00133485" w:rsidRPr="001620BD">
        <w:rPr>
          <w:color w:val="auto"/>
        </w:rPr>
        <w:t>, e cila nënkupton që Zyra e Komisionerit, mund t</w:t>
      </w:r>
      <w:r w:rsidR="007E1BEE" w:rsidRPr="001620BD">
        <w:rPr>
          <w:color w:val="auto"/>
        </w:rPr>
        <w:t>’</w:t>
      </w:r>
      <w:r w:rsidR="00133485" w:rsidRPr="001620BD">
        <w:rPr>
          <w:color w:val="auto"/>
        </w:rPr>
        <w:t xml:space="preserve">i japë më shumë peshë një shkeljeje me kohëzgjatje më të madhe. Nëse një sjellje e caktuar ishte e paligjshme sipas kuadrit të mëparshëm rregullator, mund të merren parasysh në përcaktimin e masës së sanksionit administrativ, si periudha pas datës së hyrjes në fuqi të </w:t>
      </w:r>
      <w:r w:rsidR="00CC0D9C" w:rsidRPr="001620BD">
        <w:rPr>
          <w:color w:val="auto"/>
        </w:rPr>
        <w:t xml:space="preserve">ligjit </w:t>
      </w:r>
      <w:r w:rsidR="00133485" w:rsidRPr="001620BD">
        <w:rPr>
          <w:color w:val="auto"/>
        </w:rPr>
        <w:t xml:space="preserve">të ri ashtu edhe periudha e mëparshme, mund të merren parasysh në përcaktimin e masës, në çdo rast, duke marrë parasysh edhe përcaktimet e kuadrit të mëparshëm ligjor.  </w:t>
      </w:r>
    </w:p>
    <w:p w14:paraId="5C6754EB" w14:textId="06CC04B4"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43. Zyra e Komisionerit mund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u kushtojë rëndësi faktorëve të sipërpërmendur, në varësi të rrethanave të çështjes. Nëse nuk kanë peshë të veçantë në një çështje specifike, ato mund të mos merren në konsideratë për rastin.</w:t>
      </w:r>
    </w:p>
    <w:p w14:paraId="033194E1" w14:textId="0E5FC0CB" w:rsidR="00133485" w:rsidRPr="001620BD" w:rsidRDefault="00133485" w:rsidP="00133485">
      <w:pPr>
        <w:pStyle w:val="Heading3"/>
        <w:spacing w:before="0" w:line="240" w:lineRule="auto"/>
        <w:ind w:firstLine="284"/>
        <w:rPr>
          <w:rFonts w:ascii="Garamond" w:hAnsi="Garamond"/>
          <w:b/>
          <w:color w:val="auto"/>
          <w:lang w:val="sq-AL"/>
        </w:rPr>
      </w:pPr>
      <w:bookmarkStart w:id="19" w:name="_Toc203658658"/>
      <w:r w:rsidRPr="001620BD">
        <w:rPr>
          <w:rFonts w:ascii="Garamond" w:hAnsi="Garamond"/>
          <w:b/>
          <w:color w:val="auto"/>
          <w:lang w:val="sq-AL"/>
        </w:rPr>
        <w:t>4.2.2 Karakteri i qëllimshëm (dashja) ose pakujdesia</w:t>
      </w:r>
      <w:bookmarkEnd w:id="19"/>
    </w:p>
    <w:p w14:paraId="20291AE9" w14:textId="02742B65"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44. Në praktikën e BE-së, në fushën e mbrojtjes së të dhënave, si dhe bazuar në qëndrimin e BEMD, në përgjithësi, “</w:t>
      </w:r>
      <w:r w:rsidRPr="001620BD">
        <w:rPr>
          <w:rFonts w:ascii="Garamond" w:hAnsi="Garamond" w:cs="Times New Roman"/>
          <w:i/>
          <w:iCs/>
          <w:sz w:val="24"/>
          <w:szCs w:val="24"/>
          <w:lang w:val="sq-AL"/>
        </w:rPr>
        <w:t>qëllimi</w:t>
      </w:r>
      <w:r w:rsidRPr="001620BD">
        <w:rPr>
          <w:rFonts w:ascii="Garamond" w:hAnsi="Garamond" w:cs="Times New Roman"/>
          <w:sz w:val="24"/>
          <w:szCs w:val="24"/>
          <w:lang w:val="sq-AL"/>
        </w:rPr>
        <w:t xml:space="preserve">” përfshin, të dyja, njohurinë dhe vullnetin (keqdashës) në lidhje me karakteristikat e një shkeljeje, ndërsa termi “i </w:t>
      </w:r>
      <w:r w:rsidRPr="001620BD">
        <w:rPr>
          <w:rFonts w:ascii="Garamond" w:hAnsi="Garamond" w:cs="Times New Roman"/>
          <w:i/>
          <w:iCs/>
          <w:sz w:val="24"/>
          <w:szCs w:val="24"/>
          <w:lang w:val="sq-AL"/>
        </w:rPr>
        <w:t>paqëllimshëm</w:t>
      </w:r>
      <w:r w:rsidRPr="001620BD">
        <w:rPr>
          <w:rFonts w:ascii="Garamond" w:hAnsi="Garamond" w:cs="Times New Roman"/>
          <w:sz w:val="24"/>
          <w:szCs w:val="24"/>
          <w:lang w:val="sq-AL"/>
        </w:rPr>
        <w:t>” nënkupton se nuk ka pasur qëllim për të shkaktuar shkelje pavarësisht se kontrolluesi/përpunuesi ka shkelur detyrimin për kujdes (</w:t>
      </w:r>
      <w:r w:rsidRPr="001620BD">
        <w:rPr>
          <w:rFonts w:ascii="Garamond" w:hAnsi="Garamond" w:cs="Times New Roman"/>
          <w:i/>
          <w:iCs/>
          <w:sz w:val="24"/>
          <w:szCs w:val="24"/>
          <w:lang w:val="sq-AL"/>
        </w:rPr>
        <w:t>duty of care</w:t>
      </w:r>
      <w:r w:rsidRPr="001620BD">
        <w:rPr>
          <w:rFonts w:ascii="Garamond" w:hAnsi="Garamond" w:cs="Times New Roman"/>
          <w:sz w:val="24"/>
          <w:szCs w:val="24"/>
          <w:lang w:val="sq-AL"/>
        </w:rPr>
        <w:t>) që kërkohet me ligj</w:t>
      </w:r>
      <w:r w:rsidRPr="001620BD">
        <w:rPr>
          <w:rStyle w:val="FootnoteReference"/>
          <w:rFonts w:ascii="Garamond" w:hAnsi="Garamond" w:cs="Times New Roman"/>
          <w:sz w:val="24"/>
          <w:szCs w:val="24"/>
          <w:lang w:val="sq-AL"/>
        </w:rPr>
        <w:footnoteReference w:id="9"/>
      </w:r>
      <w:r w:rsidRPr="001620BD">
        <w:rPr>
          <w:rFonts w:ascii="Garamond" w:hAnsi="Garamond" w:cs="Times New Roman"/>
          <w:sz w:val="24"/>
          <w:szCs w:val="24"/>
          <w:lang w:val="sq-AL"/>
        </w:rPr>
        <w:t>. E paqëllimshmja, në këtë kuptim, nuk barazohet me të pavullnetshmen.</w:t>
      </w:r>
    </w:p>
    <w:tbl>
      <w:tblPr>
        <w:tblStyle w:val="TableGrid"/>
        <w:tblW w:w="5000" w:type="pct"/>
        <w:jc w:val="center"/>
        <w:tblLook w:val="04A0" w:firstRow="1" w:lastRow="0" w:firstColumn="1" w:lastColumn="0" w:noHBand="0" w:noVBand="1"/>
      </w:tblPr>
      <w:tblGrid>
        <w:gridCol w:w="9350"/>
      </w:tblGrid>
      <w:tr w:rsidR="001620BD" w:rsidRPr="001620BD" w14:paraId="4A720A38" w14:textId="77777777" w:rsidTr="0086367E">
        <w:trPr>
          <w:jc w:val="center"/>
        </w:trPr>
        <w:tc>
          <w:tcPr>
            <w:tcW w:w="5000" w:type="pct"/>
          </w:tcPr>
          <w:p w14:paraId="63FA25B3" w14:textId="741E3C76" w:rsidR="00133485" w:rsidRPr="001620BD" w:rsidRDefault="00133485" w:rsidP="007E1BEE">
            <w:pPr>
              <w:ind w:firstLine="284"/>
              <w:jc w:val="both"/>
              <w:rPr>
                <w:rFonts w:ascii="Garamond" w:hAnsi="Garamond" w:cs="Times New Roman"/>
                <w:b/>
                <w:bCs/>
                <w:i/>
                <w:iCs/>
                <w:sz w:val="24"/>
                <w:szCs w:val="24"/>
                <w:lang w:val="sq-AL"/>
              </w:rPr>
            </w:pPr>
            <w:r w:rsidRPr="001620BD">
              <w:rPr>
                <w:rFonts w:ascii="Garamond" w:hAnsi="Garamond" w:cs="Times New Roman"/>
                <w:b/>
                <w:bCs/>
                <w:i/>
                <w:iCs/>
                <w:sz w:val="24"/>
                <w:szCs w:val="24"/>
                <w:lang w:val="sq-AL"/>
              </w:rPr>
              <w:t>Shembulli 4</w:t>
            </w:r>
            <w:r w:rsidR="00AC3CAA"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Ilustrime të qëllimit dhe neglizhencës, sipas BEMD</w:t>
            </w:r>
            <w:r w:rsidR="009B64FE" w:rsidRPr="001620BD">
              <w:rPr>
                <w:rFonts w:ascii="Garamond" w:hAnsi="Garamond" w:cs="Times New Roman"/>
                <w:b/>
                <w:bCs/>
                <w:i/>
                <w:iCs/>
                <w:sz w:val="24"/>
                <w:szCs w:val="24"/>
                <w:lang w:val="sq-AL"/>
              </w:rPr>
              <w:t>-së</w:t>
            </w:r>
          </w:p>
          <w:p w14:paraId="27DCB106" w14:textId="77777777"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Rrethanat që tregojnë për shkelje të qëllimshme mund të jenë përpunimi i paligjshëm i autorizuar në mënyrë të shprehur nga hierarkia e lartë e menaxhimit/drejtuesve të kontrolluesit ose përkundër këshillave nga nëpunësi për mbrojtjen e të dhënave, ose në mospërfillje të politikave ekzistuese – për shembull, marrja dhe përpunimi i të dhënave për punonjësit e një konkurrenti, me synimin për ta diskredituar atë konkurrent në treg. Shembuj të tjerë këtu mund të jenë:</w:t>
            </w:r>
          </w:p>
          <w:p w14:paraId="587FFB09" w14:textId="472AB1DD"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ndryshimi i të dhënave personale për të shtrembëruar faktet (me qëllim dhënien e një përshtypje pozitive të pavërtetë) në lidhje me përmbushjen e objektivave;</w:t>
            </w:r>
          </w:p>
          <w:p w14:paraId="40CE6987" w14:textId="77777777"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tregtimin e të dhënave personale për qëllime marketingu, d.m.th. shitjen e të dhënave si “opted in”, pa kontrolluar/duke shpërfillur vullnetin e subjekteve të të dhënave për mënyrën sesi duhet të përdoren të dhënat e tyre.</w:t>
            </w:r>
          </w:p>
          <w:p w14:paraId="7A6D3408" w14:textId="77777777" w:rsidR="00133485" w:rsidRPr="001620BD" w:rsidRDefault="00133485" w:rsidP="007E1BEE">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lastRenderedPageBreak/>
              <w:t>Rrethana të tjera, të tilla si mosleximi dhe mosrespektimi i politikave ekzistuese, gabimi njerëzor, dështimi për të kontrolluar të dhënat personale në informacionin e publikuar, moszbatimi i përditësimeve teknike në kohën e duhur, mosmiratimi i politikave (në vend të moszbatimit të tyre) mund të jenë tregues të neglizhencës.</w:t>
            </w:r>
          </w:p>
        </w:tc>
      </w:tr>
    </w:tbl>
    <w:p w14:paraId="13FEF52A"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p w14:paraId="37101889" w14:textId="1EBF01E4"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45. Karakteri i qëllimshëm ose i pakujdesshëm i shkeljes (neni 93(2)(b) i ligjit) duhet të vlerësohet duke marrë parasysh element</w:t>
      </w:r>
      <w:r w:rsidR="00AC3CAA" w:rsidRPr="001620BD">
        <w:rPr>
          <w:rFonts w:ascii="Garamond" w:hAnsi="Garamond" w:cs="Times New Roman"/>
          <w:sz w:val="24"/>
          <w:szCs w:val="24"/>
          <w:lang w:val="sq-AL"/>
        </w:rPr>
        <w:t>e</w:t>
      </w:r>
      <w:r w:rsidRPr="001620BD">
        <w:rPr>
          <w:rFonts w:ascii="Garamond" w:hAnsi="Garamond" w:cs="Times New Roman"/>
          <w:sz w:val="24"/>
          <w:szCs w:val="24"/>
          <w:lang w:val="sq-AL"/>
        </w:rPr>
        <w:t>t objektive të sjelljes të mbledhura nga faktet e çështjes. Siç theksohet nga BEMD</w:t>
      </w:r>
      <w:r w:rsidR="0086367E" w:rsidRPr="001620BD">
        <w:rPr>
          <w:rFonts w:ascii="Garamond" w:hAnsi="Garamond" w:cs="Times New Roman"/>
          <w:sz w:val="24"/>
          <w:szCs w:val="24"/>
          <w:lang w:val="sq-AL"/>
        </w:rPr>
        <w:t>-ja</w:t>
      </w:r>
      <w:r w:rsidRPr="001620BD">
        <w:rPr>
          <w:rFonts w:ascii="Garamond" w:hAnsi="Garamond" w:cs="Times New Roman"/>
          <w:sz w:val="24"/>
          <w:szCs w:val="24"/>
          <w:lang w:val="sq-AL"/>
        </w:rPr>
        <w:t xml:space="preserve"> “</w:t>
      </w:r>
      <w:r w:rsidRPr="001620BD">
        <w:rPr>
          <w:rFonts w:ascii="Garamond" w:hAnsi="Garamond" w:cs="Times New Roman"/>
          <w:i/>
          <w:iCs/>
          <w:sz w:val="24"/>
          <w:szCs w:val="24"/>
          <w:lang w:val="sq-AL"/>
        </w:rPr>
        <w:t>përgjithësisht pranohet se shkeljet e qëllimshme, që tregojnë shpërfillje për dispozitat e ligjit, janë më të rënda se ato të paqëllimshme</w:t>
      </w:r>
      <w:r w:rsidRPr="001620BD">
        <w:rPr>
          <w:rFonts w:ascii="Garamond" w:hAnsi="Garamond" w:cs="Times New Roman"/>
          <w:sz w:val="24"/>
          <w:szCs w:val="24"/>
          <w:lang w:val="sq-AL"/>
        </w:rPr>
        <w:t>”</w:t>
      </w:r>
      <w:r w:rsidR="00CE42A7">
        <w:rPr>
          <w:rFonts w:ascii="Garamond" w:hAnsi="Garamond" w:cs="Times New Roman"/>
          <w:sz w:val="24"/>
          <w:szCs w:val="24"/>
          <w:lang w:val="sq-AL"/>
        </w:rPr>
        <w:t>.</w:t>
      </w:r>
      <w:r w:rsidRPr="001620BD">
        <w:rPr>
          <w:rStyle w:val="FootnoteReference"/>
          <w:rFonts w:ascii="Garamond" w:hAnsi="Garamond" w:cs="Times New Roman"/>
          <w:sz w:val="24"/>
          <w:szCs w:val="24"/>
          <w:lang w:val="sq-AL"/>
        </w:rPr>
        <w:footnoteReference w:id="10"/>
      </w:r>
      <w:r w:rsidRPr="001620BD">
        <w:rPr>
          <w:rFonts w:ascii="Garamond" w:hAnsi="Garamond" w:cs="Times New Roman"/>
          <w:sz w:val="24"/>
          <w:szCs w:val="24"/>
          <w:lang w:val="sq-AL"/>
        </w:rPr>
        <w:t xml:space="preserve"> Kësisoj, në rastin e një shkeljeje të qëllimshme, Zyra e Komisionerit mund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 kushtojë më shumë rëndësi kësaj rrethane. Varësisht rrethanave të çështjes, Zyra e Komisionerit mund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 kushtojë rëndësi edhe shkallës së neglizhencës, e cila, në rastin më të mirë, mund të mos merret në konsideratë për rastin.</w:t>
      </w:r>
    </w:p>
    <w:p w14:paraId="7F8A1629" w14:textId="20733DB1" w:rsidR="00133485" w:rsidRPr="001620BD" w:rsidRDefault="00133485" w:rsidP="00133485">
      <w:pPr>
        <w:pStyle w:val="Heading3"/>
        <w:spacing w:before="0" w:line="240" w:lineRule="auto"/>
        <w:ind w:firstLine="284"/>
        <w:rPr>
          <w:rFonts w:ascii="Garamond" w:hAnsi="Garamond"/>
          <w:b/>
          <w:color w:val="auto"/>
          <w:lang w:val="sq-AL"/>
        </w:rPr>
      </w:pPr>
      <w:bookmarkStart w:id="20" w:name="_Toc203658659"/>
      <w:r w:rsidRPr="001620BD">
        <w:rPr>
          <w:rFonts w:ascii="Garamond" w:hAnsi="Garamond"/>
          <w:b/>
          <w:color w:val="auto"/>
          <w:lang w:val="sq-AL"/>
        </w:rPr>
        <w:t>4.2.3 Kategoritë e të dhënave personale të prekura</w:t>
      </w:r>
      <w:bookmarkEnd w:id="20"/>
    </w:p>
    <w:p w14:paraId="6F810D4A" w14:textId="4F6F716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46. Lidhur me kërkesën për të marrë parasysh kategoritë e të dhënave personale të prekura (neni 93(2)(e) i ligjit), </w:t>
      </w:r>
      <w:r w:rsidR="00AC3CAA" w:rsidRPr="001620BD">
        <w:rPr>
          <w:rFonts w:ascii="Garamond" w:hAnsi="Garamond" w:cs="Times New Roman"/>
          <w:sz w:val="24"/>
          <w:szCs w:val="24"/>
          <w:lang w:val="sq-AL"/>
        </w:rPr>
        <w:t>ligji për mbrojtjen e të dhënave personale</w:t>
      </w:r>
      <w:r w:rsidRPr="001620BD">
        <w:rPr>
          <w:rFonts w:ascii="Garamond" w:hAnsi="Garamond" w:cs="Times New Roman"/>
          <w:sz w:val="24"/>
          <w:szCs w:val="24"/>
          <w:lang w:val="sq-AL"/>
        </w:rPr>
        <w:t xml:space="preserve">, thekson qartë llojet e të dhënave që meritojnë mbrojtje të veçantë dhe për rrjedhojë, një trajtim më të rreptë në kuadër të zbatimit të masave të sanksioneve. Kjo ka të bëjë me llojet e të dhënave të parashikuara në dispozitat e neneve 9 dhe 10 të </w:t>
      </w:r>
      <w:r w:rsidR="00AC3CAA" w:rsidRPr="001620BD">
        <w:rPr>
          <w:rFonts w:ascii="Garamond" w:hAnsi="Garamond" w:cs="Times New Roman"/>
          <w:sz w:val="24"/>
          <w:szCs w:val="24"/>
          <w:lang w:val="sq-AL"/>
        </w:rPr>
        <w:t xml:space="preserve">ligjit për mbrojtjen e të dhënave personale, </w:t>
      </w:r>
      <w:r w:rsidRPr="001620BD">
        <w:rPr>
          <w:rFonts w:ascii="Garamond" w:hAnsi="Garamond" w:cs="Times New Roman"/>
          <w:sz w:val="24"/>
          <w:szCs w:val="24"/>
          <w:lang w:val="sq-AL"/>
        </w:rPr>
        <w:t>si dhe me të dhënat jashtë fushës së këtyre neneve, shpërndarja e të cilave shkakton dëme ose shqetësime të menjëhershme për subjektin e të dhënave (p.sh., të dhënat e vendndodhjes, të dhënat për komunikimin privat, numrat personalë të identifikimit ose të dhënat financiare, të tilla si pasqyrat e transaksioneve ose numrat e kartave të kreditit)</w:t>
      </w:r>
      <w:r w:rsidRPr="001620BD">
        <w:rPr>
          <w:rStyle w:val="FootnoteReference"/>
          <w:rFonts w:ascii="Garamond" w:hAnsi="Garamond" w:cs="Times New Roman"/>
          <w:sz w:val="24"/>
          <w:szCs w:val="24"/>
          <w:lang w:val="sq-AL"/>
        </w:rPr>
        <w:footnoteReference w:id="11"/>
      </w:r>
      <w:r w:rsidRPr="001620BD">
        <w:rPr>
          <w:rFonts w:ascii="Garamond" w:hAnsi="Garamond" w:cs="Times New Roman"/>
          <w:sz w:val="24"/>
          <w:szCs w:val="24"/>
          <w:lang w:val="sq-AL"/>
        </w:rPr>
        <w:t>. Në përgjithësi, sa më shumë kategori të tilla të dhënash të përfshihen, ose sa më sensitive të jenë të dhënat, aq më shumë rëndësi i jepet këtij faktori.</w:t>
      </w:r>
    </w:p>
    <w:p w14:paraId="44E7CD63" w14:textId="24560DA7"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47. Më tej, sasia e të dhënave në lidhje me secilin subjekt të dhënash të përfshirë në një veprimtari përpunimi, është e rëndësishme, pasi cenimi i së drejtës së privatësisë dhe mbrojtjes së të dhënave personale rritet proporcionalisht me sasinë e të dhënave të përpunuara për secilin subjekt të dhënash.</w:t>
      </w:r>
    </w:p>
    <w:p w14:paraId="0BBF3266" w14:textId="414757DA" w:rsidR="00133485" w:rsidRPr="001620BD" w:rsidRDefault="00133485" w:rsidP="00133485">
      <w:pPr>
        <w:pStyle w:val="Heading3"/>
        <w:spacing w:before="0" w:line="240" w:lineRule="auto"/>
        <w:ind w:firstLine="284"/>
        <w:jc w:val="both"/>
        <w:rPr>
          <w:rFonts w:ascii="Garamond" w:hAnsi="Garamond"/>
          <w:b/>
          <w:color w:val="auto"/>
          <w:lang w:val="sq-AL"/>
        </w:rPr>
      </w:pPr>
      <w:bookmarkStart w:id="21" w:name="_Toc203658660"/>
      <w:r w:rsidRPr="001620BD">
        <w:rPr>
          <w:rFonts w:ascii="Garamond" w:hAnsi="Garamond"/>
          <w:b/>
          <w:color w:val="auto"/>
          <w:lang w:val="sq-AL"/>
        </w:rPr>
        <w:t>4.2.4 Klasifikimi i rëndësisë së shkeljes dhe identifikimi i shumës së pikënisjes së përllogaritjes së sanksionit administrativ</w:t>
      </w:r>
      <w:bookmarkEnd w:id="21"/>
    </w:p>
    <w:p w14:paraId="40FD27F4" w14:textId="4BF643A0"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48. Vlerësimi i faktorëve të mësipërm (sipas </w:t>
      </w:r>
      <w:r w:rsidR="00AC3CAA" w:rsidRPr="001620BD">
        <w:rPr>
          <w:rFonts w:ascii="Garamond" w:hAnsi="Garamond" w:cs="Times New Roman"/>
          <w:sz w:val="24"/>
          <w:szCs w:val="24"/>
          <w:lang w:val="sq-AL"/>
        </w:rPr>
        <w:t>n</w:t>
      </w:r>
      <w:r w:rsidRPr="001620BD">
        <w:rPr>
          <w:rFonts w:ascii="Garamond" w:hAnsi="Garamond" w:cs="Times New Roman"/>
          <w:sz w:val="24"/>
          <w:szCs w:val="24"/>
          <w:lang w:val="sq-AL"/>
        </w:rPr>
        <w:t>ënkapitujve 4.2.1</w:t>
      </w:r>
      <w:r w:rsidR="00AC3CAA" w:rsidRPr="001620BD">
        <w:rPr>
          <w:rFonts w:ascii="Garamond" w:hAnsi="Garamond" w:cs="Times New Roman"/>
          <w:sz w:val="24"/>
          <w:szCs w:val="24"/>
          <w:lang w:val="sq-AL"/>
        </w:rPr>
        <w:t>–</w:t>
      </w:r>
      <w:r w:rsidRPr="001620BD">
        <w:rPr>
          <w:rFonts w:ascii="Garamond" w:hAnsi="Garamond" w:cs="Times New Roman"/>
          <w:sz w:val="24"/>
          <w:szCs w:val="24"/>
          <w:lang w:val="sq-AL"/>
        </w:rPr>
        <w:t>4.2.3) përcakton rëndësinë e shkeljes në tërësi. Ky vlerësim nuk konsiston në një përllogaritje matematikore, në të cilën faktorët e sipërpërmendur merren në konsideratë individualisht, por në një vlerësim të plotë të rrethanave konkrete të çështjes, në të cilin të gjithë faktorët e sipërpërmendur janë të ndërlidhur midis tyre. Prandaj, në shqyrtimin e rëndësisë së shkeljes, duhet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 kushtohet vëmendje shkeljes në tërësi.</w:t>
      </w:r>
    </w:p>
    <w:p w14:paraId="4AF29E9F" w14:textId="55D148B0"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49. Bazuar në vlerësimin e faktorëve të sipërpërmendur, Zyra e Komisionerit mund të konstatojë se shkelja është e një shkalle rëndësie të ulët, mesatare ose të lartë. Këto kategori nuk ndikojnë në faktin nëse mund të vendoset apo jo një sanksion.</w:t>
      </w:r>
    </w:p>
    <w:p w14:paraId="58BC1194" w14:textId="6645C1D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Gjatë përllogaritjes së masës së sanksionit për shkelje të një shkalle të ulët rëndësie, Zyra e Komisionerit përcakton pikënisjen e përllogaritjes së mëtejshme në një vlerë midis 0 dhe 10% të tavanit ligjor të zbatueshëm.</w:t>
      </w:r>
    </w:p>
    <w:p w14:paraId="41FB301C" w14:textId="22D76B12"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Gjatë përllogaritjes së masës së sanksionit për shkelje të një shkalle rëndësie mesatare, Zyra e Komisionerit përcakton pikënisjen e përllogaritjes së mëtejshme në një vlerë midis 10 dhe 20% të tavanit ligjor të zbatueshëm.</w:t>
      </w:r>
    </w:p>
    <w:p w14:paraId="5C7177BD" w14:textId="7480C9E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lastRenderedPageBreak/>
        <w:t>- Gjatë përllogaritjes së masës së sanksionit për shkelje të një shkalle rëndësie të lartë, Zyra e Komisionerit përcakton pikënisjen e përllogaritjes së mëtejshme në një vlerë midis 20 dhe 100% të tavanit ligjor të zbatueshëm.</w:t>
      </w:r>
    </w:p>
    <w:p w14:paraId="080B7823" w14:textId="796CE16A"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50. Si rregull i përgjithshëm, sa më e rëndë të jetë shkelja brenda kategorisë së saj, aq më e lartë ka të ngjarë të jetë pikënisja e përllogaritjes.</w:t>
      </w:r>
    </w:p>
    <w:p w14:paraId="3B0C8E76" w14:textId="56197772"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51. Diapazonet brenda të cilëve përcaktohen pikënisjet përkatëse të përllogaritjes mbeten, gjithsesi, në vlerësimin e mëtejshëm të Zyrës së Komisionerit dhe mund të përshtaten në diskrecion të plotë të tij, nëse dhe kur paraqitet e nevojshme.</w:t>
      </w:r>
    </w:p>
    <w:tbl>
      <w:tblPr>
        <w:tblStyle w:val="TableGrid"/>
        <w:tblW w:w="5000" w:type="pct"/>
        <w:jc w:val="center"/>
        <w:tblLook w:val="04A0" w:firstRow="1" w:lastRow="0" w:firstColumn="1" w:lastColumn="0" w:noHBand="0" w:noVBand="1"/>
      </w:tblPr>
      <w:tblGrid>
        <w:gridCol w:w="9350"/>
      </w:tblGrid>
      <w:tr w:rsidR="001620BD" w:rsidRPr="001620BD" w14:paraId="653FEE02" w14:textId="77777777" w:rsidTr="003C642D">
        <w:trPr>
          <w:jc w:val="center"/>
        </w:trPr>
        <w:tc>
          <w:tcPr>
            <w:tcW w:w="5000" w:type="pct"/>
          </w:tcPr>
          <w:p w14:paraId="11EFCE1E" w14:textId="0D2BC6E8"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b/>
                <w:bCs/>
                <w:i/>
                <w:iCs/>
                <w:sz w:val="24"/>
                <w:szCs w:val="24"/>
                <w:lang w:val="sq-AL"/>
              </w:rPr>
              <w:t>Shembulli 5a</w:t>
            </w:r>
            <w:r w:rsidR="00AC3CAA"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Kualifikimi i rëndësisë së një shkeljeje (shkalla e lartë e rëndësisë)</w:t>
            </w:r>
          </w:p>
          <w:p w14:paraId="37C31244" w14:textId="5FA7B564"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Pas hetimit të ankesave të shumta për thirrje të pakërkuara nga klientët e një operatori telefonie, Zyra e Komisionerit konstatoi se kontrolluesi në fjalë përdorte detajet e kontaktit të klientëve të tij për qëllime telemarketingu, pa një bazë ligjore të vlefshme (shkelje e nenit 7 të </w:t>
            </w:r>
            <w:r w:rsidR="00CC0D9C" w:rsidRPr="001620BD">
              <w:rPr>
                <w:rFonts w:ascii="Garamond" w:hAnsi="Garamond" w:cs="Times New Roman"/>
                <w:i/>
                <w:iCs/>
                <w:sz w:val="24"/>
                <w:szCs w:val="24"/>
                <w:lang w:val="sq-AL"/>
              </w:rPr>
              <w:t>ligjit për mbrojtjen e të dhënave personale</w:t>
            </w:r>
            <w:r w:rsidRPr="001620BD">
              <w:rPr>
                <w:rFonts w:ascii="Garamond" w:hAnsi="Garamond" w:cs="Times New Roman"/>
                <w:i/>
                <w:iCs/>
                <w:sz w:val="24"/>
                <w:szCs w:val="24"/>
                <w:lang w:val="sq-AL"/>
              </w:rPr>
              <w:t>). Konkretisht, operatori i telefonisë u kishte ofruar palëve të treta emrat dhe numrat e telefonit të regjistruar të klientëve të tij për qëllime marketingu. Ky kontrollues e kishte bërë këtë pavarësisht këshillave/rekomandimeve të nëpunësit të mbrojtjes së të dhënave kundër një përpunimi të tillë, pa ndërmarrë asnjë përpjekje për të frenuar praktikën ose për t</w:t>
            </w:r>
            <w:r w:rsidR="007E1BEE" w:rsidRPr="001620BD">
              <w:rPr>
                <w:rFonts w:ascii="Garamond" w:hAnsi="Garamond" w:cs="Times New Roman"/>
                <w:i/>
                <w:iCs/>
                <w:sz w:val="24"/>
                <w:szCs w:val="24"/>
                <w:lang w:val="sq-AL"/>
              </w:rPr>
              <w:t>’</w:t>
            </w:r>
            <w:r w:rsidRPr="001620BD">
              <w:rPr>
                <w:rFonts w:ascii="Garamond" w:hAnsi="Garamond" w:cs="Times New Roman"/>
                <w:i/>
                <w:iCs/>
                <w:sz w:val="24"/>
                <w:szCs w:val="24"/>
                <w:lang w:val="sq-AL"/>
              </w:rPr>
              <w:t>u ofruar klientëve një mënyrë për të kundërshtuar këtë përpunim. Në fakt, kjo praktikë zinte fill që nga shkurti i vitit 2025 dhe vijonte ende në momentin e hetimit. Kontrolluesi në fjalë operonte në mbarë vendin dhe praktika prekte të gjithë 1 milion klientët e tij. Zyra e Komisionerit konstatoi se të gjithë këta klientë u ishin nënshtruar rregullisht thirrjeve të pakërkuara nga palë të treta, pa asnjë mjet efektiv për t</w:t>
            </w:r>
            <w:r w:rsidR="007E1BEE" w:rsidRPr="001620BD">
              <w:rPr>
                <w:rFonts w:ascii="Garamond" w:hAnsi="Garamond" w:cs="Times New Roman"/>
                <w:i/>
                <w:iCs/>
                <w:sz w:val="24"/>
                <w:szCs w:val="24"/>
                <w:lang w:val="sq-AL"/>
              </w:rPr>
              <w:t>’</w:t>
            </w:r>
            <w:r w:rsidRPr="001620BD">
              <w:rPr>
                <w:rFonts w:ascii="Garamond" w:hAnsi="Garamond" w:cs="Times New Roman"/>
                <w:i/>
                <w:iCs/>
                <w:sz w:val="24"/>
                <w:szCs w:val="24"/>
                <w:lang w:val="sq-AL"/>
              </w:rPr>
              <w:t>i ndaluar ato.</w:t>
            </w:r>
          </w:p>
          <w:p w14:paraId="171399D2" w14:textId="35271AF0"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Zyra e Komisionerit kishte për detyrë të vlerësonte rëndësinë e këtij rasti. Si pikënisje, Zyra e Komisionerit vuri në dukje se një shkelje e nenit 7 të </w:t>
            </w:r>
            <w:r w:rsidR="003C642D" w:rsidRPr="001620BD">
              <w:rPr>
                <w:rFonts w:ascii="Garamond" w:hAnsi="Garamond" w:cs="Times New Roman"/>
                <w:i/>
                <w:iCs/>
                <w:sz w:val="24"/>
                <w:szCs w:val="24"/>
                <w:lang w:val="sq-AL"/>
              </w:rPr>
              <w:t xml:space="preserve">ligjit për mbrojtjen e të dhënave personale </w:t>
            </w:r>
            <w:r w:rsidRPr="001620BD">
              <w:rPr>
                <w:rFonts w:ascii="Garamond" w:hAnsi="Garamond" w:cs="Times New Roman"/>
                <w:i/>
                <w:iCs/>
                <w:sz w:val="24"/>
                <w:szCs w:val="24"/>
                <w:lang w:val="sq-AL"/>
              </w:rPr>
              <w:t xml:space="preserve">renditet ndër shkeljet e parashikuara në pikën 2, të nenit 94 të ligjit dhe, për këtë arsye, ajo kategorizohet në shkallën më të lartë të shkeljes të parashikuar nga ky nen. Së dyti, Zyra e Komisionerit vlerësoi rrethanat e çështjes. Në këtë drejtim, Zyra e Komisionerit i kushtoi një rëndësi të madhe </w:t>
            </w:r>
            <w:r w:rsidRPr="001620BD">
              <w:rPr>
                <w:rFonts w:ascii="Garamond" w:hAnsi="Garamond" w:cs="Times New Roman"/>
                <w:b/>
                <w:bCs/>
                <w:i/>
                <w:iCs/>
                <w:sz w:val="24"/>
                <w:szCs w:val="24"/>
                <w:lang w:val="sq-AL"/>
              </w:rPr>
              <w:t>natyrës së shkeljes</w:t>
            </w:r>
            <w:r w:rsidRPr="001620BD">
              <w:rPr>
                <w:rFonts w:ascii="Garamond" w:hAnsi="Garamond" w:cs="Times New Roman"/>
                <w:i/>
                <w:iCs/>
                <w:sz w:val="24"/>
                <w:szCs w:val="24"/>
                <w:lang w:val="sq-AL"/>
              </w:rPr>
              <w:t xml:space="preserve">, pasi dispozita e shkelur (neni 7 i ligjit) mbështet ligjshmërinë e përpunimit të të dhënave në tërësi. Mosrespektimi i kësaj dispozite cenon ligjshmërinë e përpunimit në tërësi. Gjithashtu, Zyra e Komisionerit i kushtoi rëndësi të madhe edhe </w:t>
            </w:r>
            <w:r w:rsidRPr="001620BD">
              <w:rPr>
                <w:rFonts w:ascii="Garamond" w:hAnsi="Garamond" w:cs="Times New Roman"/>
                <w:b/>
                <w:bCs/>
                <w:i/>
                <w:iCs/>
                <w:sz w:val="24"/>
                <w:szCs w:val="24"/>
                <w:lang w:val="sq-AL"/>
              </w:rPr>
              <w:t>kohëzgjatjes së shkeljes</w:t>
            </w:r>
            <w:r w:rsidRPr="001620BD">
              <w:rPr>
                <w:rFonts w:ascii="Garamond" w:hAnsi="Garamond" w:cs="Times New Roman"/>
                <w:i/>
                <w:iCs/>
                <w:sz w:val="24"/>
                <w:szCs w:val="24"/>
                <w:lang w:val="sq-AL"/>
              </w:rPr>
              <w:t xml:space="preserve">, e cila filloi me hyrjen në fuqi të ligjit dhe nuk ishte ndërprerë deri në momentin e hetimit. Fakti që kontrolluesi operonte në shkallë vendi, i dha rëndësi objektit të përpunimit. </w:t>
            </w:r>
            <w:r w:rsidRPr="001620BD">
              <w:rPr>
                <w:rFonts w:ascii="Garamond" w:hAnsi="Garamond" w:cs="Times New Roman"/>
                <w:b/>
                <w:bCs/>
                <w:i/>
                <w:iCs/>
                <w:sz w:val="24"/>
                <w:szCs w:val="24"/>
                <w:lang w:val="sq-AL"/>
              </w:rPr>
              <w:t>Numri i subjekteve të të dhënave</w:t>
            </w:r>
            <w:r w:rsidRPr="001620BD">
              <w:rPr>
                <w:rFonts w:ascii="Garamond" w:hAnsi="Garamond" w:cs="Times New Roman"/>
                <w:i/>
                <w:iCs/>
                <w:sz w:val="24"/>
                <w:szCs w:val="24"/>
                <w:lang w:val="sq-AL"/>
              </w:rPr>
              <w:t xml:space="preserve"> të përfshira u konsiderua shumë i lartë (1 milion, krahasuar me numrin total të popullsisë, prej 3 milion</w:t>
            </w:r>
            <w:r w:rsidR="002D67E3" w:rsidRPr="001620BD">
              <w:rPr>
                <w:rFonts w:ascii="Garamond" w:hAnsi="Garamond" w:cs="Times New Roman"/>
                <w:i/>
                <w:iCs/>
                <w:sz w:val="24"/>
                <w:szCs w:val="24"/>
                <w:lang w:val="sq-AL"/>
              </w:rPr>
              <w:t>ë</w:t>
            </w:r>
            <w:r w:rsidRPr="001620BD">
              <w:rPr>
                <w:rFonts w:ascii="Garamond" w:hAnsi="Garamond" w:cs="Times New Roman"/>
                <w:i/>
                <w:iCs/>
                <w:sz w:val="24"/>
                <w:szCs w:val="24"/>
                <w:lang w:val="sq-AL"/>
              </w:rPr>
              <w:t xml:space="preserve"> banorësh), ndërsa </w:t>
            </w:r>
            <w:r w:rsidRPr="001620BD">
              <w:rPr>
                <w:rFonts w:ascii="Garamond" w:hAnsi="Garamond" w:cs="Times New Roman"/>
                <w:b/>
                <w:bCs/>
                <w:i/>
                <w:iCs/>
                <w:sz w:val="24"/>
                <w:szCs w:val="24"/>
                <w:lang w:val="sq-AL"/>
              </w:rPr>
              <w:t>shkalla e dëmit të pësuar</w:t>
            </w:r>
            <w:r w:rsidRPr="001620BD">
              <w:rPr>
                <w:rFonts w:ascii="Garamond" w:hAnsi="Garamond" w:cs="Times New Roman"/>
                <w:i/>
                <w:iCs/>
                <w:sz w:val="24"/>
                <w:szCs w:val="24"/>
                <w:lang w:val="sq-AL"/>
              </w:rPr>
              <w:t xml:space="preserve"> prej tyre u konsiderua e moderuar (dëm jo material, në formën e shqetësimit). Ky vlerësim u krye duke marrë parasysh </w:t>
            </w:r>
            <w:r w:rsidRPr="001620BD">
              <w:rPr>
                <w:rFonts w:ascii="Garamond" w:hAnsi="Garamond" w:cs="Times New Roman"/>
                <w:b/>
                <w:bCs/>
                <w:i/>
                <w:iCs/>
                <w:sz w:val="24"/>
                <w:szCs w:val="24"/>
                <w:lang w:val="sq-AL"/>
              </w:rPr>
              <w:t>kategoritë e të dhënave të prekura</w:t>
            </w:r>
            <w:r w:rsidRPr="001620BD">
              <w:rPr>
                <w:rFonts w:ascii="Garamond" w:hAnsi="Garamond" w:cs="Times New Roman"/>
                <w:i/>
                <w:iCs/>
                <w:sz w:val="24"/>
                <w:szCs w:val="24"/>
                <w:lang w:val="sq-AL"/>
              </w:rPr>
              <w:t xml:space="preserve"> (emri dhe numri i telefonit). Megjithatë, rëndësia e shkeljes u rrit nga fakti se ajo ishte kryer në kundërshtim me këshillën e nëpunësit të mbrojtjes së të dhënave dhe, për rrjedhojë, u konsiderua e </w:t>
            </w:r>
            <w:r w:rsidRPr="001620BD">
              <w:rPr>
                <w:rFonts w:ascii="Garamond" w:hAnsi="Garamond" w:cs="Times New Roman"/>
                <w:b/>
                <w:bCs/>
                <w:i/>
                <w:iCs/>
                <w:sz w:val="24"/>
                <w:szCs w:val="24"/>
                <w:lang w:val="sq-AL"/>
              </w:rPr>
              <w:t>qëllimshme</w:t>
            </w:r>
            <w:r w:rsidRPr="001620BD">
              <w:rPr>
                <w:rFonts w:ascii="Garamond" w:hAnsi="Garamond" w:cs="Times New Roman"/>
                <w:i/>
                <w:iCs/>
                <w:sz w:val="24"/>
                <w:szCs w:val="24"/>
                <w:lang w:val="sq-AL"/>
              </w:rPr>
              <w:t>.</w:t>
            </w:r>
          </w:p>
          <w:p w14:paraId="1D0BB588" w14:textId="27F185BE" w:rsidR="00133485" w:rsidRPr="001620BD" w:rsidRDefault="00133485" w:rsidP="00AC3CAA">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t xml:space="preserve">Duke marrë parasysh të gjitha sa më sipër (natyrën e rëndë, kohëzgjatjen e madhe, numrin e madh të subjekteve të të dhënave, shtrirjen mbarëkombëtare, natyrën e qëllimshme, kundrejt një dëmi të moderuar), Zyra e Komisionerit konkludoi se shkelja konsiderohet e një shkalle rëndësie të lartë. Për këtë arsye, si pikënisje për përllogaritjen e masës së sanksionit, Zyra e Komisionerit përcaktoi një vlerë midis 20% dhe 100% të tavanit ligjor, të parashikuar në pikën 2, të nenit 94 të </w:t>
            </w:r>
            <w:r w:rsidR="00AC3CAA" w:rsidRPr="001620BD">
              <w:rPr>
                <w:rFonts w:ascii="Garamond" w:hAnsi="Garamond" w:cs="Times New Roman"/>
                <w:i/>
                <w:iCs/>
                <w:sz w:val="24"/>
                <w:szCs w:val="24"/>
                <w:lang w:val="sq-AL"/>
              </w:rPr>
              <w:t>ligjit për mbrojtjen e të dhënave personale</w:t>
            </w:r>
            <w:r w:rsidRPr="001620BD">
              <w:rPr>
                <w:rFonts w:ascii="Garamond" w:hAnsi="Garamond" w:cs="Times New Roman"/>
                <w:i/>
                <w:iCs/>
                <w:sz w:val="24"/>
                <w:szCs w:val="24"/>
                <w:lang w:val="sq-AL"/>
              </w:rPr>
              <w:t>.</w:t>
            </w:r>
          </w:p>
        </w:tc>
      </w:tr>
    </w:tbl>
    <w:p w14:paraId="609AA721"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332A524B" w14:textId="77777777" w:rsidTr="003C642D">
        <w:trPr>
          <w:jc w:val="center"/>
        </w:trPr>
        <w:tc>
          <w:tcPr>
            <w:tcW w:w="5000" w:type="pct"/>
          </w:tcPr>
          <w:p w14:paraId="36C7DA4E" w14:textId="4AD5280F" w:rsidR="00133485" w:rsidRPr="001620BD" w:rsidRDefault="00133485" w:rsidP="007E1BEE">
            <w:pPr>
              <w:ind w:firstLine="284"/>
              <w:jc w:val="both"/>
              <w:rPr>
                <w:rFonts w:ascii="Garamond" w:hAnsi="Garamond" w:cs="Times New Roman"/>
                <w:b/>
                <w:bCs/>
                <w:i/>
                <w:iCs/>
                <w:sz w:val="24"/>
                <w:szCs w:val="24"/>
                <w:lang w:val="sq-AL"/>
              </w:rPr>
            </w:pPr>
            <w:r w:rsidRPr="001620BD">
              <w:rPr>
                <w:rFonts w:ascii="Garamond" w:hAnsi="Garamond" w:cs="Times New Roman"/>
                <w:b/>
                <w:bCs/>
                <w:i/>
                <w:iCs/>
                <w:sz w:val="24"/>
                <w:szCs w:val="24"/>
                <w:lang w:val="sq-AL"/>
              </w:rPr>
              <w:t>Shembulli 5b</w:t>
            </w:r>
            <w:r w:rsidR="00AC3CAA"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Kualifikimi i rëndësisë së një shkeljeje (shkalla mesatare e rëndësisë)</w:t>
            </w:r>
          </w:p>
          <w:p w14:paraId="2C0EBF06" w14:textId="578E14D4"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Zyra e Komisionerit mori një njoftim për shkeljen e të dhënave personale nga një spital. Nga ky njoftim, rezultoi se disa anëtarë të stafit kishin mundur të aksesonin (shihnin) pjesë të kartelave shëndetësore të pacientëve që – nisur nga pavi</w:t>
            </w:r>
            <w:r w:rsidR="003357A1" w:rsidRPr="001620BD">
              <w:rPr>
                <w:rFonts w:ascii="Garamond" w:hAnsi="Garamond" w:cs="Times New Roman"/>
                <w:i/>
                <w:iCs/>
                <w:sz w:val="24"/>
                <w:szCs w:val="24"/>
                <w:lang w:val="sq-AL"/>
              </w:rPr>
              <w:t>j</w:t>
            </w:r>
            <w:r w:rsidRPr="001620BD">
              <w:rPr>
                <w:rFonts w:ascii="Garamond" w:hAnsi="Garamond" w:cs="Times New Roman"/>
                <w:i/>
                <w:iCs/>
                <w:sz w:val="24"/>
                <w:szCs w:val="24"/>
                <w:lang w:val="sq-AL"/>
              </w:rPr>
              <w:t>oni ku punonin – nuk duhej të ishin të aksesueshme për ta. Spitali ishte duke punuar për përcaktimin e procedurave që rregullojnë aksesin në kartelat e pacientëve dhe kishte zbatuar masa të rrepta për akses të kufizuar. Kjo nënkuptonte që stafi i një pavioni mund të kishte akses vetëm në informacionin mjekësor që lidhej me atë pavi</w:t>
            </w:r>
            <w:r w:rsidR="003357A1" w:rsidRPr="001620BD">
              <w:rPr>
                <w:rFonts w:ascii="Garamond" w:hAnsi="Garamond" w:cs="Times New Roman"/>
                <w:i/>
                <w:iCs/>
                <w:sz w:val="24"/>
                <w:szCs w:val="24"/>
                <w:lang w:val="sq-AL"/>
              </w:rPr>
              <w:t>j</w:t>
            </w:r>
            <w:r w:rsidRPr="001620BD">
              <w:rPr>
                <w:rFonts w:ascii="Garamond" w:hAnsi="Garamond" w:cs="Times New Roman"/>
                <w:i/>
                <w:iCs/>
                <w:sz w:val="24"/>
                <w:szCs w:val="24"/>
                <w:lang w:val="sq-AL"/>
              </w:rPr>
              <w:t xml:space="preserve">on specifik. Përveç kësaj, spitali kishte investuar në rritjen e ndërgjegjësimit për rëndësinë e privatësisë tek anëtarët e stafit të tij. Megjithatë, siç rezultoi nga hetimi administrativ, spitali kishte probleme në lidhje me monitorimin e </w:t>
            </w:r>
            <w:r w:rsidRPr="001620BD">
              <w:rPr>
                <w:rFonts w:ascii="Garamond" w:hAnsi="Garamond" w:cs="Times New Roman"/>
                <w:i/>
                <w:iCs/>
                <w:sz w:val="24"/>
                <w:szCs w:val="24"/>
                <w:lang w:val="sq-AL"/>
              </w:rPr>
              <w:lastRenderedPageBreak/>
              <w:t xml:space="preserve">autorizimeve të aksesit në të dhënat e përpunuara. Anëtarët e stafit që transferoheshin midis pavioneve ishin ende në gjendje të kishin akses në kartelat e pacientëve të shtruar në pavionet e tyre të mëparshme dhe spitali nuk kishte procedura në fuqi për të përshtatur pozicionin aktual të anëtarit të stafit me autorizimin e tyre. Nga hetimi i brendshëm i spitalit rezultoi se, të paktën, 150 anëtarë të stafit (nga 3500) kishin autorizime të pasakta, duke prekur të paktën 20 mijë nga 95 mijë kartela të pacientëve. Spitali mundi të provojë se, të paktën, në 16 raste, anëtarët e stafit kishin përdorur autorizimet e tyre për të parë kartelat e pacientëve. Zyra e Komisionerit vlerësoi se ka pasur shkelje të nenit 28 të </w:t>
            </w:r>
            <w:r w:rsidR="00AC3CAA" w:rsidRPr="001620BD">
              <w:rPr>
                <w:rFonts w:ascii="Garamond" w:hAnsi="Garamond" w:cs="Times New Roman"/>
                <w:i/>
                <w:iCs/>
                <w:sz w:val="24"/>
                <w:szCs w:val="24"/>
                <w:lang w:val="sq-AL"/>
              </w:rPr>
              <w:t>ligjit për mbrojtjen e të dhënave personale.</w:t>
            </w:r>
          </w:p>
          <w:p w14:paraId="735A3D0C" w14:textId="7756D185"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Në vlerësimin e rëndësisë të shkeljes në këtë çështje, Zyra e Komisionerit, fillimisht, vuri në dukje se një shkelje e nenit 28, </w:t>
            </w:r>
            <w:r w:rsidR="00AC3CAA" w:rsidRPr="001620BD">
              <w:rPr>
                <w:rFonts w:ascii="Garamond" w:hAnsi="Garamond" w:cs="Times New Roman"/>
                <w:i/>
                <w:iCs/>
                <w:sz w:val="24"/>
                <w:szCs w:val="24"/>
                <w:lang w:val="sq-AL"/>
              </w:rPr>
              <w:t xml:space="preserve">të ligjit për mbrojtjen e të dhënave personale renditet </w:t>
            </w:r>
            <w:r w:rsidRPr="001620BD">
              <w:rPr>
                <w:rFonts w:ascii="Garamond" w:hAnsi="Garamond" w:cs="Times New Roman"/>
                <w:i/>
                <w:iCs/>
                <w:sz w:val="24"/>
                <w:szCs w:val="24"/>
                <w:lang w:val="sq-AL"/>
              </w:rPr>
              <w:t>ndër shkeljet e pikës 1 të neni</w:t>
            </w:r>
            <w:r w:rsidR="00207C7D" w:rsidRPr="001620BD">
              <w:rPr>
                <w:rFonts w:ascii="Garamond" w:hAnsi="Garamond" w:cs="Times New Roman"/>
                <w:i/>
                <w:iCs/>
                <w:sz w:val="24"/>
                <w:szCs w:val="24"/>
                <w:lang w:val="sq-AL"/>
              </w:rPr>
              <w:t>t</w:t>
            </w:r>
            <w:r w:rsidRPr="001620BD">
              <w:rPr>
                <w:rFonts w:ascii="Garamond" w:hAnsi="Garamond" w:cs="Times New Roman"/>
                <w:i/>
                <w:iCs/>
                <w:sz w:val="24"/>
                <w:szCs w:val="24"/>
                <w:lang w:val="sq-AL"/>
              </w:rPr>
              <w:t xml:space="preserve"> 94 të ligjit dhe, për këtë arsye, ajo </w:t>
            </w:r>
            <w:r w:rsidRPr="001620BD">
              <w:rPr>
                <w:rFonts w:ascii="Garamond" w:hAnsi="Garamond" w:cs="Times New Roman"/>
                <w:b/>
                <w:bCs/>
                <w:i/>
                <w:iCs/>
                <w:sz w:val="24"/>
                <w:szCs w:val="24"/>
                <w:lang w:val="sq-AL"/>
              </w:rPr>
              <w:t>kategorizohet në masën më të lehtë të sanksionit sipas nenit në fjalë</w:t>
            </w:r>
            <w:r w:rsidRPr="001620BD">
              <w:rPr>
                <w:rFonts w:ascii="Garamond" w:hAnsi="Garamond" w:cs="Times New Roman"/>
                <w:i/>
                <w:iCs/>
                <w:sz w:val="24"/>
                <w:szCs w:val="24"/>
                <w:lang w:val="sq-AL"/>
              </w:rPr>
              <w:t xml:space="preserve">. Së dyti, Zyra e Komisionerit vlerësoi rrethanat e rastit. Në këtë drejtim, Zyra e Komisionerit konsideroi se edhe pse </w:t>
            </w:r>
            <w:r w:rsidRPr="001620BD">
              <w:rPr>
                <w:rFonts w:ascii="Garamond" w:hAnsi="Garamond" w:cs="Times New Roman"/>
                <w:b/>
                <w:bCs/>
                <w:i/>
                <w:iCs/>
                <w:sz w:val="24"/>
                <w:szCs w:val="24"/>
                <w:lang w:val="sq-AL"/>
              </w:rPr>
              <w:t>numri i subjekteve të të dhënave</w:t>
            </w:r>
            <w:r w:rsidRPr="001620BD">
              <w:rPr>
                <w:rFonts w:ascii="Garamond" w:hAnsi="Garamond" w:cs="Times New Roman"/>
                <w:i/>
                <w:iCs/>
                <w:sz w:val="24"/>
                <w:szCs w:val="24"/>
                <w:lang w:val="sq-AL"/>
              </w:rPr>
              <w:t xml:space="preserve"> të prekura nga shkelja ishte vetëm 16, potencialisht, ky numër mund të ishte 20 mijë bazuar në rrethanat e rastit deri, madje, 95 mijë, duke pasur parasysh natyrën sistemike të çështjes. Më tej, Zyra e Komisionerit e kategorizoi shkeljen si </w:t>
            </w:r>
            <w:r w:rsidRPr="001620BD">
              <w:rPr>
                <w:rFonts w:ascii="Garamond" w:hAnsi="Garamond" w:cs="Times New Roman"/>
                <w:b/>
                <w:bCs/>
                <w:i/>
                <w:iCs/>
                <w:sz w:val="24"/>
                <w:szCs w:val="24"/>
                <w:lang w:val="sq-AL"/>
              </w:rPr>
              <w:t>pakujdesi (neglizhencë)</w:t>
            </w:r>
            <w:r w:rsidRPr="001620BD">
              <w:rPr>
                <w:rFonts w:ascii="Garamond" w:hAnsi="Garamond" w:cs="Times New Roman"/>
                <w:i/>
                <w:iCs/>
                <w:sz w:val="24"/>
                <w:szCs w:val="24"/>
                <w:lang w:val="sq-AL"/>
              </w:rPr>
              <w:t xml:space="preserve">, por jo e një rëndësie të lartë, e cila u konsiderua si një faktor pa ndikim në rrethanat e këtij rasti të veçantë, për faktin se spitali nuk kishte miratuar politikat e autorizimit, gjë që, me siguri, duhej ta kishte bërë, por, nga ana tjetër, kishte ndërmarrë hapa për të zbatuar masa të rrepta për të kufizuar aksesin. Ky vlerësim nuk u ndikua nga fakti se politika të tjera të mbrojtjes dhe sigurisë së të dhënave u zbatuan me sukses, siç kërkojnë dispozitat e </w:t>
            </w:r>
            <w:r w:rsidR="00AC3CAA" w:rsidRPr="001620BD">
              <w:rPr>
                <w:rFonts w:ascii="Garamond" w:hAnsi="Garamond" w:cs="Times New Roman"/>
                <w:i/>
                <w:iCs/>
                <w:sz w:val="24"/>
                <w:szCs w:val="24"/>
                <w:lang w:val="sq-AL"/>
              </w:rPr>
              <w:t>ligjit për mbrojtjen e të dhënave personale</w:t>
            </w:r>
            <w:r w:rsidRPr="001620BD">
              <w:rPr>
                <w:rFonts w:ascii="Garamond" w:hAnsi="Garamond" w:cs="Times New Roman"/>
                <w:i/>
                <w:iCs/>
                <w:sz w:val="24"/>
                <w:szCs w:val="24"/>
                <w:lang w:val="sq-AL"/>
              </w:rPr>
              <w:t>. Në fund, Zyra e Komisionerit i kushtoi rëndësi të madhe faktit se kartelat e pacientëve përmbanin të dhëna shëndetësore, të cilat janë</w:t>
            </w:r>
            <w:r w:rsidRPr="001620BD">
              <w:rPr>
                <w:rFonts w:ascii="Garamond" w:hAnsi="Garamond" w:cs="Times New Roman"/>
                <w:b/>
                <w:bCs/>
                <w:i/>
                <w:iCs/>
                <w:sz w:val="24"/>
                <w:szCs w:val="24"/>
                <w:lang w:val="sq-AL"/>
              </w:rPr>
              <w:t xml:space="preserve"> të dhëna sensitive,</w:t>
            </w:r>
            <w:r w:rsidRPr="001620BD">
              <w:rPr>
                <w:rFonts w:ascii="Garamond" w:hAnsi="Garamond" w:cs="Times New Roman"/>
                <w:i/>
                <w:iCs/>
                <w:sz w:val="24"/>
                <w:szCs w:val="24"/>
                <w:lang w:val="sq-AL"/>
              </w:rPr>
              <w:t xml:space="preserve"> sipas nenit 9, të </w:t>
            </w:r>
            <w:r w:rsidR="00AC3CAA" w:rsidRPr="001620BD">
              <w:rPr>
                <w:rFonts w:ascii="Garamond" w:hAnsi="Garamond" w:cs="Times New Roman"/>
                <w:i/>
                <w:iCs/>
                <w:sz w:val="24"/>
                <w:szCs w:val="24"/>
                <w:lang w:val="sq-AL"/>
              </w:rPr>
              <w:t>ligjit për mbrojtjen e të dhënave personale</w:t>
            </w:r>
            <w:r w:rsidRPr="001620BD">
              <w:rPr>
                <w:rFonts w:ascii="Garamond" w:hAnsi="Garamond" w:cs="Times New Roman"/>
                <w:i/>
                <w:iCs/>
                <w:sz w:val="24"/>
                <w:szCs w:val="24"/>
                <w:lang w:val="sq-AL"/>
              </w:rPr>
              <w:t>.</w:t>
            </w:r>
          </w:p>
          <w:p w14:paraId="0BFAE4DB" w14:textId="340DE5E7" w:rsidR="00133485" w:rsidRPr="001620BD" w:rsidRDefault="00133485" w:rsidP="00AC3CAA">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t xml:space="preserve">Duke marrë parasysh të gjitha sa më sipër (natyrën e përpunimit dhe faktin që të dhënat ishin sensitive, përkundrejt numrit të subjekteve të të dhënave të prekur realisht dhe potencialisht, Zyra e Komisionerit konkludoi se shkelja konsiderohet të jetë e një </w:t>
            </w:r>
            <w:r w:rsidRPr="001620BD">
              <w:rPr>
                <w:rFonts w:ascii="Garamond" w:hAnsi="Garamond" w:cs="Times New Roman"/>
                <w:b/>
                <w:bCs/>
                <w:i/>
                <w:iCs/>
                <w:sz w:val="24"/>
                <w:szCs w:val="24"/>
                <w:lang w:val="sq-AL"/>
              </w:rPr>
              <w:t>shkalle rëndësie mesatare</w:t>
            </w:r>
            <w:r w:rsidRPr="001620BD">
              <w:rPr>
                <w:rFonts w:ascii="Garamond" w:hAnsi="Garamond" w:cs="Times New Roman"/>
                <w:i/>
                <w:iCs/>
                <w:sz w:val="24"/>
                <w:szCs w:val="24"/>
                <w:lang w:val="sq-AL"/>
              </w:rPr>
              <w:t xml:space="preserve">. Zyra e Komisionerit përcaktoi si pikënisje të përllogaritjes së mëtejshme të sanksionit në një vlerë midis 10 dhe 20% të tavanit ligjor të parashikuar në pikën 1, të nenit 94 të </w:t>
            </w:r>
            <w:r w:rsidR="00AC3CAA" w:rsidRPr="001620BD">
              <w:rPr>
                <w:rFonts w:ascii="Garamond" w:hAnsi="Garamond" w:cs="Times New Roman"/>
                <w:i/>
                <w:iCs/>
                <w:sz w:val="24"/>
                <w:szCs w:val="24"/>
                <w:lang w:val="sq-AL"/>
              </w:rPr>
              <w:t>ligjit për mbrojtjen e të dhënave personale</w:t>
            </w:r>
            <w:r w:rsidRPr="001620BD">
              <w:rPr>
                <w:rFonts w:ascii="Garamond" w:hAnsi="Garamond" w:cs="Times New Roman"/>
                <w:i/>
                <w:iCs/>
                <w:sz w:val="24"/>
                <w:szCs w:val="24"/>
                <w:lang w:val="sq-AL"/>
              </w:rPr>
              <w:t>.</w:t>
            </w:r>
          </w:p>
        </w:tc>
      </w:tr>
    </w:tbl>
    <w:p w14:paraId="79A3CB94"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5ADFBCE6" w14:textId="77777777" w:rsidTr="003C642D">
        <w:trPr>
          <w:jc w:val="center"/>
        </w:trPr>
        <w:tc>
          <w:tcPr>
            <w:tcW w:w="5000" w:type="pct"/>
          </w:tcPr>
          <w:p w14:paraId="1126CE9B" w14:textId="01E6B150" w:rsidR="00133485" w:rsidRPr="001620BD" w:rsidRDefault="00133485" w:rsidP="00AC3CAA">
            <w:pPr>
              <w:ind w:firstLine="284"/>
              <w:rPr>
                <w:rFonts w:ascii="Garamond" w:hAnsi="Garamond" w:cs="Times New Roman"/>
                <w:sz w:val="24"/>
                <w:szCs w:val="24"/>
                <w:lang w:val="sq-AL"/>
              </w:rPr>
            </w:pPr>
            <w:r w:rsidRPr="001620BD">
              <w:rPr>
                <w:rFonts w:ascii="Garamond" w:hAnsi="Garamond" w:cs="Times New Roman"/>
                <w:b/>
                <w:bCs/>
                <w:i/>
                <w:iCs/>
                <w:sz w:val="24"/>
                <w:szCs w:val="24"/>
                <w:lang w:val="sq-AL"/>
              </w:rPr>
              <w:t>Shembulli 5c</w:t>
            </w:r>
            <w:r w:rsidR="00AC3CAA" w:rsidRPr="001620BD">
              <w:rPr>
                <w:rFonts w:ascii="Garamond" w:hAnsi="Garamond" w:cs="Times New Roman"/>
                <w:b/>
                <w:bCs/>
                <w:i/>
                <w:iCs/>
                <w:sz w:val="24"/>
                <w:szCs w:val="24"/>
                <w:lang w:val="sq-AL"/>
              </w:rPr>
              <w:t>.</w:t>
            </w:r>
            <w:r w:rsidRPr="001620BD">
              <w:rPr>
                <w:rFonts w:ascii="Garamond" w:hAnsi="Garamond" w:cs="Times New Roman"/>
                <w:b/>
                <w:bCs/>
                <w:sz w:val="24"/>
                <w:szCs w:val="24"/>
                <w:lang w:val="sq-AL"/>
              </w:rPr>
              <w:t xml:space="preserve"> </w:t>
            </w:r>
            <w:r w:rsidRPr="001620BD">
              <w:rPr>
                <w:rFonts w:ascii="Garamond" w:hAnsi="Garamond" w:cs="Times New Roman"/>
                <w:b/>
                <w:bCs/>
                <w:i/>
                <w:iCs/>
                <w:sz w:val="24"/>
                <w:szCs w:val="24"/>
                <w:lang w:val="sq-AL"/>
              </w:rPr>
              <w:t>Kualifikimi i rëndësisë së një shkeljeje (shkalla e ulët e rëndësisë)</w:t>
            </w:r>
          </w:p>
          <w:p w14:paraId="18D0C6B6" w14:textId="2FFF7A60"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Zyra e Komisionerit ka marrë ankesa të shumta për mënyrën se si një dyqan online trajton të drejtën e aksesit të të dhënave të subjekteve të tij. Sipas ankuesve, trajtimi i kërkesave të tyre për akses ka zgjatur nga 4 deri në 6 muaj, që është jashtë afatit kohor të lejuar nga dispozitat e </w:t>
            </w:r>
            <w:r w:rsidR="00AC3CAA" w:rsidRPr="001620BD">
              <w:rPr>
                <w:rFonts w:ascii="Garamond" w:hAnsi="Garamond" w:cs="Times New Roman"/>
                <w:i/>
                <w:iCs/>
                <w:sz w:val="24"/>
                <w:szCs w:val="24"/>
                <w:lang w:val="sq-AL"/>
              </w:rPr>
              <w:t>ligjit për mbrojtjen e të dhënave personale</w:t>
            </w:r>
            <w:r w:rsidRPr="001620BD">
              <w:rPr>
                <w:rFonts w:ascii="Garamond" w:hAnsi="Garamond" w:cs="Times New Roman"/>
                <w:i/>
                <w:iCs/>
                <w:sz w:val="24"/>
                <w:szCs w:val="24"/>
                <w:lang w:val="sq-AL"/>
              </w:rPr>
              <w:t xml:space="preserve">. Zyra e Komisionerit hetoi ankesat dhe konstatoi se dyqani online u përgjigjet kërkesave për akses, maksimumi, 3 muaj me vonesë në 5% të rasteve. Në total, dyqani kishte marrë rreth 1000 kërkesa për akses në bazë vjetore dhe konfirmoi se 950 prej tyre ishin trajtuar në kohë. Për më tepër, dyqani online kishte miratuar politika për të siguruar që të gjitha kërkesat të trajtoheshin në mënyrë korrekte dhe të plotë. Megjithatë, Zyra e Komisionerit konkludoi se dyqani online kishte shkelur pikën 4, të nenit 12, të </w:t>
            </w:r>
            <w:r w:rsidR="00AC3CAA" w:rsidRPr="001620BD">
              <w:rPr>
                <w:rFonts w:ascii="Garamond" w:hAnsi="Garamond" w:cs="Times New Roman"/>
                <w:i/>
                <w:iCs/>
                <w:sz w:val="24"/>
                <w:szCs w:val="24"/>
                <w:lang w:val="sq-AL"/>
              </w:rPr>
              <w:t xml:space="preserve">ligjit për mbrojtjen e të dhënave </w:t>
            </w:r>
            <w:r w:rsidRPr="001620BD">
              <w:rPr>
                <w:rFonts w:ascii="Garamond" w:hAnsi="Garamond" w:cs="Times New Roman"/>
                <w:i/>
                <w:iCs/>
                <w:sz w:val="24"/>
                <w:szCs w:val="24"/>
                <w:lang w:val="sq-AL"/>
              </w:rPr>
              <w:t>dhe e sanksionoi këtë shkelje me gjobë.</w:t>
            </w:r>
          </w:p>
          <w:p w14:paraId="3EFACC6D" w14:textId="5AEE6FEE"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Gjatë përllogaritjes së masës së sanksionit, Zyra e Komisionerit vlerësoi shkallën e rëndësisë së shkeljes së këtij rasti. Në lidhje me pikënisjen e përllogaritjes, Zyra e Komisionerit vërejti se rasti në fjalë rezultonte në shkelje të nenit 12 të </w:t>
            </w:r>
            <w:r w:rsidR="00AC3CAA" w:rsidRPr="001620BD">
              <w:rPr>
                <w:rFonts w:ascii="Garamond" w:hAnsi="Garamond" w:cs="Times New Roman"/>
                <w:i/>
                <w:iCs/>
                <w:sz w:val="24"/>
                <w:szCs w:val="24"/>
                <w:lang w:val="sq-AL"/>
              </w:rPr>
              <w:t>ligjit për mbrojtjen e të dhënave personale</w:t>
            </w:r>
            <w:r w:rsidRPr="001620BD">
              <w:rPr>
                <w:rFonts w:ascii="Garamond" w:hAnsi="Garamond" w:cs="Times New Roman"/>
                <w:i/>
                <w:iCs/>
                <w:sz w:val="24"/>
                <w:szCs w:val="24"/>
                <w:lang w:val="sq-AL"/>
              </w:rPr>
              <w:t xml:space="preserve">, e </w:t>
            </w:r>
            <w:r w:rsidRPr="001620BD">
              <w:rPr>
                <w:rFonts w:ascii="Garamond" w:hAnsi="Garamond" w:cs="Times New Roman"/>
                <w:b/>
                <w:bCs/>
                <w:i/>
                <w:iCs/>
                <w:sz w:val="24"/>
                <w:szCs w:val="24"/>
                <w:lang w:val="sq-AL"/>
              </w:rPr>
              <w:t xml:space="preserve">cila renditet ndër shkeljet e sanksionueshme sipas pikës 2 të nenit 94 të </w:t>
            </w:r>
            <w:r w:rsidR="00AC3CAA" w:rsidRPr="001620BD">
              <w:rPr>
                <w:rFonts w:ascii="Garamond" w:hAnsi="Garamond" w:cs="Times New Roman"/>
                <w:b/>
                <w:bCs/>
                <w:i/>
                <w:iCs/>
                <w:sz w:val="24"/>
                <w:szCs w:val="24"/>
                <w:lang w:val="sq-AL"/>
              </w:rPr>
              <w:t>ligjit për mbrojtjen e të dhënave personale</w:t>
            </w:r>
            <w:r w:rsidRPr="001620BD">
              <w:rPr>
                <w:rFonts w:ascii="Garamond" w:hAnsi="Garamond" w:cs="Times New Roman"/>
                <w:i/>
                <w:iCs/>
                <w:sz w:val="24"/>
                <w:szCs w:val="24"/>
                <w:lang w:val="sq-AL"/>
              </w:rPr>
              <w:t xml:space="preserve">, e cila përbën shkallën më të lartë të masës së sanksionit të parashikuar nga ky nen. Së dyti, Zyra e Komisionerit vlerësoi rrethanat e rastit. Në këtë drejtim, ajo analizoi me kujdes </w:t>
            </w:r>
            <w:r w:rsidRPr="001620BD">
              <w:rPr>
                <w:rFonts w:ascii="Garamond" w:hAnsi="Garamond" w:cs="Times New Roman"/>
                <w:b/>
                <w:bCs/>
                <w:i/>
                <w:iCs/>
                <w:sz w:val="24"/>
                <w:szCs w:val="24"/>
                <w:lang w:val="sq-AL"/>
              </w:rPr>
              <w:t>natyrën e shkeljes</w:t>
            </w:r>
            <w:r w:rsidRPr="001620BD">
              <w:rPr>
                <w:rFonts w:ascii="Garamond" w:hAnsi="Garamond" w:cs="Times New Roman"/>
                <w:i/>
                <w:iCs/>
                <w:sz w:val="24"/>
                <w:szCs w:val="24"/>
                <w:lang w:val="sq-AL"/>
              </w:rPr>
              <w:t xml:space="preserve">. Edhe pse e drejta për akses në të dhënat personale, brenda afateve të ligjit, është një nga themelet e të drejtave të subjektit të të dhënave, Zyra e Komisionerit konsideroi se shkelja ishte e një shkalle rëndësie të kufizuar, meqenëse të gjitha kërkesat ishin trajtuar përfundimisht dhe me një vonesë të kufizuar. Duke marrë parasysh </w:t>
            </w:r>
            <w:r w:rsidRPr="001620BD">
              <w:rPr>
                <w:rFonts w:ascii="Garamond" w:hAnsi="Garamond" w:cs="Times New Roman"/>
                <w:b/>
                <w:bCs/>
                <w:i/>
                <w:iCs/>
                <w:sz w:val="24"/>
                <w:szCs w:val="24"/>
                <w:lang w:val="sq-AL"/>
              </w:rPr>
              <w:t>qëllimin e përpunimit</w:t>
            </w:r>
            <w:r w:rsidRPr="001620BD">
              <w:rPr>
                <w:rFonts w:ascii="Garamond" w:hAnsi="Garamond" w:cs="Times New Roman"/>
                <w:i/>
                <w:iCs/>
                <w:sz w:val="24"/>
                <w:szCs w:val="24"/>
                <w:lang w:val="sq-AL"/>
              </w:rPr>
              <w:t xml:space="preserve">, Zyra e Komisionerit konstatoi se përpunimi i të dhënave personale nuk ishte veprimtaria thelbësore (core activity) i dyqanit online, por gjithsesi një mjet i rëndësishëm ndihmës në përmbushjen e objektivit të tij për shitjen e mallrave online. Zyra e Komisionerit e mori në konsideratë </w:t>
            </w:r>
            <w:r w:rsidRPr="001620BD">
              <w:rPr>
                <w:rFonts w:ascii="Garamond" w:hAnsi="Garamond" w:cs="Times New Roman"/>
                <w:i/>
                <w:iCs/>
                <w:sz w:val="24"/>
                <w:szCs w:val="24"/>
                <w:lang w:val="sq-AL"/>
              </w:rPr>
              <w:lastRenderedPageBreak/>
              <w:t xml:space="preserve">këtë për të ulur shkallën e rëndësisë së shkeljes. Nga ana tjetër, </w:t>
            </w:r>
            <w:r w:rsidRPr="001620BD">
              <w:rPr>
                <w:rFonts w:ascii="Garamond" w:hAnsi="Garamond" w:cs="Times New Roman"/>
                <w:b/>
                <w:bCs/>
                <w:i/>
                <w:iCs/>
                <w:sz w:val="24"/>
                <w:szCs w:val="24"/>
                <w:lang w:val="sq-AL"/>
              </w:rPr>
              <w:t>shkalla e dëmit</w:t>
            </w:r>
            <w:r w:rsidRPr="001620BD">
              <w:rPr>
                <w:rFonts w:ascii="Garamond" w:hAnsi="Garamond" w:cs="Times New Roman"/>
                <w:i/>
                <w:iCs/>
                <w:sz w:val="24"/>
                <w:szCs w:val="24"/>
                <w:lang w:val="sq-AL"/>
              </w:rPr>
              <w:t xml:space="preserve"> të pësuar nga subjektet e të dhënave u konsiderua minimale, pasi të gjitha kërkesat për akses ishin trajtuar brenda 6 muajsh.</w:t>
            </w:r>
          </w:p>
          <w:p w14:paraId="499B0370" w14:textId="6895B11E" w:rsidR="00133485" w:rsidRPr="001620BD" w:rsidRDefault="00133485" w:rsidP="004B4AEB">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t xml:space="preserve">Duke marrë parasysh të gjitha sa më sipër (natyrën e shkeljes, qëllimin e përpunimit dhe shkallën e dëmit), Zyra e Komisionerit arriti në përfundimin se shkelja rezulton të jetë e një shkalle të ulët rëndësie. Zyra e Komisionerit përcaktoi si pikënisje për përllogaritjen e masës së sanksionit një vlerë midis 0 dhe 10% të tavanit ligjor të parashikuar në pikën 2, të nenit 94 të </w:t>
            </w:r>
            <w:r w:rsidR="004B4AEB" w:rsidRPr="001620BD">
              <w:rPr>
                <w:rFonts w:ascii="Garamond" w:hAnsi="Garamond" w:cs="Times New Roman"/>
                <w:i/>
                <w:iCs/>
                <w:sz w:val="24"/>
                <w:szCs w:val="24"/>
                <w:lang w:val="sq-AL"/>
              </w:rPr>
              <w:t>ligjit për mbrojtjen e të dhënave personale</w:t>
            </w:r>
            <w:r w:rsidRPr="001620BD">
              <w:rPr>
                <w:rFonts w:ascii="Garamond" w:hAnsi="Garamond" w:cs="Times New Roman"/>
                <w:i/>
                <w:iCs/>
                <w:sz w:val="24"/>
                <w:szCs w:val="24"/>
                <w:lang w:val="sq-AL"/>
              </w:rPr>
              <w:t xml:space="preserve">. </w:t>
            </w:r>
          </w:p>
        </w:tc>
      </w:tr>
    </w:tbl>
    <w:p w14:paraId="545E9BE5"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p w14:paraId="4C8F7FF3" w14:textId="4F8EB6E6" w:rsidR="00133485" w:rsidRPr="001620BD" w:rsidRDefault="00133485" w:rsidP="00133485">
      <w:pPr>
        <w:pStyle w:val="Heading2"/>
        <w:spacing w:before="0" w:beforeAutospacing="0" w:after="0" w:afterAutospacing="0"/>
        <w:ind w:firstLine="284"/>
        <w:jc w:val="both"/>
        <w:rPr>
          <w:rFonts w:ascii="Garamond" w:hAnsi="Garamond"/>
          <w:szCs w:val="24"/>
        </w:rPr>
      </w:pPr>
      <w:bookmarkStart w:id="22" w:name="_Hlk122297291"/>
      <w:bookmarkStart w:id="23" w:name="_Toc203658661"/>
      <w:r w:rsidRPr="001620BD">
        <w:rPr>
          <w:rFonts w:ascii="Garamond" w:hAnsi="Garamond"/>
          <w:szCs w:val="24"/>
        </w:rPr>
        <w:t xml:space="preserve">4.3 Xhiroja e </w:t>
      </w:r>
      <w:r w:rsidR="007B7326" w:rsidRPr="001620BD">
        <w:rPr>
          <w:rFonts w:ascii="Garamond" w:hAnsi="Garamond"/>
          <w:szCs w:val="24"/>
        </w:rPr>
        <w:t xml:space="preserve">ndërmarrjes </w:t>
      </w:r>
      <w:r w:rsidRPr="001620BD">
        <w:rPr>
          <w:rFonts w:ascii="Garamond" w:hAnsi="Garamond"/>
          <w:szCs w:val="24"/>
        </w:rPr>
        <w:t xml:space="preserve">si element për vendosjen e një sanksioni efektiv, proporcional dhe me karakter </w:t>
      </w:r>
      <w:bookmarkEnd w:id="22"/>
      <w:r w:rsidRPr="001620BD">
        <w:rPr>
          <w:rFonts w:ascii="Garamond" w:hAnsi="Garamond"/>
          <w:szCs w:val="24"/>
        </w:rPr>
        <w:t>parandalues</w:t>
      </w:r>
      <w:bookmarkEnd w:id="23"/>
    </w:p>
    <w:p w14:paraId="382C6C5D" w14:textId="18E1D36A"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52. Ligji kërkon që Zyra e Komisionerit të sigurojë që sanksioni administrativ (masa e gjobës) të jetë efektive, proporcionale dhe me karakter parandalues në çdo rast individual (neni 93(1) i ligjit). Zbatimi i këtyre parimeve të ligjit mund të ketë pasoja të gjera në raste individuale, pasi pikënisjet që parashikon ligji, në mënyrë abstrakte, për përllogaritjen e masave të sanksioneve zbatohen si për ndërmarrjet e vogla, ashtu edhe ato më të mëdha. Për të aplikuar një sanksion administrativ (gjobë) që është efektiv, proporcional dhe me karakter parandalues në të gjitha rastet, Zyra e Komisionerit duhet të përshtasë masat e sanksioneve brenda gamës së disponueshme, por pa kaluar tavanin ligjor përkatës. Kjo mund të çojë në zmadhimin ose zvogëlimin e konsiderueshëm të masës së sanksionit, në varësi të rrethanave të çështjes.</w:t>
      </w:r>
    </w:p>
    <w:p w14:paraId="1B45F285" w14:textId="65B7DB94"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53. Zyra e Komisionerit vlerëson të rëndësishëm përcaktimin e një dallimi të drejtë lidhur me përmasën e </w:t>
      </w:r>
      <w:r w:rsidR="003C642D" w:rsidRPr="001620BD">
        <w:rPr>
          <w:rFonts w:ascii="Garamond" w:hAnsi="Garamond" w:cs="Times New Roman"/>
          <w:sz w:val="24"/>
          <w:szCs w:val="24"/>
          <w:lang w:val="sq-AL"/>
        </w:rPr>
        <w:t xml:space="preserve">kontrolluesve/përpunuesve </w:t>
      </w:r>
      <w:r w:rsidRPr="001620BD">
        <w:rPr>
          <w:rFonts w:ascii="Garamond" w:hAnsi="Garamond" w:cs="Times New Roman"/>
          <w:sz w:val="24"/>
          <w:szCs w:val="24"/>
          <w:lang w:val="sq-AL"/>
        </w:rPr>
        <w:t>sa i përket përcaktimit të pikënisjes së përllogaritjes së masave të sanksioneve të treguara në vijim dhe për këtë arsye, merr në konsideratë xhiron e saj</w:t>
      </w:r>
      <w:r w:rsidRPr="001620BD">
        <w:rPr>
          <w:rStyle w:val="FootnoteReference"/>
          <w:rFonts w:ascii="Garamond" w:hAnsi="Garamond" w:cs="Times New Roman"/>
          <w:sz w:val="24"/>
          <w:szCs w:val="24"/>
          <w:lang w:val="sq-AL"/>
        </w:rPr>
        <w:footnoteReference w:id="12"/>
      </w:r>
      <w:r w:rsidRPr="001620BD">
        <w:rPr>
          <w:rFonts w:ascii="Garamond" w:hAnsi="Garamond" w:cs="Times New Roman"/>
          <w:sz w:val="24"/>
          <w:szCs w:val="24"/>
          <w:lang w:val="sq-AL"/>
        </w:rPr>
        <w:t>. Megjithatë, kjo nuk e përjashton Zyrën e Komisionerit nga përgjegjësia për të kryer një shqyrtim të efektivitetit, proporcionalitetit dhe karakterit parandalues pas përllogaritjes së masës së sanksionit</w:t>
      </w:r>
      <w:r w:rsidRPr="001620BD">
        <w:rPr>
          <w:rStyle w:val="FootnoteReference"/>
          <w:rFonts w:ascii="Garamond" w:hAnsi="Garamond" w:cs="Times New Roman"/>
          <w:sz w:val="24"/>
          <w:szCs w:val="24"/>
          <w:lang w:val="sq-AL"/>
        </w:rPr>
        <w:footnoteReference w:id="13"/>
      </w:r>
      <w:r w:rsidRPr="001620BD">
        <w:rPr>
          <w:rFonts w:ascii="Garamond" w:hAnsi="Garamond" w:cs="Times New Roman"/>
          <w:sz w:val="24"/>
          <w:szCs w:val="24"/>
          <w:lang w:val="sq-AL"/>
        </w:rPr>
        <w:t>. Kjo e fundit përfshin të gjitha rrethanat e çështjes, si p.sh. kryerja e shkeljeve të shumëfishta, zmadhimin ose dhe zvogëlimin e masës së sanksionit sipas rrethanave rënduese dhe lehtësuese, si dhe sipas rrethanave financiare/socio-ekonomike. Megjithatë, Zyra e Komisionerit duhet të sigurojë që të njëjtat rrethana të mos listohen (merren në konsideratë) dy herë. Në veçanti, Zyra e Komisionerit nuk duhet të përsërisë zmadhimin ose zvogëlimin e masës së sanksionit sipas xhiros së shoqërisë, por të rishikojë vlerësimin e bërë prej saj lidhur me vlerën e përshtatshme të pikënisjes së përllogaritjes.</w:t>
      </w:r>
    </w:p>
    <w:p w14:paraId="65759DC6" w14:textId="53672E91"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54. Për arsyet e treguara më sipër, Zyra e Komisionerit mund të marrë në konsideratë përshtatjen e vlerës së pikënisjes së përllogaritjes sipas shkallës së rëndësisë së shkeljes, në rastet kur kjo shkelje kryhet nga një ndërmarrje me një xhiro vjetore jo më shumë se 10 000 000 lekë, një xhiro vjetore jo më shumë se 50 000 000 lekë ose një xhiro vjetore jo më shumë se 250 000 000 lekë</w:t>
      </w:r>
      <w:r w:rsidRPr="001620BD">
        <w:rPr>
          <w:rStyle w:val="FootnoteReference"/>
          <w:rFonts w:ascii="Garamond" w:hAnsi="Garamond" w:cs="Times New Roman"/>
          <w:sz w:val="24"/>
          <w:szCs w:val="24"/>
          <w:lang w:val="sq-AL"/>
        </w:rPr>
        <w:footnoteReference w:id="14"/>
      </w:r>
      <w:r w:rsidRPr="001620BD">
        <w:rPr>
          <w:rFonts w:ascii="Garamond" w:hAnsi="Garamond" w:cs="Times New Roman"/>
          <w:sz w:val="24"/>
          <w:szCs w:val="24"/>
          <w:lang w:val="sq-AL"/>
        </w:rPr>
        <w:t>.</w:t>
      </w:r>
    </w:p>
    <w:p w14:paraId="6C329D61" w14:textId="164ABCFA"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Për ndërmarrjet me një xhiro vjetore ≤ 10 000 000 lekë, Zyra e Komisionerit mund të konsiderojë vijimin e përllogaritjes së masës së sanksionit mbi bazën e një shume deri në 0.2% të pikënisjes së identifikuar.</w:t>
      </w:r>
    </w:p>
    <w:p w14:paraId="6CCC7404" w14:textId="6312103B"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Për ndërmarrjet me një xhiro vjetore mbi 10 000 000 lekë deri në 50 000 000 lekë, Zyra e Komisionerit mund të konsiderojë vijimin e përllogaritjes së masës së sanksionit mbi bazën e një shume deri në 0.3 % të pikënisjes së identifikuar.</w:t>
      </w:r>
    </w:p>
    <w:p w14:paraId="7A8BBF4D" w14:textId="3E47D209"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Për ndërmarrjet me një xhiro vjetore mbi 50 000 000 lekë deri 250 000 000 lekë, Zyra e Komisionerit mund të konsiderojë vijimin e përllogaritjes së masës së sanksionit mbi bazën e një shume deri në 5 % të pikënisjes së identifikuar.</w:t>
      </w:r>
    </w:p>
    <w:p w14:paraId="5E36E4EE" w14:textId="23D21D0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lastRenderedPageBreak/>
        <w:t>55. Për të njëjtat arsye, Zyra e Komisionerit mund të marrë në konsideratë përshtatjen e vlerës së pikënisjes së përllogaritjes sipas shkallës së rëndësisë së shkeljes në rastet kur kjo shkelje kryhet nga një ndërmarrje me një qarkullim vjetor jo më shumë se 500 000 000 lekë, një xhiro vjetore jo më shumë se 1 000 000 000 lekë ose një xhiro vjetore mbi 1 000 000 000 lekë</w:t>
      </w:r>
      <w:r w:rsidRPr="001620BD">
        <w:rPr>
          <w:rStyle w:val="FootnoteReference"/>
          <w:rFonts w:ascii="Garamond" w:hAnsi="Garamond" w:cs="Times New Roman"/>
          <w:sz w:val="24"/>
          <w:szCs w:val="24"/>
          <w:lang w:val="sq-AL"/>
        </w:rPr>
        <w:footnoteReference w:id="15"/>
      </w:r>
      <w:r w:rsidRPr="001620BD">
        <w:rPr>
          <w:rFonts w:ascii="Garamond" w:hAnsi="Garamond" w:cs="Times New Roman"/>
          <w:sz w:val="24"/>
          <w:szCs w:val="24"/>
          <w:lang w:val="sq-AL"/>
        </w:rPr>
        <w:t>.</w:t>
      </w:r>
    </w:p>
    <w:p w14:paraId="7AF97751" w14:textId="475363CD"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Për ndërmarrjet me një xhiro vjetore mbi 250 000 000 lekë deri në 500 000 000 lekë, Zyra e Komisionerit mund të konsiderojë vijimin e përllogaritjes së masës së sanksionit mbi bazën e një shume deri në 8% të pikënisjes së identifikuar.</w:t>
      </w:r>
    </w:p>
    <w:p w14:paraId="4F635E1A" w14:textId="5FC6AC9F"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Për ndërmarrjet me një xhiro vjetore mbi 500 000 000 lekë deri në 1 000 000 000 lekë, Zyra e Komisionerit mund të konsiderojë vijimin e përllogaritjes së masës së sanksionit mbi bazën e një shume deri në 15% të pikënisjes së identifikuar.</w:t>
      </w:r>
    </w:p>
    <w:p w14:paraId="321DF911" w14:textId="1D93A551"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Për ndërmarrjet me një xhiro vjetore mbi 1 000 000 000 lekë, Zyra e Komisionerit mund të konsiderojë vijimin e përllogaritjes së masës së sanksionit mbi bazën e një shume deri në 40% të pikënisjes së identifikuar.</w:t>
      </w:r>
    </w:p>
    <w:p w14:paraId="42E8D10D" w14:textId="7B1233EB"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56. Si rregull i përgjithshëm, sa më i madh të jetë qarkullimi i ndërmarrjes brenda nivelit të zbatueshëm për të, aq më e madhe ka të ngjarë të jetë pikënisja e përllogaritjes. Kjo e fundit vlen veçanërisht për ndërmarrjet më të mëdha, për të cilat kategoria e pikënisjes së përllogaritjes ka gamën më të gjerë.</w:t>
      </w:r>
    </w:p>
    <w:p w14:paraId="78A8AB52" w14:textId="410147BD"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57. Për më tepër, Zyra e Komisionerit nuk është e detyruar të zbatojë këtë rregullim për të përshtatur pikënisjen e përllogaritjes, nëse kjo nuk paraqitet e nevojshme nga pikëpamja e efektivitetit, proporcionalitetit dhe karakterit parandalues i sanksionit.</w:t>
      </w:r>
    </w:p>
    <w:p w14:paraId="79C1738E" w14:textId="145BCFD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58. Duhet të ritheksohet se këto shifra janë pikënisje për llogaritjet e mëtejshme dhe jo shuma fikse (etiketa çmimesh) për shkelje të dispozitave të </w:t>
      </w:r>
      <w:r w:rsidR="004B4AEB" w:rsidRPr="001620BD">
        <w:rPr>
          <w:rFonts w:ascii="Garamond" w:hAnsi="Garamond" w:cs="Times New Roman"/>
          <w:sz w:val="24"/>
          <w:szCs w:val="24"/>
          <w:lang w:val="sq-AL"/>
        </w:rPr>
        <w:t>ligjit për mbrojtje e të dhënave personale</w:t>
      </w:r>
      <w:r w:rsidRPr="001620BD">
        <w:rPr>
          <w:rFonts w:ascii="Garamond" w:hAnsi="Garamond" w:cs="Times New Roman"/>
          <w:sz w:val="24"/>
          <w:szCs w:val="24"/>
          <w:lang w:val="sq-AL"/>
        </w:rPr>
        <w:t>. Zyra e Komisionerit ka diskrecionin për të përdorur gamën e plotë të masave të sanksioneve, nga më minimalja deri në tavanin e zbatueshëm ligjor, duke siguruar që masa e sanksionit të përshtatet me rrethanat e çështjes.</w:t>
      </w:r>
    </w:p>
    <w:p w14:paraId="0D7AF7B7"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52747465" w14:textId="77777777" w:rsidTr="00FA1E34">
        <w:trPr>
          <w:jc w:val="center"/>
        </w:trPr>
        <w:tc>
          <w:tcPr>
            <w:tcW w:w="5000" w:type="pct"/>
          </w:tcPr>
          <w:p w14:paraId="135FC506" w14:textId="2D450C65"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b/>
                <w:bCs/>
                <w:i/>
                <w:iCs/>
                <w:sz w:val="24"/>
                <w:szCs w:val="24"/>
                <w:lang w:val="sq-AL"/>
              </w:rPr>
              <w:t>Shembulli 6a</w:t>
            </w:r>
            <w:r w:rsidR="004B4AEB"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Identifikimi i pikënisjes për përllogaritje të mëtejshme të masës së sanksionit</w:t>
            </w:r>
          </w:p>
          <w:p w14:paraId="5C1640FC" w14:textId="2B6D631C"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Një rrjet supermarketesh me një xhiro prej 2 000 000 000 lekë</w:t>
            </w:r>
            <w:r w:rsidR="003357A1" w:rsidRPr="001620BD">
              <w:rPr>
                <w:rFonts w:ascii="Garamond" w:hAnsi="Garamond" w:cs="Times New Roman"/>
                <w:i/>
                <w:iCs/>
                <w:sz w:val="24"/>
                <w:szCs w:val="24"/>
                <w:lang w:val="sq-AL"/>
              </w:rPr>
              <w:t>sh</w:t>
            </w:r>
            <w:r w:rsidRPr="001620BD">
              <w:rPr>
                <w:rFonts w:ascii="Garamond" w:hAnsi="Garamond" w:cs="Times New Roman"/>
                <w:i/>
                <w:iCs/>
                <w:sz w:val="24"/>
                <w:szCs w:val="24"/>
                <w:lang w:val="sq-AL"/>
              </w:rPr>
              <w:t xml:space="preserve"> ka shkelur nenin 12, të </w:t>
            </w:r>
            <w:r w:rsidR="004B4AEB" w:rsidRPr="001620BD">
              <w:rPr>
                <w:rFonts w:ascii="Garamond" w:hAnsi="Garamond" w:cs="Times New Roman"/>
                <w:i/>
                <w:iCs/>
                <w:sz w:val="24"/>
                <w:szCs w:val="24"/>
                <w:lang w:val="sq-AL"/>
              </w:rPr>
              <w:t xml:space="preserve">ligjit për mbrojtjen </w:t>
            </w:r>
            <w:r w:rsidRPr="001620BD">
              <w:rPr>
                <w:rFonts w:ascii="Garamond" w:hAnsi="Garamond" w:cs="Times New Roman"/>
                <w:i/>
                <w:iCs/>
                <w:sz w:val="24"/>
                <w:szCs w:val="24"/>
                <w:lang w:val="sq-AL"/>
              </w:rPr>
              <w:t xml:space="preserve">e të </w:t>
            </w:r>
            <w:r w:rsidR="004B4AEB" w:rsidRPr="001620BD">
              <w:rPr>
                <w:rFonts w:ascii="Garamond" w:hAnsi="Garamond" w:cs="Times New Roman"/>
                <w:i/>
                <w:iCs/>
                <w:sz w:val="24"/>
                <w:szCs w:val="24"/>
                <w:lang w:val="sq-AL"/>
              </w:rPr>
              <w:t>dhënave</w:t>
            </w:r>
            <w:r w:rsidRPr="001620BD">
              <w:rPr>
                <w:rFonts w:ascii="Garamond" w:hAnsi="Garamond" w:cs="Times New Roman"/>
                <w:i/>
                <w:iCs/>
                <w:sz w:val="24"/>
                <w:szCs w:val="24"/>
                <w:lang w:val="sq-AL"/>
              </w:rPr>
              <w:t xml:space="preserve">. Zyra e Komisionerit, bazuar në një analizë të kujdesshme të rrethanave të rastit, vendosi se shkelja është e një shkalle rëndësie të ulët. Për të përcaktuar vlerën e pikënisjes për llogaritjen e mëtejshme të masës së sanksionit, Zyra e Komisionerit, fillimisht, vëren se neni 12 </w:t>
            </w:r>
            <w:r w:rsidR="004B4AEB" w:rsidRPr="001620BD">
              <w:rPr>
                <w:rFonts w:ascii="Garamond" w:hAnsi="Garamond" w:cs="Times New Roman"/>
                <w:i/>
                <w:iCs/>
                <w:sz w:val="24"/>
                <w:szCs w:val="24"/>
                <w:lang w:val="sq-AL"/>
              </w:rPr>
              <w:t xml:space="preserve">i ligjit për mbrojtjen e të dhënave personale </w:t>
            </w:r>
            <w:r w:rsidRPr="001620BD">
              <w:rPr>
                <w:rFonts w:ascii="Garamond" w:hAnsi="Garamond" w:cs="Times New Roman"/>
                <w:i/>
                <w:iCs/>
                <w:sz w:val="24"/>
                <w:szCs w:val="24"/>
                <w:lang w:val="sq-AL"/>
              </w:rPr>
              <w:t xml:space="preserve">renditet në germën “b” të pikës 2 të nenit 94 të ligjit dhe se, bazuar në xhiron e </w:t>
            </w:r>
            <w:r w:rsidR="004B4AEB" w:rsidRPr="001620BD">
              <w:rPr>
                <w:rFonts w:ascii="Garamond" w:hAnsi="Garamond" w:cs="Times New Roman"/>
                <w:i/>
                <w:iCs/>
                <w:sz w:val="24"/>
                <w:szCs w:val="24"/>
                <w:lang w:val="sq-AL"/>
              </w:rPr>
              <w:t xml:space="preserve">ndërmarrjes </w:t>
            </w:r>
            <w:r w:rsidRPr="001620BD">
              <w:rPr>
                <w:rFonts w:ascii="Garamond" w:hAnsi="Garamond" w:cs="Times New Roman"/>
                <w:i/>
                <w:iCs/>
                <w:sz w:val="24"/>
                <w:szCs w:val="24"/>
                <w:lang w:val="sq-AL"/>
              </w:rPr>
              <w:t>(2 000 000 000 lekë), zbatohet një tavan ligjor i barabartë me 2 000 000 000 lekë.</w:t>
            </w:r>
          </w:p>
          <w:p w14:paraId="7A095632" w14:textId="69A1CA71"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Bazuar në shkallën e rëndësisë së shkeljes, të përcaktuar nga Zyra e Komisionerit (e ulët), pikënisja e përllogaritjes duhet të variojë në vlerat midis 0 dhe 10% të tavanit ligjor të zbatueshëm</w:t>
            </w:r>
            <w:r w:rsidRPr="001620BD">
              <w:rPr>
                <w:rStyle w:val="FootnoteReference"/>
                <w:rFonts w:ascii="Garamond" w:hAnsi="Garamond" w:cs="Times New Roman"/>
                <w:i/>
                <w:iCs/>
                <w:sz w:val="24"/>
                <w:szCs w:val="24"/>
                <w:lang w:val="sq-AL"/>
              </w:rPr>
              <w:footnoteReference w:id="16"/>
            </w:r>
            <w:r w:rsidRPr="001620BD">
              <w:rPr>
                <w:rFonts w:ascii="Garamond" w:hAnsi="Garamond" w:cs="Times New Roman"/>
                <w:i/>
                <w:iCs/>
                <w:sz w:val="24"/>
                <w:szCs w:val="24"/>
                <w:lang w:val="sq-AL"/>
              </w:rPr>
              <w:t>(pra nga 0 deri në 200 000 000 lekë). Bazuar në xhiron e ndërmarrjes (2 000 000 000 lekë), Zyra e Komisionerit mund të marrë në konsideratë uljen e mëtejshme të kësaj shume në 40% të vlerës së pikënisjes së identifikuar, e cila korrespondon me shkallën e rëndësisë së shkeljes.</w:t>
            </w:r>
          </w:p>
          <w:p w14:paraId="59D16DF7" w14:textId="6BA0BC65" w:rsidR="00133485" w:rsidRPr="001620BD" w:rsidRDefault="00133485" w:rsidP="007E1BEE">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t xml:space="preserve">Në rastin konkret, Zyra e Komisionerit konsideroi se – për shkak të shkallës së rëndësisë relativisht të ulët të shkeljes, krahasuar me xhiron relativisht të madhe </w:t>
            </w:r>
            <w:r w:rsidR="004B4AEB" w:rsidRPr="001620BD">
              <w:rPr>
                <w:rFonts w:ascii="Garamond" w:hAnsi="Garamond" w:cs="Times New Roman"/>
                <w:i/>
                <w:iCs/>
                <w:sz w:val="24"/>
                <w:szCs w:val="24"/>
                <w:lang w:val="sq-AL"/>
              </w:rPr>
              <w:t xml:space="preserve">të ndërmarrjes </w:t>
            </w:r>
            <w:r w:rsidRPr="001620BD">
              <w:rPr>
                <w:rFonts w:ascii="Garamond" w:hAnsi="Garamond" w:cs="Times New Roman"/>
                <w:i/>
                <w:iCs/>
                <w:sz w:val="24"/>
                <w:szCs w:val="24"/>
                <w:lang w:val="sq-AL"/>
              </w:rPr>
              <w:t xml:space="preserve">– një vlerë pikënisjeje përllogaritje e barabartë me 40 000 000 lekë (që i referohet një vlere pikënisje të përllogaritur në vlerën 100 000 000 lekë) konsiderohet efektive, proporcionale dhe me karakter </w:t>
            </w:r>
            <w:r w:rsidRPr="001620BD">
              <w:rPr>
                <w:rFonts w:ascii="Garamond" w:hAnsi="Garamond" w:cs="Times New Roman"/>
                <w:i/>
                <w:sz w:val="24"/>
                <w:szCs w:val="24"/>
                <w:lang w:val="sq-AL"/>
              </w:rPr>
              <w:t>parandalues</w:t>
            </w:r>
            <w:r w:rsidRPr="001620BD">
              <w:rPr>
                <w:rFonts w:ascii="Garamond" w:hAnsi="Garamond" w:cs="Times New Roman"/>
                <w:i/>
                <w:iCs/>
                <w:sz w:val="24"/>
                <w:szCs w:val="24"/>
                <w:lang w:val="sq-AL"/>
              </w:rPr>
              <w:t xml:space="preserve">. Kjo shumë përbën bazën për përllogaritjen e mëtejshme, e cila duhet të </w:t>
            </w:r>
            <w:r w:rsidRPr="001620BD">
              <w:rPr>
                <w:rFonts w:ascii="Garamond" w:hAnsi="Garamond" w:cs="Times New Roman"/>
                <w:i/>
                <w:iCs/>
                <w:sz w:val="24"/>
                <w:szCs w:val="24"/>
                <w:lang w:val="sq-AL"/>
              </w:rPr>
              <w:lastRenderedPageBreak/>
              <w:t>rezultojë në një shumë përfundimtare që nuk e kalon tavanin ligjor të zbatueshëm për këtë rast, të barabartë me 2 000 000 000 lekë.</w:t>
            </w:r>
          </w:p>
        </w:tc>
      </w:tr>
    </w:tbl>
    <w:p w14:paraId="58A23476"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601E3640" w14:textId="77777777" w:rsidTr="00FA1E34">
        <w:trPr>
          <w:jc w:val="center"/>
        </w:trPr>
        <w:tc>
          <w:tcPr>
            <w:tcW w:w="5000" w:type="pct"/>
          </w:tcPr>
          <w:p w14:paraId="58257431" w14:textId="2D28DA0B"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b/>
                <w:bCs/>
                <w:i/>
                <w:iCs/>
                <w:sz w:val="24"/>
                <w:szCs w:val="24"/>
                <w:lang w:val="sq-AL"/>
              </w:rPr>
              <w:t>Shembulli 6b</w:t>
            </w:r>
            <w:r w:rsidR="004B4AEB"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Identifikimi i pikënisjes për përllogaritje të mëtejshme të masës së sanksionit</w:t>
            </w:r>
          </w:p>
          <w:p w14:paraId="2FE75DE2" w14:textId="2B1AC44B"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Një aplikacion start-up-i, me një xhiro prej 5 000 000 lekë</w:t>
            </w:r>
            <w:r w:rsidR="00FA1E34" w:rsidRPr="001620BD">
              <w:rPr>
                <w:rFonts w:ascii="Garamond" w:hAnsi="Garamond" w:cs="Times New Roman"/>
                <w:i/>
                <w:iCs/>
                <w:sz w:val="24"/>
                <w:szCs w:val="24"/>
                <w:lang w:val="sq-AL"/>
              </w:rPr>
              <w:t>sh</w:t>
            </w:r>
            <w:r w:rsidRPr="001620BD">
              <w:rPr>
                <w:rFonts w:ascii="Garamond" w:hAnsi="Garamond" w:cs="Times New Roman"/>
                <w:i/>
                <w:iCs/>
                <w:sz w:val="24"/>
                <w:szCs w:val="24"/>
                <w:lang w:val="sq-AL"/>
              </w:rPr>
              <w:t xml:space="preserve">, zbulohet se ka shitur të dhëna personale sensitive të klientëve të tij te disa ndërmjetës të dhënash për qëllime analitike dhe, në këtë mënyrë, ka shkelur nenet 6(1) dhe 9 të </w:t>
            </w:r>
            <w:r w:rsidR="004B4AEB" w:rsidRPr="001620BD">
              <w:rPr>
                <w:rFonts w:ascii="Garamond" w:hAnsi="Garamond" w:cs="Times New Roman"/>
                <w:i/>
                <w:iCs/>
                <w:sz w:val="24"/>
                <w:szCs w:val="24"/>
                <w:lang w:val="sq-AL"/>
              </w:rPr>
              <w:t>ligjit për mbrojtjen e të dhënave</w:t>
            </w:r>
            <w:r w:rsidRPr="001620BD">
              <w:rPr>
                <w:rFonts w:ascii="Garamond" w:hAnsi="Garamond" w:cs="Times New Roman"/>
                <w:i/>
                <w:iCs/>
                <w:sz w:val="24"/>
                <w:szCs w:val="24"/>
                <w:lang w:val="sq-AL"/>
              </w:rPr>
              <w:t xml:space="preserve">. Zyra e Komisionerit, bazuar në një analizë të kujdesshme të rrethanave të rastit, vendosi se shkelja është e një shkalle rëndësie të lartë. Për të përcaktuar pikënisjen e përllogaritjes së mëtejshme, Zyra e Komisionerit vëren se nenet 6 dhe 9 të </w:t>
            </w:r>
            <w:r w:rsidR="004B4AEB" w:rsidRPr="001620BD">
              <w:rPr>
                <w:rFonts w:ascii="Garamond" w:hAnsi="Garamond" w:cs="Times New Roman"/>
                <w:i/>
                <w:iCs/>
                <w:sz w:val="24"/>
                <w:szCs w:val="24"/>
                <w:lang w:val="sq-AL"/>
              </w:rPr>
              <w:t xml:space="preserve">ligjit për mbrojtjen e të dhënave </w:t>
            </w:r>
            <w:r w:rsidRPr="001620BD">
              <w:rPr>
                <w:rFonts w:ascii="Garamond" w:hAnsi="Garamond" w:cs="Times New Roman"/>
                <w:i/>
                <w:iCs/>
                <w:sz w:val="24"/>
                <w:szCs w:val="24"/>
                <w:lang w:val="sq-AL"/>
              </w:rPr>
              <w:t xml:space="preserve">janë të renditura në nenin 94(2)(a) të tij dhe se, bazuar në xhiron e </w:t>
            </w:r>
            <w:r w:rsidR="004C63F3" w:rsidRPr="001620BD">
              <w:rPr>
                <w:rFonts w:ascii="Garamond" w:hAnsi="Garamond" w:cs="Times New Roman"/>
                <w:i/>
                <w:iCs/>
                <w:sz w:val="24"/>
                <w:szCs w:val="24"/>
                <w:lang w:val="sq-AL"/>
              </w:rPr>
              <w:t>n</w:t>
            </w:r>
            <w:r w:rsidRPr="001620BD">
              <w:rPr>
                <w:rFonts w:ascii="Garamond" w:hAnsi="Garamond" w:cs="Times New Roman"/>
                <w:i/>
                <w:iCs/>
                <w:sz w:val="24"/>
                <w:szCs w:val="24"/>
                <w:lang w:val="sq-AL"/>
              </w:rPr>
              <w:t>dërmarrjes (5 000 000 lekë) zbatohet një tavan ligjor i barabartë me 2 000 000 000 lekë</w:t>
            </w:r>
            <w:r w:rsidRPr="001620BD">
              <w:rPr>
                <w:rStyle w:val="FootnoteReference"/>
                <w:rFonts w:ascii="Garamond" w:hAnsi="Garamond" w:cs="Times New Roman"/>
                <w:i/>
                <w:iCs/>
                <w:sz w:val="24"/>
                <w:szCs w:val="24"/>
                <w:lang w:val="sq-AL"/>
              </w:rPr>
              <w:footnoteReference w:id="17"/>
            </w:r>
            <w:r w:rsidRPr="001620BD">
              <w:rPr>
                <w:rFonts w:ascii="Garamond" w:hAnsi="Garamond" w:cs="Times New Roman"/>
                <w:i/>
                <w:iCs/>
                <w:sz w:val="24"/>
                <w:szCs w:val="24"/>
                <w:lang w:val="sq-AL"/>
              </w:rPr>
              <w:t xml:space="preserve">. </w:t>
            </w:r>
          </w:p>
          <w:p w14:paraId="384E5E9D" w14:textId="77777777"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Bazuar në shkallën e rëndësisë së shkeljes të përcaktuar nga Zyra e Komisionerit (e lartë), pikënisja e përllogaritjes duhet të variojë në vlerat midis 20 dhe 100% të tavanit ligjor të zbatueshëm</w:t>
            </w:r>
            <w:r w:rsidRPr="001620BD" w:rsidDel="00C72281">
              <w:rPr>
                <w:rFonts w:ascii="Garamond" w:hAnsi="Garamond" w:cs="Times New Roman"/>
                <w:i/>
                <w:iCs/>
                <w:sz w:val="24"/>
                <w:szCs w:val="24"/>
                <w:lang w:val="sq-AL"/>
              </w:rPr>
              <w:t xml:space="preserve"> </w:t>
            </w:r>
            <w:r w:rsidRPr="001620BD">
              <w:rPr>
                <w:rFonts w:ascii="Garamond" w:hAnsi="Garamond" w:cs="Times New Roman"/>
                <w:i/>
                <w:iCs/>
                <w:sz w:val="24"/>
                <w:szCs w:val="24"/>
                <w:lang w:val="sq-AL"/>
              </w:rPr>
              <w:t>(pra, midis 400 000 000 dhe 2 000 000 000 lekë tavan</w:t>
            </w:r>
            <w:r w:rsidRPr="001620BD">
              <w:rPr>
                <w:rStyle w:val="FootnoteReference"/>
                <w:rFonts w:ascii="Garamond" w:hAnsi="Garamond" w:cs="Times New Roman"/>
                <w:i/>
                <w:iCs/>
                <w:sz w:val="24"/>
                <w:szCs w:val="24"/>
                <w:lang w:val="sq-AL"/>
              </w:rPr>
              <w:footnoteReference w:id="18"/>
            </w:r>
            <w:r w:rsidRPr="001620BD">
              <w:rPr>
                <w:rFonts w:ascii="Garamond" w:hAnsi="Garamond" w:cs="Times New Roman"/>
                <w:i/>
                <w:iCs/>
                <w:sz w:val="24"/>
                <w:szCs w:val="24"/>
                <w:lang w:val="sq-AL"/>
              </w:rPr>
              <w:t xml:space="preserve">). </w:t>
            </w:r>
          </w:p>
          <w:p w14:paraId="31907E1C" w14:textId="4E4AC567"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Bazuar në xhiron e </w:t>
            </w:r>
            <w:r w:rsidR="004B4AEB" w:rsidRPr="001620BD">
              <w:rPr>
                <w:rFonts w:ascii="Garamond" w:hAnsi="Garamond" w:cs="Times New Roman"/>
                <w:i/>
                <w:iCs/>
                <w:sz w:val="24"/>
                <w:szCs w:val="24"/>
                <w:lang w:val="sq-AL"/>
              </w:rPr>
              <w:t xml:space="preserve">ndërmarrjes </w:t>
            </w:r>
            <w:r w:rsidRPr="001620BD">
              <w:rPr>
                <w:rFonts w:ascii="Garamond" w:hAnsi="Garamond" w:cs="Times New Roman"/>
                <w:i/>
                <w:iCs/>
                <w:sz w:val="24"/>
                <w:szCs w:val="24"/>
                <w:lang w:val="sq-AL"/>
              </w:rPr>
              <w:t>(5 000 000 lekë), Zyra e Komisionerit mund të marrë në konsideratë uljen e mëtejshme të kësaj shume në 0.2% të vlerës së pikënisjes së identifikuar.</w:t>
            </w:r>
          </w:p>
          <w:p w14:paraId="0ED36D8B" w14:textId="39E097BF"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Në rastin konkret (duke iu referuar një vlere pikënisje të përllogaritur në vlerën 400 000 000 lekë) Zyra e Komisionerit konsideron se –një vlerë pikënisjeje përllogaritje e barabartë me 800 000 lekë konsiderohet efektive, proporcionale dhe me karakter parandalues. Kjo shumë përbën bazën për përllogaritjen e mëtejshme, e cila duhet të rezultojë në një shumë përfundimtare që nuk e kalon tavanin ligjor të zbatueshëm për këtë rast, të barabartë me 2 000 000 000 lekë.</w:t>
            </w:r>
          </w:p>
        </w:tc>
      </w:tr>
    </w:tbl>
    <w:p w14:paraId="06C15014" w14:textId="77777777" w:rsidR="004B4AEB" w:rsidRPr="001620BD" w:rsidRDefault="004B4AEB" w:rsidP="00133485">
      <w:pPr>
        <w:pStyle w:val="Heading1"/>
        <w:spacing w:before="0" w:line="240" w:lineRule="auto"/>
        <w:ind w:firstLine="284"/>
        <w:rPr>
          <w:rFonts w:ascii="Garamond" w:hAnsi="Garamond"/>
          <w:b/>
          <w:color w:val="auto"/>
          <w:sz w:val="24"/>
          <w:szCs w:val="24"/>
          <w:lang w:val="sq-AL"/>
        </w:rPr>
      </w:pPr>
      <w:bookmarkStart w:id="24" w:name="_Toc203658662"/>
    </w:p>
    <w:p w14:paraId="50C3814E" w14:textId="77446EBD" w:rsidR="004B4AEB" w:rsidRPr="001620BD" w:rsidRDefault="00133485" w:rsidP="004B4AEB">
      <w:pPr>
        <w:pStyle w:val="Heading1"/>
        <w:spacing w:before="0" w:line="240" w:lineRule="auto"/>
        <w:ind w:firstLine="284"/>
        <w:jc w:val="center"/>
        <w:rPr>
          <w:rFonts w:ascii="Garamond" w:hAnsi="Garamond"/>
          <w:color w:val="auto"/>
          <w:sz w:val="24"/>
          <w:szCs w:val="24"/>
          <w:lang w:val="sq-AL"/>
        </w:rPr>
      </w:pPr>
      <w:r w:rsidRPr="001620BD">
        <w:rPr>
          <w:rFonts w:ascii="Garamond" w:hAnsi="Garamond"/>
          <w:color w:val="auto"/>
          <w:sz w:val="24"/>
          <w:szCs w:val="24"/>
          <w:lang w:val="sq-AL"/>
        </w:rPr>
        <w:t>KAPITULLI 5</w:t>
      </w:r>
    </w:p>
    <w:p w14:paraId="02141D68" w14:textId="335EA3ED" w:rsidR="00133485" w:rsidRPr="001620BD" w:rsidRDefault="00133485" w:rsidP="004B4AEB">
      <w:pPr>
        <w:pStyle w:val="Heading1"/>
        <w:spacing w:before="0" w:line="240" w:lineRule="auto"/>
        <w:ind w:firstLine="284"/>
        <w:jc w:val="center"/>
        <w:rPr>
          <w:rFonts w:ascii="Garamond" w:hAnsi="Garamond"/>
          <w:color w:val="auto"/>
          <w:sz w:val="24"/>
          <w:szCs w:val="24"/>
          <w:lang w:val="sq-AL"/>
        </w:rPr>
      </w:pPr>
      <w:r w:rsidRPr="001620BD">
        <w:rPr>
          <w:rFonts w:ascii="Garamond" w:hAnsi="Garamond"/>
          <w:color w:val="auto"/>
          <w:sz w:val="24"/>
          <w:szCs w:val="24"/>
          <w:lang w:val="sq-AL"/>
        </w:rPr>
        <w:t>RRETHANAT RËNDUESE DHE LEHTËSUESE</w:t>
      </w:r>
      <w:bookmarkEnd w:id="24"/>
    </w:p>
    <w:p w14:paraId="1C909E11" w14:textId="77777777" w:rsidR="004B4AEB" w:rsidRPr="001620BD" w:rsidRDefault="004B4AEB" w:rsidP="00133485">
      <w:pPr>
        <w:pStyle w:val="Heading2"/>
        <w:spacing w:before="0" w:beforeAutospacing="0" w:after="0" w:afterAutospacing="0"/>
        <w:ind w:firstLine="284"/>
        <w:rPr>
          <w:rFonts w:ascii="Garamond" w:hAnsi="Garamond"/>
          <w:szCs w:val="24"/>
        </w:rPr>
      </w:pPr>
      <w:bookmarkStart w:id="25" w:name="_Toc203658663"/>
    </w:p>
    <w:p w14:paraId="58B8BE53" w14:textId="4860FC26" w:rsidR="00133485" w:rsidRPr="001620BD" w:rsidRDefault="00133485" w:rsidP="00133485">
      <w:pPr>
        <w:pStyle w:val="Heading2"/>
        <w:spacing w:before="0" w:beforeAutospacing="0" w:after="0" w:afterAutospacing="0"/>
        <w:ind w:firstLine="284"/>
        <w:rPr>
          <w:rFonts w:ascii="Garamond" w:hAnsi="Garamond"/>
          <w:szCs w:val="24"/>
        </w:rPr>
      </w:pPr>
      <w:r w:rsidRPr="001620BD">
        <w:rPr>
          <w:rFonts w:ascii="Garamond" w:hAnsi="Garamond"/>
          <w:szCs w:val="24"/>
        </w:rPr>
        <w:t>5.1 Identifikimi i faktorëve rëndues dhe lehtësues</w:t>
      </w:r>
      <w:bookmarkEnd w:id="25"/>
    </w:p>
    <w:p w14:paraId="426A620D" w14:textId="13758851"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59. Duke ndjekur strukturën e </w:t>
      </w:r>
      <w:r w:rsidR="004B4AEB" w:rsidRPr="001620BD">
        <w:rPr>
          <w:rFonts w:ascii="Garamond" w:hAnsi="Garamond" w:cs="Times New Roman"/>
          <w:sz w:val="24"/>
          <w:szCs w:val="24"/>
          <w:lang w:val="sq-AL"/>
        </w:rPr>
        <w:t>ligjit për mbrojtjen e të dhënave personale</w:t>
      </w:r>
      <w:r w:rsidRPr="001620BD">
        <w:rPr>
          <w:rFonts w:ascii="Garamond" w:hAnsi="Garamond" w:cs="Times New Roman"/>
          <w:sz w:val="24"/>
          <w:szCs w:val="24"/>
          <w:lang w:val="sq-AL"/>
        </w:rPr>
        <w:t xml:space="preserve">, pasi të ketë vlerësuar natyrën, rëndësinë dhe kohëzgjatjen e shkeljes si dhe karakterin e saj të qëllimshëm (me dashje) ose jo, si dhe kategoritë e të dhënave personale të prekura, Zyra e Komisionerit duhet të marrë parasysh faktorët e tjerë rëndues ose lehtësues të parashikuar në germën </w:t>
      </w:r>
      <w:r w:rsidR="007B7326" w:rsidRPr="001620BD">
        <w:rPr>
          <w:rFonts w:ascii="Garamond" w:hAnsi="Garamond" w:cs="Times New Roman"/>
          <w:sz w:val="24"/>
          <w:szCs w:val="24"/>
          <w:lang w:val="sq-AL"/>
        </w:rPr>
        <w:t>“</w:t>
      </w:r>
      <w:r w:rsidRPr="001620BD">
        <w:rPr>
          <w:rFonts w:ascii="Garamond" w:hAnsi="Garamond" w:cs="Times New Roman"/>
          <w:sz w:val="24"/>
          <w:szCs w:val="24"/>
          <w:lang w:val="sq-AL"/>
        </w:rPr>
        <w:t>gj</w:t>
      </w:r>
      <w:r w:rsidR="007B7326" w:rsidRPr="001620BD">
        <w:rPr>
          <w:rFonts w:ascii="Garamond" w:hAnsi="Garamond" w:cs="Times New Roman"/>
          <w:sz w:val="24"/>
          <w:szCs w:val="24"/>
          <w:lang w:val="sq-AL"/>
        </w:rPr>
        <w:t>”</w:t>
      </w:r>
      <w:r w:rsidRPr="001620BD">
        <w:rPr>
          <w:rFonts w:ascii="Garamond" w:hAnsi="Garamond" w:cs="Times New Roman"/>
          <w:sz w:val="24"/>
          <w:szCs w:val="24"/>
          <w:lang w:val="sq-AL"/>
        </w:rPr>
        <w:t>, të pikës 2, të nenit 93 të ligjit.</w:t>
      </w:r>
    </w:p>
    <w:p w14:paraId="06406CC9" w14:textId="42DCB474"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60. Për vlerësimin e këtyre elementeve, zmadhimi ose zvogëlimi i masës së një sanksioni nuk mund të paracaktohet nëpërmjet tabelave apo përqindjeve. Vlen të ritheksohet se niveli i sanksionit do të varet nga të gjith</w:t>
      </w:r>
      <w:r w:rsidR="007B7326" w:rsidRPr="001620BD">
        <w:rPr>
          <w:rFonts w:ascii="Garamond" w:hAnsi="Garamond" w:cs="Times New Roman"/>
          <w:sz w:val="24"/>
          <w:szCs w:val="24"/>
          <w:lang w:val="sq-AL"/>
        </w:rPr>
        <w:t>a</w:t>
      </w:r>
      <w:r w:rsidRPr="001620BD">
        <w:rPr>
          <w:rFonts w:ascii="Garamond" w:hAnsi="Garamond" w:cs="Times New Roman"/>
          <w:sz w:val="24"/>
          <w:szCs w:val="24"/>
          <w:lang w:val="sq-AL"/>
        </w:rPr>
        <w:t xml:space="preserve"> element</w:t>
      </w:r>
      <w:r w:rsidR="007B7326" w:rsidRPr="001620BD">
        <w:rPr>
          <w:rFonts w:ascii="Garamond" w:hAnsi="Garamond" w:cs="Times New Roman"/>
          <w:sz w:val="24"/>
          <w:szCs w:val="24"/>
          <w:lang w:val="sq-AL"/>
        </w:rPr>
        <w:t>e</w:t>
      </w:r>
      <w:r w:rsidRPr="001620BD">
        <w:rPr>
          <w:rFonts w:ascii="Garamond" w:hAnsi="Garamond" w:cs="Times New Roman"/>
          <w:sz w:val="24"/>
          <w:szCs w:val="24"/>
          <w:lang w:val="sq-AL"/>
        </w:rPr>
        <w:t>t e grumbulluar</w:t>
      </w:r>
      <w:r w:rsidR="007B7326" w:rsidRPr="001620BD">
        <w:rPr>
          <w:rFonts w:ascii="Garamond" w:hAnsi="Garamond" w:cs="Times New Roman"/>
          <w:sz w:val="24"/>
          <w:szCs w:val="24"/>
          <w:lang w:val="sq-AL"/>
        </w:rPr>
        <w:t>a</w:t>
      </w:r>
      <w:r w:rsidRPr="001620BD">
        <w:rPr>
          <w:rFonts w:ascii="Garamond" w:hAnsi="Garamond" w:cs="Times New Roman"/>
          <w:sz w:val="24"/>
          <w:szCs w:val="24"/>
          <w:lang w:val="sq-AL"/>
        </w:rPr>
        <w:t xml:space="preserve"> gjatë hetimit administrativ dhe nga konsiderata të mëtejshme të lidhura edhe me përvojat e mëparshme të aplikimit të sanksioneve administrative (gjobave) nga Zyra e Komisionerit.</w:t>
      </w:r>
    </w:p>
    <w:p w14:paraId="709A093F" w14:textId="7B0DA526"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61. Për qartësi, duhet theksuar se secili kriter i pikës 2, të nenit 93 të </w:t>
      </w:r>
      <w:r w:rsidR="004B4AEB" w:rsidRPr="001620BD">
        <w:rPr>
          <w:rFonts w:ascii="Garamond" w:hAnsi="Garamond" w:cs="Times New Roman"/>
          <w:sz w:val="24"/>
          <w:szCs w:val="24"/>
          <w:lang w:val="sq-AL"/>
        </w:rPr>
        <w:t>ligjit për mbrojtjen e të dhënave personale (pavarësisht nëse vlerësohet sipas kapitullit 4 apo këtij kapitulli</w:t>
      </w:r>
      <w:r w:rsidRPr="001620BD">
        <w:rPr>
          <w:rFonts w:ascii="Garamond" w:hAnsi="Garamond" w:cs="Times New Roman"/>
          <w:sz w:val="24"/>
          <w:szCs w:val="24"/>
          <w:lang w:val="sq-AL"/>
        </w:rPr>
        <w:t xml:space="preserve">) </w:t>
      </w:r>
      <w:r w:rsidR="0060740E" w:rsidRPr="001620BD">
        <w:rPr>
          <w:rFonts w:ascii="Garamond" w:hAnsi="Garamond" w:cs="Times New Roman"/>
          <w:sz w:val="24"/>
          <w:szCs w:val="24"/>
          <w:lang w:val="sq-AL"/>
        </w:rPr>
        <w:t>–</w:t>
      </w:r>
      <w:r w:rsidRPr="001620BD">
        <w:rPr>
          <w:rFonts w:ascii="Garamond" w:hAnsi="Garamond" w:cs="Times New Roman"/>
          <w:sz w:val="24"/>
          <w:szCs w:val="24"/>
          <w:lang w:val="sq-AL"/>
        </w:rPr>
        <w:t xml:space="preserve"> duhet</w:t>
      </w:r>
      <w:r w:rsidR="0060740E" w:rsidRPr="001620BD">
        <w:rPr>
          <w:rFonts w:ascii="Garamond" w:hAnsi="Garamond" w:cs="Times New Roman"/>
          <w:sz w:val="24"/>
          <w:szCs w:val="24"/>
          <w:lang w:val="sq-AL"/>
        </w:rPr>
        <w:t xml:space="preserve"> </w:t>
      </w:r>
      <w:r w:rsidRPr="001620BD">
        <w:rPr>
          <w:rFonts w:ascii="Garamond" w:hAnsi="Garamond" w:cs="Times New Roman"/>
          <w:sz w:val="24"/>
          <w:szCs w:val="24"/>
          <w:lang w:val="sq-AL"/>
        </w:rPr>
        <w:t>të merret në konsideratë vetëm një herë si pjesë e vlerësimit të përgjithshëm të këtij neni.</w:t>
      </w:r>
    </w:p>
    <w:p w14:paraId="6061B8DC" w14:textId="0F880A5E" w:rsidR="00133485" w:rsidRPr="001620BD" w:rsidRDefault="00133485" w:rsidP="00133485">
      <w:pPr>
        <w:pStyle w:val="Heading2"/>
        <w:spacing w:before="0" w:beforeAutospacing="0" w:after="0" w:afterAutospacing="0"/>
        <w:ind w:firstLine="284"/>
        <w:jc w:val="both"/>
        <w:rPr>
          <w:rFonts w:ascii="Garamond" w:hAnsi="Garamond"/>
          <w:szCs w:val="24"/>
        </w:rPr>
      </w:pPr>
      <w:bookmarkStart w:id="26" w:name="_Toc203658664"/>
      <w:r w:rsidRPr="001620BD">
        <w:rPr>
          <w:rFonts w:ascii="Garamond" w:hAnsi="Garamond"/>
          <w:szCs w:val="24"/>
        </w:rPr>
        <w:t xml:space="preserve">5.2 </w:t>
      </w:r>
      <w:bookmarkStart w:id="27" w:name="_Hlk122297438"/>
      <w:r w:rsidRPr="001620BD">
        <w:rPr>
          <w:rFonts w:ascii="Garamond" w:hAnsi="Garamond"/>
          <w:szCs w:val="24"/>
        </w:rPr>
        <w:t>Veprimet e kontrolluesit/përpunuesit në zbutjen e dëmit të pësuar nga subjektet e të dhënave</w:t>
      </w:r>
      <w:bookmarkEnd w:id="26"/>
      <w:bookmarkEnd w:id="27"/>
    </w:p>
    <w:p w14:paraId="1FFDBD3F" w14:textId="0688FA41"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62. Një hap i parë për të përcaktuar nëse kanë ndodhur rrethana rënduese apo lehtësuese, është shqyrtimi i germës “c” të pikës 2, të nenit 93 të </w:t>
      </w:r>
      <w:r w:rsidR="004B4AEB" w:rsidRPr="001620BD">
        <w:rPr>
          <w:rFonts w:ascii="Garamond" w:hAnsi="Garamond" w:cs="Times New Roman"/>
          <w:sz w:val="24"/>
          <w:szCs w:val="24"/>
          <w:lang w:val="sq-AL"/>
        </w:rPr>
        <w:t>ligjit për mbrojtjen e të dhënave personale</w:t>
      </w:r>
      <w:r w:rsidRPr="001620BD">
        <w:rPr>
          <w:rFonts w:ascii="Garamond" w:hAnsi="Garamond" w:cs="Times New Roman"/>
          <w:sz w:val="24"/>
          <w:szCs w:val="24"/>
          <w:lang w:val="sq-AL"/>
        </w:rPr>
        <w:t>, e cila ka të bëjë me “</w:t>
      </w:r>
      <w:r w:rsidRPr="001620BD">
        <w:rPr>
          <w:rFonts w:ascii="Garamond" w:hAnsi="Garamond" w:cs="Times New Roman"/>
          <w:i/>
          <w:iCs/>
          <w:sz w:val="24"/>
          <w:szCs w:val="24"/>
          <w:lang w:val="sq-AL"/>
        </w:rPr>
        <w:t>çdo veprim që kontrolluesi ose përpunuesi ka ndërmarrë për të zbutur dëmin e pësuar nga subjektet e të dhënave</w:t>
      </w:r>
      <w:r w:rsidRPr="001620BD">
        <w:rPr>
          <w:rFonts w:ascii="Garamond" w:hAnsi="Garamond" w:cs="Times New Roman"/>
          <w:sz w:val="24"/>
          <w:szCs w:val="24"/>
          <w:lang w:val="sq-AL"/>
        </w:rPr>
        <w:t>”.</w:t>
      </w:r>
    </w:p>
    <w:p w14:paraId="6451CDE3" w14:textId="08BAB2EB"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lastRenderedPageBreak/>
        <w:t>63. Kontrolluesit dhe përpunuesit e të dhënave janë të detyruar të zbatojnë masa teknike dhe organizative për të garantuar një nivel sigurie të përshtatshëm për rrezikun, për të kryer vlerësime të ndikimit në mbrojtjen e të dhëna dhe për të zbutur rreziqet ndaj të drejtave dhe lirive të individëve, si pasojë e përpunimit të të dhënave personale. Megjithatë, në rast të një shkeljeje, kontrolluesi ose përpunuesi duhet të bëjë gjithçka mundet për të reduktuar pasojat e shkeljes për individin(ët) përkatës.</w:t>
      </w:r>
    </w:p>
    <w:p w14:paraId="3154598E" w14:textId="77777777"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64. Marrja e masave të përshtatshme për zbutjen e dëmit të pësuar nga subjektet e të dhënave mund të konsiderohet si një faktor lehtësues, duke zvogëluar, kështu, masën e sanksionit.</w:t>
      </w:r>
    </w:p>
    <w:p w14:paraId="0BFC5922" w14:textId="16A196E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65. Masat e marra duhet të vlerësohen, veçanërisht, në lidhje me elementin kohë, d.m.th. kohën kur ato zbatohen nga kontrolluesi ose përpunuesi dhe në lidhje me efektivitetin e tyre. Në këtë kuptim, masat e zbatuara spontanisht përpara fillimit të hetimit administrativ nga ana e Zyrës së Komisionerit kanë më shumë gjasa të konsiderohen si një faktor lehtësues sesa masat që janë zbatuar pas atij momenti (fillimit të hetimit).</w:t>
      </w:r>
    </w:p>
    <w:p w14:paraId="6AF417D5" w14:textId="0D021337" w:rsidR="00133485" w:rsidRPr="001620BD" w:rsidRDefault="00133485" w:rsidP="00133485">
      <w:pPr>
        <w:pStyle w:val="Heading2"/>
        <w:spacing w:before="0" w:beforeAutospacing="0" w:after="0" w:afterAutospacing="0"/>
        <w:ind w:firstLine="284"/>
        <w:rPr>
          <w:rFonts w:ascii="Garamond" w:hAnsi="Garamond"/>
          <w:szCs w:val="24"/>
        </w:rPr>
      </w:pPr>
      <w:bookmarkStart w:id="28" w:name="_Toc203658665"/>
      <w:r w:rsidRPr="001620BD">
        <w:rPr>
          <w:rFonts w:ascii="Garamond" w:hAnsi="Garamond"/>
          <w:szCs w:val="24"/>
        </w:rPr>
        <w:t>5.3 Shkalla e përgjegjësisë së kontrolluesit/përpunuesit</w:t>
      </w:r>
      <w:bookmarkEnd w:id="28"/>
    </w:p>
    <w:p w14:paraId="31434635" w14:textId="577DB2AF"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66. Sipas g</w:t>
      </w:r>
      <w:r w:rsidR="00111DD2" w:rsidRPr="001620BD">
        <w:rPr>
          <w:rFonts w:ascii="Garamond" w:hAnsi="Garamond" w:cs="Times New Roman"/>
          <w:sz w:val="24"/>
          <w:szCs w:val="24"/>
          <w:lang w:val="sq-AL"/>
        </w:rPr>
        <w:t>e</w:t>
      </w:r>
      <w:r w:rsidRPr="001620BD">
        <w:rPr>
          <w:rFonts w:ascii="Garamond" w:hAnsi="Garamond" w:cs="Times New Roman"/>
          <w:sz w:val="24"/>
          <w:szCs w:val="24"/>
          <w:lang w:val="sq-AL"/>
        </w:rPr>
        <w:t xml:space="preserve">rmës “ç” të pikës 2, të nenit 93 </w:t>
      </w:r>
      <w:r w:rsidR="004B4AEB" w:rsidRPr="001620BD">
        <w:rPr>
          <w:rFonts w:ascii="Garamond" w:hAnsi="Garamond" w:cs="Times New Roman"/>
          <w:sz w:val="24"/>
          <w:szCs w:val="24"/>
          <w:lang w:val="sq-AL"/>
        </w:rPr>
        <w:t>të ligjit për mbrojtjen e të dhënave personale</w:t>
      </w:r>
      <w:r w:rsidRPr="001620BD">
        <w:rPr>
          <w:rFonts w:ascii="Garamond" w:hAnsi="Garamond" w:cs="Times New Roman"/>
          <w:sz w:val="24"/>
          <w:szCs w:val="24"/>
          <w:lang w:val="sq-AL"/>
        </w:rPr>
        <w:t>, shkalla e përgjegjësisë së kontrolluesit ose përpunuesit do të duhet të vlerësohet duke marrë parasysh masat e zbatuara prej tyre, në përputhje me nenet 22 dhe 28 të ligjit. Pyetja që më pas duhet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 xml:space="preserve">i përgjigjet Zyra e Komisionerit është se në çfarë mase kontrolluesi bëri atë që mund të pritej të bënte, duke pasur parasysh natyrën, qëllimet ose shtrirjen e përpunimit, parë kjo në dritën e detyrimeve të parashikuara ndaj tyre nga dispozitat </w:t>
      </w:r>
      <w:r w:rsidR="004B4AEB" w:rsidRPr="001620BD">
        <w:rPr>
          <w:rFonts w:ascii="Garamond" w:hAnsi="Garamond" w:cs="Times New Roman"/>
          <w:sz w:val="24"/>
          <w:szCs w:val="24"/>
          <w:lang w:val="sq-AL"/>
        </w:rPr>
        <w:t>e ligjit për mbrojtjen e të dhënave personale</w:t>
      </w:r>
      <w:r w:rsidRPr="001620BD">
        <w:rPr>
          <w:rFonts w:ascii="Garamond" w:hAnsi="Garamond" w:cs="Times New Roman"/>
          <w:sz w:val="24"/>
          <w:szCs w:val="24"/>
          <w:lang w:val="sq-AL"/>
        </w:rPr>
        <w:t>.</w:t>
      </w:r>
    </w:p>
    <w:p w14:paraId="7CE93498" w14:textId="5585A09C"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67. Në veçanti, në lidhje me këtë kriter – rreziku i mbetur për liritë dhe të drejtat e subjekteve të të dhënave – duhet të vlerësohen dëmi i shkaktuar subjekteve të të dhënave dhe dëmi që vazhdon pas marrjes së masave nga kontrolluesi, si dhe shkalla e qëndrueshmërisë së masave të marra në përputhje me nenet 22 dhe 28 të </w:t>
      </w:r>
      <w:r w:rsidR="004B4AEB" w:rsidRPr="001620BD">
        <w:rPr>
          <w:rFonts w:ascii="Garamond" w:hAnsi="Garamond" w:cs="Times New Roman"/>
          <w:sz w:val="24"/>
          <w:szCs w:val="24"/>
          <w:lang w:val="sq-AL"/>
        </w:rPr>
        <w:t>ligjit për mbrojtjen e të dhënave personale</w:t>
      </w:r>
      <w:r w:rsidRPr="001620BD">
        <w:rPr>
          <w:rFonts w:ascii="Garamond" w:hAnsi="Garamond" w:cs="Times New Roman"/>
          <w:sz w:val="24"/>
          <w:szCs w:val="24"/>
          <w:lang w:val="sq-AL"/>
        </w:rPr>
        <w:t>.</w:t>
      </w:r>
    </w:p>
    <w:p w14:paraId="1993A727" w14:textId="37F4C9D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68. Në këtë kuadër, Zyra e Komisionerit mund të marrë në konsideratë, gjithashtu, nëse të dhënat në fjalë janë drejtpërdrejt të identifikueshme dhe/ose të disponueshme pa mbrojtje tekniko-organizative. Megjithatë, duhet pasur parasysh se ekzistenca e një mbrojtjeje të tillë nuk përbën domosdoshmërisht një faktor lehtësues</w:t>
      </w:r>
      <w:r w:rsidRPr="001620BD">
        <w:rPr>
          <w:rStyle w:val="FootnoteReference"/>
          <w:rFonts w:ascii="Garamond" w:hAnsi="Garamond" w:cs="Times New Roman"/>
          <w:sz w:val="24"/>
          <w:szCs w:val="24"/>
          <w:lang w:val="sq-AL"/>
        </w:rPr>
        <w:footnoteReference w:id="19"/>
      </w:r>
      <w:r w:rsidRPr="001620BD">
        <w:rPr>
          <w:rFonts w:ascii="Garamond" w:hAnsi="Garamond" w:cs="Times New Roman"/>
          <w:sz w:val="24"/>
          <w:szCs w:val="24"/>
          <w:lang w:val="sq-AL"/>
        </w:rPr>
        <w:t>. Kjo varet nga të gjitha rrethanat e rastit.</w:t>
      </w:r>
    </w:p>
    <w:p w14:paraId="5080476D" w14:textId="547FC140"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69. Për të vlerësuar në mënyrë të përshtatshme element</w:t>
      </w:r>
      <w:r w:rsidR="00F97D44" w:rsidRPr="001620BD">
        <w:rPr>
          <w:rFonts w:ascii="Garamond" w:hAnsi="Garamond" w:cs="Times New Roman"/>
          <w:sz w:val="24"/>
          <w:szCs w:val="24"/>
          <w:lang w:val="sq-AL"/>
        </w:rPr>
        <w:t>e</w:t>
      </w:r>
      <w:r w:rsidRPr="001620BD">
        <w:rPr>
          <w:rFonts w:ascii="Garamond" w:hAnsi="Garamond" w:cs="Times New Roman"/>
          <w:sz w:val="24"/>
          <w:szCs w:val="24"/>
          <w:lang w:val="sq-AL"/>
        </w:rPr>
        <w:t>t e mësipërm</w:t>
      </w:r>
      <w:r w:rsidR="00F97D44" w:rsidRPr="001620BD">
        <w:rPr>
          <w:rFonts w:ascii="Garamond" w:hAnsi="Garamond" w:cs="Times New Roman"/>
          <w:sz w:val="24"/>
          <w:szCs w:val="24"/>
          <w:lang w:val="sq-AL"/>
        </w:rPr>
        <w:t>e</w:t>
      </w:r>
      <w:r w:rsidRPr="001620BD">
        <w:rPr>
          <w:rFonts w:ascii="Garamond" w:hAnsi="Garamond" w:cs="Times New Roman"/>
          <w:sz w:val="24"/>
          <w:szCs w:val="24"/>
          <w:lang w:val="sq-AL"/>
        </w:rPr>
        <w:t>, Zyra e Komisionerit merr parasysh çdo dokumentacion të vënë në dispozicion nga kontrolluesi ose përpunuesi, p.sh. në kuadër të ushtrimit të së drejtës së tyre të mbrojtjes. Në veçanti, një dokumentacion i tillë mund të përmbajë prova se kur janë marrë masat dhe si janë zbatuar ato, nëse ka pasur ndërveprime midis kontrolluesit dhe përpunuesit (nëse është rasti), ose nëse ka pasur kontakt me nëpunësin e mbrojtjes së të dhënave ose me subjektet e të dhënave (nëse është rasti).</w:t>
      </w:r>
    </w:p>
    <w:p w14:paraId="64410CA4" w14:textId="4B232F55"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70. Duke konsideruar shkallën e rritur të përgjegjshmërisë sipas nenit 6 të </w:t>
      </w:r>
      <w:r w:rsidR="004C63F3" w:rsidRPr="001620BD">
        <w:rPr>
          <w:rFonts w:ascii="Garamond" w:hAnsi="Garamond" w:cs="Times New Roman"/>
          <w:sz w:val="24"/>
          <w:szCs w:val="24"/>
          <w:lang w:val="sq-AL"/>
        </w:rPr>
        <w:t xml:space="preserve">ligjit për mbrojtjen e të dhënave, në krahasim </w:t>
      </w:r>
      <w:r w:rsidRPr="001620BD">
        <w:rPr>
          <w:rFonts w:ascii="Garamond" w:hAnsi="Garamond" w:cs="Times New Roman"/>
          <w:sz w:val="24"/>
          <w:szCs w:val="24"/>
          <w:lang w:val="sq-AL"/>
        </w:rPr>
        <w:t>me nenin 5 të ligjit të mëparshëm, mundet që shkalla e përgjegjshmërisë së kontrolluesit ose përpunuesit të konsiderohet një faktor rëndues ose pa ndikim për rastin. Vetëm në rrethana të jashtëzakonshme, kur kontrolluesi ose përpunuesi ka shkuar mbi dhe përtej detyrimeve që i ngarkohen, kjo do të konsiderohet një faktor lehtësues.</w:t>
      </w:r>
    </w:p>
    <w:p w14:paraId="2E8EECEF" w14:textId="79646200" w:rsidR="00133485" w:rsidRPr="001620BD" w:rsidRDefault="00133485" w:rsidP="00133485">
      <w:pPr>
        <w:pStyle w:val="Heading2"/>
        <w:spacing w:before="0" w:beforeAutospacing="0" w:after="0" w:afterAutospacing="0"/>
        <w:ind w:firstLine="284"/>
        <w:rPr>
          <w:rFonts w:ascii="Garamond" w:hAnsi="Garamond"/>
          <w:szCs w:val="24"/>
        </w:rPr>
      </w:pPr>
      <w:bookmarkStart w:id="29" w:name="_Toc203658666"/>
      <w:r w:rsidRPr="001620BD">
        <w:rPr>
          <w:rFonts w:ascii="Garamond" w:hAnsi="Garamond"/>
          <w:szCs w:val="24"/>
        </w:rPr>
        <w:t>5.4 Shkeljet e mëparshme të kontrolluesit/përpunuesit</w:t>
      </w:r>
      <w:bookmarkEnd w:id="29"/>
    </w:p>
    <w:p w14:paraId="3C24623E" w14:textId="548DA088"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71. Bazuar në germën “d” të pikës 2 të nenit 93 </w:t>
      </w:r>
      <w:r w:rsidR="004B4AEB" w:rsidRPr="001620BD">
        <w:rPr>
          <w:rFonts w:ascii="Garamond" w:hAnsi="Garamond" w:cs="Times New Roman"/>
          <w:sz w:val="24"/>
          <w:szCs w:val="24"/>
          <w:lang w:val="sq-AL"/>
        </w:rPr>
        <w:t xml:space="preserve">të ligjit për mbrojtjen e të dhënave, </w:t>
      </w:r>
      <w:r w:rsidRPr="001620BD">
        <w:rPr>
          <w:rFonts w:ascii="Garamond" w:hAnsi="Garamond" w:cs="Times New Roman"/>
          <w:sz w:val="24"/>
          <w:szCs w:val="24"/>
          <w:lang w:val="sq-AL"/>
        </w:rPr>
        <w:t>çdo shkelje e mëparshme e kryer nga kontrolluesi ose përpunuesi duhet të merret parasysh kur vendoset nëse do të vendoset një sanksion dhe kur përcaktohet masa e saj.</w:t>
      </w:r>
    </w:p>
    <w:p w14:paraId="5AD9C10F" w14:textId="67DE844A" w:rsidR="00133485" w:rsidRPr="001620BD" w:rsidRDefault="00133485" w:rsidP="00133485">
      <w:pPr>
        <w:pStyle w:val="Heading3"/>
        <w:spacing w:before="0" w:line="240" w:lineRule="auto"/>
        <w:ind w:firstLine="284"/>
        <w:rPr>
          <w:rFonts w:ascii="Garamond" w:hAnsi="Garamond"/>
          <w:b/>
          <w:color w:val="auto"/>
          <w:lang w:val="sq-AL"/>
        </w:rPr>
      </w:pPr>
      <w:bookmarkStart w:id="30" w:name="_Toc203658667"/>
      <w:r w:rsidRPr="001620BD">
        <w:rPr>
          <w:rFonts w:ascii="Garamond" w:hAnsi="Garamond"/>
          <w:b/>
          <w:color w:val="auto"/>
          <w:lang w:val="sq-AL"/>
        </w:rPr>
        <w:t>5.4.1 Korniza kohore</w:t>
      </w:r>
      <w:bookmarkEnd w:id="30"/>
    </w:p>
    <w:p w14:paraId="6ED042CC" w14:textId="6C9C42C0"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72. Së pari, duhet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 xml:space="preserve">i kushtohet vëmendje çastit kur ka ndodhur shkelja e mëparshme, duke pasur parasysh se sa më e gjatë të jetë koha midis një shkeljeje të mëparshme dhe shkeljes që është në hetim </w:t>
      </w:r>
      <w:r w:rsidRPr="001620BD">
        <w:rPr>
          <w:rFonts w:ascii="Garamond" w:hAnsi="Garamond" w:cs="Times New Roman"/>
          <w:sz w:val="24"/>
          <w:szCs w:val="24"/>
          <w:lang w:val="sq-AL"/>
        </w:rPr>
        <w:lastRenderedPageBreak/>
        <w:t>administrativ, aq më e ulët është rëndësia e saj. Për rrjedhojë, sa më e largët të jetë koha e shkeljes së kryer, aq më pak rëndësi i jepet asaj.</w:t>
      </w:r>
    </w:p>
    <w:p w14:paraId="469F90F5" w14:textId="2022D658"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73. Megjithatë, meqenëse shkeljet e kryera shumë kohë më parë mund të jenë ende me interes gjatë vlerësimit të “regjistrave të veprimtarisë së përpunimit” të kontrolluesit ose përpunuesit, nuk duhet të vendosen periudha fikse kufizimi për këtë qëllim.</w:t>
      </w:r>
    </w:p>
    <w:p w14:paraId="7288E2CA" w14:textId="7C7781A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74. Për të njëjtën arsye, duhet theksuar se shkeljet </w:t>
      </w:r>
      <w:r w:rsidR="004B4AEB" w:rsidRPr="001620BD">
        <w:rPr>
          <w:rFonts w:ascii="Garamond" w:hAnsi="Garamond" w:cs="Times New Roman"/>
          <w:sz w:val="24"/>
          <w:szCs w:val="24"/>
          <w:lang w:val="sq-AL"/>
        </w:rPr>
        <w:t xml:space="preserve">e ligjit për mbrojtjen e të dhënave personale, </w:t>
      </w:r>
      <w:r w:rsidRPr="001620BD">
        <w:rPr>
          <w:rFonts w:ascii="Garamond" w:hAnsi="Garamond" w:cs="Times New Roman"/>
          <w:sz w:val="24"/>
          <w:szCs w:val="24"/>
          <w:lang w:val="sq-AL"/>
        </w:rPr>
        <w:t>duke qenë se është ligji i ri në fuqi, duhet të konsiderohen si më të rëndësishme se shkeljet e dispozitave të ligjit të mëparshëm, të shfuqizuar me hyrjen në fuqi të ligjit aktual.</w:t>
      </w:r>
    </w:p>
    <w:p w14:paraId="706B4848" w14:textId="77856C03" w:rsidR="00133485" w:rsidRPr="001620BD" w:rsidRDefault="00133485" w:rsidP="00133485">
      <w:pPr>
        <w:pStyle w:val="Heading3"/>
        <w:spacing w:before="0" w:line="240" w:lineRule="auto"/>
        <w:ind w:firstLine="284"/>
        <w:rPr>
          <w:rFonts w:ascii="Garamond" w:hAnsi="Garamond"/>
          <w:b/>
          <w:color w:val="auto"/>
          <w:lang w:val="sq-AL"/>
        </w:rPr>
      </w:pPr>
      <w:bookmarkStart w:id="31" w:name="_Toc203658668"/>
      <w:r w:rsidRPr="001620BD">
        <w:rPr>
          <w:rFonts w:ascii="Garamond" w:hAnsi="Garamond"/>
          <w:b/>
          <w:color w:val="auto"/>
          <w:lang w:val="sq-AL"/>
        </w:rPr>
        <w:t>5.4.2 Çështja</w:t>
      </w:r>
      <w:bookmarkEnd w:id="31"/>
    </w:p>
    <w:p w14:paraId="5EC0D523" w14:textId="118339F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75. Për qëllime të g</w:t>
      </w:r>
      <w:r w:rsidR="00111DD2" w:rsidRPr="001620BD">
        <w:rPr>
          <w:rFonts w:ascii="Garamond" w:hAnsi="Garamond" w:cs="Times New Roman"/>
          <w:sz w:val="24"/>
          <w:szCs w:val="24"/>
          <w:lang w:val="sq-AL"/>
        </w:rPr>
        <w:t>e</w:t>
      </w:r>
      <w:r w:rsidRPr="001620BD">
        <w:rPr>
          <w:rFonts w:ascii="Garamond" w:hAnsi="Garamond" w:cs="Times New Roman"/>
          <w:sz w:val="24"/>
          <w:szCs w:val="24"/>
          <w:lang w:val="sq-AL"/>
        </w:rPr>
        <w:t xml:space="preserve">rmës “d” të pikës 2 të nenit 93 të </w:t>
      </w:r>
      <w:r w:rsidR="004B4AEB" w:rsidRPr="001620BD">
        <w:rPr>
          <w:rFonts w:ascii="Garamond" w:hAnsi="Garamond" w:cs="Times New Roman"/>
          <w:sz w:val="24"/>
          <w:szCs w:val="24"/>
          <w:lang w:val="sq-AL"/>
        </w:rPr>
        <w:t xml:space="preserve">ligjit për mbrojtjen e të dhënave, shkeljet </w:t>
      </w:r>
      <w:r w:rsidRPr="001620BD">
        <w:rPr>
          <w:rFonts w:ascii="Garamond" w:hAnsi="Garamond" w:cs="Times New Roman"/>
          <w:sz w:val="24"/>
          <w:szCs w:val="24"/>
          <w:lang w:val="sq-AL"/>
        </w:rPr>
        <w:t xml:space="preserve">e mëparshme të të dhënave të një subjekti, të njëjtë ose të ndryshëm me atë që po hetohet, mund të konsiderohen si “të rëndësishme”. </w:t>
      </w:r>
    </w:p>
    <w:p w14:paraId="26BD779C" w14:textId="6DDEE2A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76. Edhe pse të gjitha shkeljet e mëparshme mund të jenë një tregues në lidhje me qëndrimin e përgjithshëm të kontrolluesit ose përpunuesit ndaj respektimit të dispozitave </w:t>
      </w:r>
      <w:r w:rsidR="00743BAA" w:rsidRPr="001620BD">
        <w:rPr>
          <w:rFonts w:ascii="Garamond" w:hAnsi="Garamond" w:cs="Times New Roman"/>
          <w:sz w:val="24"/>
          <w:szCs w:val="24"/>
          <w:lang w:val="sq-AL"/>
        </w:rPr>
        <w:t>të ligjit për mbrojtjen e të dhënave personale, du</w:t>
      </w:r>
      <w:r w:rsidR="004B4AEB" w:rsidRPr="001620BD">
        <w:rPr>
          <w:rFonts w:ascii="Garamond" w:hAnsi="Garamond" w:cs="Times New Roman"/>
          <w:sz w:val="24"/>
          <w:szCs w:val="24"/>
          <w:lang w:val="sq-AL"/>
        </w:rPr>
        <w:t xml:space="preserve">het t’u </w:t>
      </w:r>
      <w:r w:rsidRPr="001620BD">
        <w:rPr>
          <w:rFonts w:ascii="Garamond" w:hAnsi="Garamond" w:cs="Times New Roman"/>
          <w:sz w:val="24"/>
          <w:szCs w:val="24"/>
          <w:lang w:val="sq-AL"/>
        </w:rPr>
        <w:t>jepet më shumë rëndësi shkeljeve të së njëjtës çështje, pasi ato janë të ngjashme me shkeljen e konstatuar gjatë kohës së hetimit administrativ, veçanërisht kur kontrolluesi ose përpunuesi ka kryer më parë të njëjtën shkelje (shkelje të përsëritura). Kështu, të njëjtat shkelje të çështjes nën hetim duhet të konsiderohen si më të rëndësishme se shkeljet e mëparshme në lidhje me një tematikë tjetër.</w:t>
      </w:r>
    </w:p>
    <w:p w14:paraId="4DA2519F" w14:textId="6E60D7D6"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77. Për shembull, fakti që kontrolluesi ose përpunuesi kanë dështuar në të kaluarën për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iu përgjigjur, në kohën e duhur, subjekteve të të dhënave, në ushtrimin e të drejtave të tyre, duhet të konsiderohet më i rëndësishëm kur shkelja nën hetim administrativ lidhet, gjithashtu, me mungesën e reagimit/përgjigjes së kontrolluesit ndaj një subjekti të dhënash në ushtrimin e të drejtave të tij, sesa kur i referohet (thjeshtë) një shkeljeje të të dhënave personale.</w:t>
      </w:r>
    </w:p>
    <w:p w14:paraId="67221235" w14:textId="22EA61CD"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78. Megjithatë, duhet të merren parasysh edhe shkeljet e mëparshme të një çështjeje tjetër, por që janë kryer në të njëjtën mënyrë, pasi ato mund të jenë tregues i problemeve të vazhdueshme brenda organizatës së kontrolluesit ose përpunuesit. Për shembull, ky do të ishte rasti për shkeljet që lindin si pasojë e mospërfilljes së këshillave/rekomandimeve të nëpunësit përkatës të mbrojtjes së të dhënave.</w:t>
      </w:r>
    </w:p>
    <w:p w14:paraId="2121661B" w14:textId="177691A0" w:rsidR="00133485" w:rsidRPr="001620BD" w:rsidRDefault="00133485" w:rsidP="00133485">
      <w:pPr>
        <w:pStyle w:val="Heading3"/>
        <w:spacing w:before="0" w:line="240" w:lineRule="auto"/>
        <w:ind w:firstLine="284"/>
        <w:rPr>
          <w:rFonts w:ascii="Garamond" w:hAnsi="Garamond"/>
          <w:b/>
          <w:color w:val="auto"/>
          <w:lang w:val="sq-AL"/>
        </w:rPr>
      </w:pPr>
      <w:bookmarkStart w:id="32" w:name="_Toc203658669"/>
      <w:r w:rsidRPr="001620BD">
        <w:rPr>
          <w:rFonts w:ascii="Garamond" w:hAnsi="Garamond"/>
          <w:b/>
          <w:color w:val="auto"/>
          <w:lang w:val="sq-AL"/>
        </w:rPr>
        <w:t>5.4.3 Vlerësime të tjera</w:t>
      </w:r>
      <w:bookmarkEnd w:id="32"/>
    </w:p>
    <w:p w14:paraId="1956CE09" w14:textId="3748D10B"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79. Nëse merret në konsideratë një shkelje e kryer gjatë kohës që në fuqi ka qenë ligji i mëparshëm për mbrojtjen e të dhënave, Zyra e Komisionerit mban parasysh faktin që kërkesat/dispozitat e atij ligji mund të ndryshojnë nga ato të </w:t>
      </w:r>
      <w:r w:rsidR="004B4AEB" w:rsidRPr="001620BD">
        <w:rPr>
          <w:rFonts w:ascii="Garamond" w:hAnsi="Garamond" w:cs="Times New Roman"/>
          <w:sz w:val="24"/>
          <w:szCs w:val="24"/>
          <w:lang w:val="sq-AL"/>
        </w:rPr>
        <w:t>ligjit aktual për mbrojtjen e të dhënave personale.</w:t>
      </w:r>
    </w:p>
    <w:p w14:paraId="322AF9E6" w14:textId="4E607A60"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80. Kur shqyrton rëndësinë e një shkeljeje të mëparshme, Zyra e Komisionerit duhet të marrë parasysh statusin e procedurës në të cilën është konstatuar shkelja e mëparshme – veçanërisht çdo masë të marrë nga Zyra e Komisionerit ose nga gjykata – në përputhje me ligjin e mëparshëm.</w:t>
      </w:r>
    </w:p>
    <w:p w14:paraId="35C1C319" w14:textId="20796085"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81. Ekzistenca e shkeljeve të mëparshme mund të konsiderohet si një faktor rëndues në përllogaritjen e masës së sanksionit. Pesha që merr ky faktor duhet të përcaktohet duke pasur parasysh natyrën dhe shpeshtësinë e shkeljeve të mëparshme. Megjithatë, mungesa e ndonjë shkeljeje të mëparshme nuk mund të konsiderohet një faktor lehtësues, pasi respektimi i dispozitave të </w:t>
      </w:r>
      <w:r w:rsidR="003021D9" w:rsidRPr="001620BD">
        <w:rPr>
          <w:rFonts w:ascii="Garamond" w:hAnsi="Garamond" w:cs="Times New Roman"/>
          <w:sz w:val="24"/>
          <w:szCs w:val="24"/>
          <w:lang w:val="sq-AL"/>
        </w:rPr>
        <w:t xml:space="preserve">ligjit për mbrojtjen e të dhënave personale </w:t>
      </w:r>
      <w:r w:rsidRPr="001620BD">
        <w:rPr>
          <w:rFonts w:ascii="Garamond" w:hAnsi="Garamond" w:cs="Times New Roman"/>
          <w:sz w:val="24"/>
          <w:szCs w:val="24"/>
          <w:lang w:val="sq-AL"/>
        </w:rPr>
        <w:t>përbën një normë taksative. Nëse nuk ka shkelje të mëparshme, ky faktor mund të konsiderohet pa ndikim.</w:t>
      </w:r>
    </w:p>
    <w:p w14:paraId="24B2AFFD" w14:textId="2D3A7CA5" w:rsidR="00133485" w:rsidRPr="001620BD" w:rsidRDefault="00133485" w:rsidP="00133485">
      <w:pPr>
        <w:pStyle w:val="Heading2"/>
        <w:spacing w:before="0" w:beforeAutospacing="0" w:after="0" w:afterAutospacing="0"/>
        <w:ind w:firstLine="284"/>
        <w:jc w:val="both"/>
        <w:rPr>
          <w:rFonts w:ascii="Garamond" w:hAnsi="Garamond"/>
          <w:szCs w:val="24"/>
        </w:rPr>
      </w:pPr>
      <w:bookmarkStart w:id="33" w:name="_Toc203658670"/>
      <w:r w:rsidRPr="001620BD">
        <w:rPr>
          <w:rFonts w:ascii="Garamond" w:hAnsi="Garamond"/>
          <w:szCs w:val="24"/>
        </w:rPr>
        <w:t xml:space="preserve">5.5 </w:t>
      </w:r>
      <w:bookmarkStart w:id="34" w:name="_Hlk122297731"/>
      <w:r w:rsidRPr="001620BD">
        <w:rPr>
          <w:rFonts w:ascii="Garamond" w:hAnsi="Garamond"/>
          <w:szCs w:val="24"/>
        </w:rPr>
        <w:t>Shkalla e bashkëpunimit me Zyrën e Komisionerit për korrigjimin e shkeljes dhe zbutjen e efekteve negative të saj</w:t>
      </w:r>
      <w:bookmarkEnd w:id="33"/>
      <w:bookmarkEnd w:id="34"/>
    </w:p>
    <w:p w14:paraId="76163AA6" w14:textId="42D9A8F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82. G</w:t>
      </w:r>
      <w:r w:rsidR="003021D9" w:rsidRPr="001620BD">
        <w:rPr>
          <w:rFonts w:ascii="Garamond" w:hAnsi="Garamond" w:cs="Times New Roman"/>
          <w:sz w:val="24"/>
          <w:szCs w:val="24"/>
          <w:lang w:val="sq-AL"/>
        </w:rPr>
        <w:t>e</w:t>
      </w:r>
      <w:r w:rsidRPr="001620BD">
        <w:rPr>
          <w:rFonts w:ascii="Garamond" w:hAnsi="Garamond" w:cs="Times New Roman"/>
          <w:sz w:val="24"/>
          <w:szCs w:val="24"/>
          <w:lang w:val="sq-AL"/>
        </w:rPr>
        <w:t xml:space="preserve">rma “dh” e pikës 2 të nenit 93 të </w:t>
      </w:r>
      <w:r w:rsidR="004B4AEB" w:rsidRPr="001620BD">
        <w:rPr>
          <w:rFonts w:ascii="Garamond" w:hAnsi="Garamond" w:cs="Times New Roman"/>
          <w:sz w:val="24"/>
          <w:szCs w:val="24"/>
          <w:lang w:val="sq-AL"/>
        </w:rPr>
        <w:t xml:space="preserve">ligjit për mbrojtjen e të dhënave personale </w:t>
      </w:r>
      <w:r w:rsidRPr="001620BD">
        <w:rPr>
          <w:rFonts w:ascii="Garamond" w:hAnsi="Garamond" w:cs="Times New Roman"/>
          <w:sz w:val="24"/>
          <w:szCs w:val="24"/>
          <w:lang w:val="sq-AL"/>
        </w:rPr>
        <w:t xml:space="preserve">kërkon që Zyra e Komisionerit të marrë parasysh shkallën e bashkëpunimit të kontrolluesit ose përpunuesit, në mënyrë që të korrigjohet shkelja përkatës dhe të zbuten efektet e mundshme negative të saj. </w:t>
      </w:r>
    </w:p>
    <w:p w14:paraId="4DD4E5EB" w14:textId="7D0EE8B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83. Përpara vlerësimit të mëtejshëm të shkallës të bashkëpunimit të kontrolluesit ose përpunuesit me Zyrën e Komisionerit, duhet të theksohet fakti se për kontrolluesit/përpunuesit ekziston një </w:t>
      </w:r>
      <w:r w:rsidRPr="001620BD">
        <w:rPr>
          <w:rFonts w:ascii="Garamond" w:hAnsi="Garamond" w:cs="Times New Roman"/>
          <w:sz w:val="24"/>
          <w:szCs w:val="24"/>
          <w:lang w:val="sq-AL"/>
        </w:rPr>
        <w:lastRenderedPageBreak/>
        <w:t xml:space="preserve">detyrim i përgjithshëm për bashkëpunim me Zyrën e Komisionerit, i parashikuar shprehimisht në nenin 84 </w:t>
      </w:r>
      <w:r w:rsidR="004B4AEB" w:rsidRPr="001620BD">
        <w:rPr>
          <w:rFonts w:ascii="Garamond" w:hAnsi="Garamond" w:cs="Times New Roman"/>
          <w:sz w:val="24"/>
          <w:szCs w:val="24"/>
          <w:lang w:val="sq-AL"/>
        </w:rPr>
        <w:t>ligjit për mbrojtjen e të dhënave personale</w:t>
      </w:r>
      <w:r w:rsidRPr="001620BD">
        <w:rPr>
          <w:rFonts w:ascii="Garamond" w:hAnsi="Garamond" w:cs="Times New Roman"/>
          <w:sz w:val="24"/>
          <w:szCs w:val="24"/>
          <w:lang w:val="sq-AL"/>
        </w:rPr>
        <w:t xml:space="preserve">, si dhe se mungesa e bashkëpunimit mund të çojë në aplikimin e sanksionit të parashikuar në pikën 3, të nenit 94 të ligjit. Prandaj duhet mbajtur në konsideratë fakti se bashkëpunimi me Zyrën e Komisionerit, përbën një detyrim të zakonshëm për kontrolluesin/përpunuesin dhe për këtë arsye, duhet të konsiderohet si një faktor pa ndikim (dhe jo si faktor lehtësues) në përllogaritjen e masës së sanksionit. </w:t>
      </w:r>
    </w:p>
    <w:p w14:paraId="7B854CB2" w14:textId="702993BD"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84. Megjithatë, kur bashkëpunimi me Zyrën e Komisionerit ka pasur efekt në kufizimin ose shmangien e pasojave negative për të drejtat e individëve, Zyra Komisionerit mund ta konsiderojë këtë si një faktor lehtësues në kuptim të g</w:t>
      </w:r>
      <w:r w:rsidR="00111DD2" w:rsidRPr="001620BD">
        <w:rPr>
          <w:rFonts w:ascii="Garamond" w:hAnsi="Garamond" w:cs="Times New Roman"/>
          <w:sz w:val="24"/>
          <w:szCs w:val="24"/>
          <w:lang w:val="sq-AL"/>
        </w:rPr>
        <w:t>e</w:t>
      </w:r>
      <w:r w:rsidRPr="001620BD">
        <w:rPr>
          <w:rFonts w:ascii="Garamond" w:hAnsi="Garamond" w:cs="Times New Roman"/>
          <w:sz w:val="24"/>
          <w:szCs w:val="24"/>
          <w:lang w:val="sq-AL"/>
        </w:rPr>
        <w:t xml:space="preserve">rmës “dh” të pikës 2 të nenit 93 </w:t>
      </w:r>
      <w:r w:rsidR="004B4AEB" w:rsidRPr="001620BD">
        <w:rPr>
          <w:rFonts w:ascii="Garamond" w:hAnsi="Garamond" w:cs="Times New Roman"/>
          <w:sz w:val="24"/>
          <w:szCs w:val="24"/>
          <w:lang w:val="sq-AL"/>
        </w:rPr>
        <w:t>të ligjit për mbrojtjen e të dhënave personale, du</w:t>
      </w:r>
      <w:r w:rsidRPr="001620BD">
        <w:rPr>
          <w:rFonts w:ascii="Garamond" w:hAnsi="Garamond" w:cs="Times New Roman"/>
          <w:sz w:val="24"/>
          <w:szCs w:val="24"/>
          <w:lang w:val="sq-AL"/>
        </w:rPr>
        <w:t xml:space="preserve">ke zvogëluar, kështu, masën e sanksionit. Ky mund të jetë, p.sh., rasti kur një kontrollues ose përpunues u është përgjigjur në një mënyrë të veçantë kërkesave të Zyrës së Komisionerit, gjatë fazës së hetimit administrativ, gjë që ka sjellë si rezultat, më pas, kufizimin e ndjeshëm të ndikimit negativ, në të drejtat e individëve. </w:t>
      </w:r>
    </w:p>
    <w:p w14:paraId="43DC512F" w14:textId="3E90F18F" w:rsidR="00133485" w:rsidRPr="001620BD" w:rsidRDefault="00133485" w:rsidP="00133485">
      <w:pPr>
        <w:pStyle w:val="Heading2"/>
        <w:spacing w:before="0" w:beforeAutospacing="0" w:after="0" w:afterAutospacing="0"/>
        <w:ind w:firstLine="284"/>
        <w:rPr>
          <w:rFonts w:ascii="Garamond" w:hAnsi="Garamond"/>
          <w:szCs w:val="24"/>
        </w:rPr>
      </w:pPr>
      <w:bookmarkStart w:id="35" w:name="_Toc203658671"/>
      <w:r w:rsidRPr="001620BD">
        <w:rPr>
          <w:rFonts w:ascii="Garamond" w:hAnsi="Garamond"/>
          <w:szCs w:val="24"/>
        </w:rPr>
        <w:t xml:space="preserve">5.6 </w:t>
      </w:r>
      <w:bookmarkStart w:id="36" w:name="_Hlk122297809"/>
      <w:r w:rsidRPr="001620BD">
        <w:rPr>
          <w:rFonts w:ascii="Garamond" w:hAnsi="Garamond"/>
          <w:szCs w:val="24"/>
        </w:rPr>
        <w:t>Mënyra sesi shkelja i është bërë e ditur Zyrës së Komisionerit</w:t>
      </w:r>
      <w:bookmarkEnd w:id="35"/>
      <w:bookmarkEnd w:id="36"/>
    </w:p>
    <w:p w14:paraId="7623501D" w14:textId="06BC90BF"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85. Bazuar në g</w:t>
      </w:r>
      <w:r w:rsidR="00111DD2" w:rsidRPr="001620BD">
        <w:rPr>
          <w:rFonts w:ascii="Garamond" w:hAnsi="Garamond" w:cs="Times New Roman"/>
          <w:sz w:val="24"/>
          <w:szCs w:val="24"/>
          <w:lang w:val="sq-AL"/>
        </w:rPr>
        <w:t>e</w:t>
      </w:r>
      <w:r w:rsidRPr="001620BD">
        <w:rPr>
          <w:rFonts w:ascii="Garamond" w:hAnsi="Garamond" w:cs="Times New Roman"/>
          <w:sz w:val="24"/>
          <w:szCs w:val="24"/>
          <w:lang w:val="sq-AL"/>
        </w:rPr>
        <w:t xml:space="preserve">rmën “ë” të pikës 2 të nenit 93, të </w:t>
      </w:r>
      <w:r w:rsidR="004B4AEB" w:rsidRPr="001620BD">
        <w:rPr>
          <w:rFonts w:ascii="Garamond" w:hAnsi="Garamond" w:cs="Times New Roman"/>
          <w:sz w:val="24"/>
          <w:szCs w:val="24"/>
          <w:lang w:val="sq-AL"/>
        </w:rPr>
        <w:t xml:space="preserve">ligjit për mbrojtjen e të dhënave personale, </w:t>
      </w:r>
      <w:r w:rsidRPr="001620BD">
        <w:rPr>
          <w:rFonts w:ascii="Garamond" w:hAnsi="Garamond" w:cs="Times New Roman"/>
          <w:sz w:val="24"/>
          <w:szCs w:val="24"/>
          <w:lang w:val="sq-AL"/>
        </w:rPr>
        <w:t>mënyra në të cilën Zyra e Komisionerit është vënë në dijeni për shkeljen mund të përbëjë një faktor rëndues ose lehtësues për përllogaritjen e masës së sanksionit. Në vlerësimin e kësaj çështjeje, një peshë të veçantë mund të marrë pyetja nëse, si dhe në çfarë mase, kontrolluesi ose përpunuesi ka njoftuar Zyrën e Komisionerit për shkeljen me iniciativë të tij, përpara se shkelja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 xml:space="preserve">i bëhej e ditur Zyrës së Komisionerit në rrugë të tjera (p.sh., nëpërmjet një ankese nga subjekti i të dhënave, ose një hetimi administrativ të nisur </w:t>
      </w:r>
      <w:r w:rsidRPr="001620BD">
        <w:rPr>
          <w:rFonts w:ascii="Garamond" w:hAnsi="Garamond" w:cs="Times New Roman"/>
          <w:i/>
          <w:iCs/>
          <w:sz w:val="24"/>
          <w:szCs w:val="24"/>
          <w:lang w:val="sq-AL"/>
        </w:rPr>
        <w:t>ex officio</w:t>
      </w:r>
      <w:r w:rsidRPr="001620BD">
        <w:rPr>
          <w:rFonts w:ascii="Garamond" w:hAnsi="Garamond" w:cs="Times New Roman"/>
          <w:sz w:val="24"/>
          <w:szCs w:val="24"/>
          <w:lang w:val="sq-AL"/>
        </w:rPr>
        <w:t xml:space="preserve">). Kjo rrethanë nuk paraqet rëndësi kur kontrolluesi i nënshtrohet detyrimit specifik për njoftim (si, p.sh., në rastin e shkeljeve të të dhënave personale sipas nenit 29, të </w:t>
      </w:r>
      <w:r w:rsidR="004B4AEB" w:rsidRPr="001620BD">
        <w:rPr>
          <w:rFonts w:ascii="Garamond" w:hAnsi="Garamond" w:cs="Times New Roman"/>
          <w:sz w:val="24"/>
          <w:szCs w:val="24"/>
          <w:lang w:val="sq-AL"/>
        </w:rPr>
        <w:t>ligjit për mbrojtjen e të dhënave personale</w:t>
      </w:r>
      <w:r w:rsidRPr="001620BD">
        <w:rPr>
          <w:rStyle w:val="FootnoteReference"/>
          <w:rFonts w:ascii="Garamond" w:hAnsi="Garamond" w:cs="Times New Roman"/>
          <w:sz w:val="24"/>
          <w:szCs w:val="24"/>
          <w:lang w:val="sq-AL"/>
        </w:rPr>
        <w:footnoteReference w:id="20"/>
      </w:r>
      <w:r w:rsidRPr="001620BD">
        <w:rPr>
          <w:rFonts w:ascii="Garamond" w:hAnsi="Garamond" w:cs="Times New Roman"/>
          <w:sz w:val="24"/>
          <w:szCs w:val="24"/>
          <w:lang w:val="sq-AL"/>
        </w:rPr>
        <w:t>). Në këto raste, njoftimi duhet të konsiderohet si faktor pa ndikim.</w:t>
      </w:r>
    </w:p>
    <w:p w14:paraId="43C552C9" w14:textId="05B909FB"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86. Kur shkelja i bëhet e ditur Zyrës së Komisionerit, p.sh., me një ankesë ose gjatë një hetimi administrativ kryesisht, ky element duhet gjithashtu, si rregull, të konsiderohet si faktor pa ndikim. Zyra e Komisionerit mund ta konsiderojë si rrethanë lehtësuese, rastin kur kontrolluesi ose përpunuesi e ka njoftuar shkeljen me iniciativën e tij, përpara se Zyra e Komisionerit të marrë dijeni për rastin.</w:t>
      </w:r>
    </w:p>
    <w:p w14:paraId="0405B261" w14:textId="22562EA3" w:rsidR="00133485" w:rsidRPr="001620BD" w:rsidRDefault="00133485" w:rsidP="00133485">
      <w:pPr>
        <w:pStyle w:val="Heading2"/>
        <w:spacing w:before="0" w:beforeAutospacing="0" w:after="0" w:afterAutospacing="0"/>
        <w:ind w:firstLine="284"/>
        <w:jc w:val="both"/>
        <w:rPr>
          <w:rFonts w:ascii="Garamond" w:hAnsi="Garamond"/>
          <w:szCs w:val="24"/>
        </w:rPr>
      </w:pPr>
      <w:bookmarkStart w:id="37" w:name="_Toc203658672"/>
      <w:r w:rsidRPr="001620BD">
        <w:rPr>
          <w:rFonts w:ascii="Garamond" w:hAnsi="Garamond"/>
          <w:szCs w:val="24"/>
        </w:rPr>
        <w:t>5.7 Përputhshmëria me detyrat e lëna më herët për të njëjtën çështje</w:t>
      </w:r>
      <w:bookmarkEnd w:id="37"/>
    </w:p>
    <w:p w14:paraId="6998E00B" w14:textId="4F24AD4A"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87. G</w:t>
      </w:r>
      <w:r w:rsidR="003021D9" w:rsidRPr="001620BD">
        <w:rPr>
          <w:rFonts w:ascii="Garamond" w:hAnsi="Garamond" w:cs="Times New Roman"/>
          <w:sz w:val="24"/>
          <w:szCs w:val="24"/>
          <w:lang w:val="sq-AL"/>
        </w:rPr>
        <w:t>e</w:t>
      </w:r>
      <w:r w:rsidRPr="001620BD">
        <w:rPr>
          <w:rFonts w:ascii="Garamond" w:hAnsi="Garamond" w:cs="Times New Roman"/>
          <w:sz w:val="24"/>
          <w:szCs w:val="24"/>
          <w:lang w:val="sq-AL"/>
        </w:rPr>
        <w:t xml:space="preserve">rma “f” e pikës 2 të nenit 93, </w:t>
      </w:r>
      <w:r w:rsidR="004B4AEB" w:rsidRPr="001620BD">
        <w:rPr>
          <w:rFonts w:ascii="Garamond" w:hAnsi="Garamond" w:cs="Times New Roman"/>
          <w:sz w:val="24"/>
          <w:szCs w:val="24"/>
          <w:lang w:val="sq-AL"/>
        </w:rPr>
        <w:t xml:space="preserve">të ligjit për mbrojtjen e të dhënave personale parashikon </w:t>
      </w:r>
      <w:r w:rsidRPr="001620BD">
        <w:rPr>
          <w:rFonts w:ascii="Garamond" w:hAnsi="Garamond" w:cs="Times New Roman"/>
          <w:sz w:val="24"/>
          <w:szCs w:val="24"/>
          <w:lang w:val="sq-AL"/>
        </w:rPr>
        <w:t>se “</w:t>
      </w:r>
      <w:r w:rsidRPr="001620BD">
        <w:rPr>
          <w:rFonts w:ascii="Garamond" w:hAnsi="Garamond" w:cs="Times New Roman"/>
          <w:i/>
          <w:iCs/>
          <w:sz w:val="24"/>
          <w:szCs w:val="24"/>
          <w:lang w:val="sq-AL"/>
        </w:rPr>
        <w:t>zbatimi i masave korrigjuese, kur përpara shkeljes këto masa janë dhënë ndaj kontrolluesit ose përpunuesit në lidhje me të njëjtën çështje</w:t>
      </w:r>
      <w:r w:rsidRPr="001620BD">
        <w:rPr>
          <w:rFonts w:ascii="Garamond" w:hAnsi="Garamond" w:cs="Times New Roman"/>
          <w:sz w:val="24"/>
          <w:szCs w:val="24"/>
          <w:lang w:val="sq-AL"/>
        </w:rPr>
        <w:t xml:space="preserve">” duhet të merret parasysh në vlerësimin nëse ndaj kontrolluesit/përpunuesit do të vendoset sanksioni administrativ gjobë, si dhe në përcaktimin e masës së saj. </w:t>
      </w:r>
    </w:p>
    <w:p w14:paraId="28D7F7AA" w14:textId="0E7A0A47"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88. Përkundër g</w:t>
      </w:r>
      <w:r w:rsidR="00111DD2" w:rsidRPr="001620BD">
        <w:rPr>
          <w:rFonts w:ascii="Garamond" w:hAnsi="Garamond" w:cs="Times New Roman"/>
          <w:sz w:val="24"/>
          <w:szCs w:val="24"/>
          <w:lang w:val="sq-AL"/>
        </w:rPr>
        <w:t>e</w:t>
      </w:r>
      <w:r w:rsidRPr="001620BD">
        <w:rPr>
          <w:rFonts w:ascii="Garamond" w:hAnsi="Garamond" w:cs="Times New Roman"/>
          <w:sz w:val="24"/>
          <w:szCs w:val="24"/>
          <w:lang w:val="sq-AL"/>
        </w:rPr>
        <w:t xml:space="preserve">rmës “d” të pikës 2 të nenit 93, të </w:t>
      </w:r>
      <w:r w:rsidR="004B4AEB" w:rsidRPr="001620BD">
        <w:rPr>
          <w:rFonts w:ascii="Garamond" w:hAnsi="Garamond" w:cs="Times New Roman"/>
          <w:sz w:val="24"/>
          <w:szCs w:val="24"/>
          <w:lang w:val="sq-AL"/>
        </w:rPr>
        <w:t>ligjit për mbrojtjen e të dhënave personale</w:t>
      </w:r>
      <w:r w:rsidRPr="001620BD">
        <w:rPr>
          <w:rFonts w:ascii="Garamond" w:hAnsi="Garamond" w:cs="Times New Roman"/>
          <w:sz w:val="24"/>
          <w:szCs w:val="24"/>
          <w:lang w:val="sq-AL"/>
        </w:rPr>
        <w:t>, ky vlerësim i referohet vetëm detyrave korrigjuese që vetë Zyra e Komisionerit i ka lënë, më herët, të njëjtit kontrollues ose përpunues në lidhje me të njëjtën çështje.</w:t>
      </w:r>
    </w:p>
    <w:p w14:paraId="0044FD4B" w14:textId="46C15FA9"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89. Në këtë kuadër, kontrolluesi ose përpunuesi mund të ketë pritshmëri, të arsyeshme, që respektimi i detyrave të lëna për të, më herët, do të mund të parandalonte ndodhjen/përsëritjen e shkeljes të së njëjtës natyrë në të ardhmen. Megjithatë, meqenëse përmbushja e detyrave të lëna, më herët, nga Zyra e Komisionerit është e detyrueshme për kontrolluesin ose përpunuesin, ky element nuk duhet të merret parasysh si një faktor lehtësues në vetvete. Përkundrazi, kërkohet një angazhim i shtuar nga ana e kontrolluesit ose përpunuesit në përmbushjen e detyrave të lëna, në mënyrë që ky element të konsiderohet si faktor lehtësues në përllogaritjen e masës së sanksionit (p.sh., marrja e masave shtesë, përtej atyre të urdhëruara nga Zyra e Komisionerit).</w:t>
      </w:r>
    </w:p>
    <w:p w14:paraId="71B5D320" w14:textId="0A945B54"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lastRenderedPageBreak/>
        <w:t xml:space="preserve">90. Në të kundërt, mosrespektimi i një mase korrigjuese të urdhëruar më herët nga Zyra e Komisionerit, mund të konsiderohet ose si një faktor rëndues, ose si një shkelje e ndryshme/e re në vetvete, bazuar në pikën 3 të nenit 94 </w:t>
      </w:r>
      <w:r w:rsidR="004B4AEB" w:rsidRPr="001620BD">
        <w:rPr>
          <w:rFonts w:ascii="Garamond" w:hAnsi="Garamond" w:cs="Times New Roman"/>
          <w:sz w:val="24"/>
          <w:szCs w:val="24"/>
          <w:lang w:val="sq-AL"/>
        </w:rPr>
        <w:t>të ligjit për mbrojtjen e të dhënave personale</w:t>
      </w:r>
      <w:r w:rsidRPr="001620BD">
        <w:rPr>
          <w:rFonts w:ascii="Garamond" w:hAnsi="Garamond" w:cs="Times New Roman"/>
          <w:sz w:val="24"/>
          <w:szCs w:val="24"/>
          <w:lang w:val="sq-AL"/>
        </w:rPr>
        <w:t>. Prandaj, duhet pasur parasysh se e njëjta sjellje, nuk mund të shpjerë në një situatë ku të sanksionohet administrativisht (me gjobë) dy herë.</w:t>
      </w:r>
    </w:p>
    <w:p w14:paraId="67716B42" w14:textId="4BF3E4E3" w:rsidR="00133485" w:rsidRPr="001620BD" w:rsidRDefault="00133485" w:rsidP="003021D9">
      <w:pPr>
        <w:pStyle w:val="Heading2"/>
        <w:spacing w:before="0" w:beforeAutospacing="0" w:after="0" w:afterAutospacing="0"/>
        <w:ind w:firstLine="284"/>
        <w:jc w:val="both"/>
        <w:rPr>
          <w:rFonts w:ascii="Garamond" w:hAnsi="Garamond"/>
          <w:szCs w:val="24"/>
        </w:rPr>
      </w:pPr>
      <w:bookmarkStart w:id="38" w:name="_Toc203658673"/>
      <w:r w:rsidRPr="001620BD">
        <w:rPr>
          <w:rFonts w:ascii="Garamond" w:hAnsi="Garamond"/>
          <w:szCs w:val="24"/>
        </w:rPr>
        <w:t xml:space="preserve">5.8 Respektimi i kodeve të miratuara të sjelljes dhe/ose mekanizmave të miratuar të </w:t>
      </w:r>
      <w:r w:rsidR="003021D9" w:rsidRPr="001620BD">
        <w:rPr>
          <w:rFonts w:ascii="Garamond" w:hAnsi="Garamond"/>
          <w:szCs w:val="24"/>
        </w:rPr>
        <w:t>c</w:t>
      </w:r>
      <w:r w:rsidRPr="001620BD">
        <w:rPr>
          <w:rFonts w:ascii="Garamond" w:hAnsi="Garamond"/>
          <w:szCs w:val="24"/>
        </w:rPr>
        <w:t>ertifikimit</w:t>
      </w:r>
      <w:bookmarkEnd w:id="38"/>
    </w:p>
    <w:p w14:paraId="052CBC24" w14:textId="23A3872F" w:rsidR="00133485" w:rsidRPr="001620BD" w:rsidRDefault="00133485" w:rsidP="003021D9">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91. G</w:t>
      </w:r>
      <w:r w:rsidR="003021D9" w:rsidRPr="001620BD">
        <w:rPr>
          <w:rFonts w:ascii="Garamond" w:hAnsi="Garamond" w:cs="Times New Roman"/>
          <w:sz w:val="24"/>
          <w:szCs w:val="24"/>
          <w:lang w:val="sq-AL"/>
        </w:rPr>
        <w:t>e</w:t>
      </w:r>
      <w:r w:rsidRPr="001620BD">
        <w:rPr>
          <w:rFonts w:ascii="Garamond" w:hAnsi="Garamond" w:cs="Times New Roman"/>
          <w:sz w:val="24"/>
          <w:szCs w:val="24"/>
          <w:lang w:val="sq-AL"/>
        </w:rPr>
        <w:t xml:space="preserve">rma “g” e pikës 2 të nenit 93, të </w:t>
      </w:r>
      <w:r w:rsidR="004B4AEB" w:rsidRPr="001620BD">
        <w:rPr>
          <w:rFonts w:ascii="Garamond" w:hAnsi="Garamond" w:cs="Times New Roman"/>
          <w:sz w:val="24"/>
          <w:szCs w:val="24"/>
          <w:lang w:val="sq-AL"/>
        </w:rPr>
        <w:t xml:space="preserve">ligjit për mbrojtjen e të dhënave personale, thekson </w:t>
      </w:r>
      <w:r w:rsidRPr="001620BD">
        <w:rPr>
          <w:rFonts w:ascii="Garamond" w:hAnsi="Garamond" w:cs="Times New Roman"/>
          <w:sz w:val="24"/>
          <w:szCs w:val="24"/>
          <w:lang w:val="sq-AL"/>
        </w:rPr>
        <w:t xml:space="preserve">se respektimi i kodeve të sjelljes, në përputhje me nenin 35, ose i mekanizmave të miratuar të </w:t>
      </w:r>
      <w:r w:rsidR="00C641F8" w:rsidRPr="001620BD">
        <w:rPr>
          <w:rFonts w:ascii="Garamond" w:hAnsi="Garamond" w:cs="Times New Roman"/>
          <w:sz w:val="24"/>
          <w:szCs w:val="24"/>
          <w:lang w:val="sq-AL"/>
        </w:rPr>
        <w:t>c</w:t>
      </w:r>
      <w:r w:rsidRPr="001620BD">
        <w:rPr>
          <w:rFonts w:ascii="Garamond" w:hAnsi="Garamond" w:cs="Times New Roman"/>
          <w:sz w:val="24"/>
          <w:szCs w:val="24"/>
          <w:lang w:val="sq-AL"/>
        </w:rPr>
        <w:t xml:space="preserve">ertifikimit, në përputhje me nenin 37 të </w:t>
      </w:r>
      <w:r w:rsidR="004B4AEB" w:rsidRPr="001620BD">
        <w:rPr>
          <w:rFonts w:ascii="Garamond" w:hAnsi="Garamond" w:cs="Times New Roman"/>
          <w:sz w:val="24"/>
          <w:szCs w:val="24"/>
          <w:lang w:val="sq-AL"/>
        </w:rPr>
        <w:t xml:space="preserve">ligjit për mbrojtjen e të dhënave personale, mund </w:t>
      </w:r>
      <w:r w:rsidRPr="001620BD">
        <w:rPr>
          <w:rFonts w:ascii="Garamond" w:hAnsi="Garamond" w:cs="Times New Roman"/>
          <w:sz w:val="24"/>
          <w:szCs w:val="24"/>
          <w:lang w:val="sq-AL"/>
        </w:rPr>
        <w:t xml:space="preserve">të jetë një faktor i rëndësishëm në vlerësimin nëse ndaj kontrolluesit/përpunuesit do të vendoset sanksioni administrativ gjobë, si dhe në përcaktimin e masës së saj. </w:t>
      </w:r>
    </w:p>
    <w:p w14:paraId="203A598B" w14:textId="3E8605F8"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92. Respektimi i kodeve të sjelljes, ose mekanizmave të miratuar të </w:t>
      </w:r>
      <w:r w:rsidR="00C641F8" w:rsidRPr="001620BD">
        <w:rPr>
          <w:rFonts w:ascii="Garamond" w:hAnsi="Garamond" w:cs="Times New Roman"/>
          <w:sz w:val="24"/>
          <w:szCs w:val="24"/>
          <w:lang w:val="sq-AL"/>
        </w:rPr>
        <w:t>c</w:t>
      </w:r>
      <w:r w:rsidRPr="001620BD">
        <w:rPr>
          <w:rFonts w:ascii="Garamond" w:hAnsi="Garamond" w:cs="Times New Roman"/>
          <w:sz w:val="24"/>
          <w:szCs w:val="24"/>
          <w:lang w:val="sq-AL"/>
        </w:rPr>
        <w:t xml:space="preserve">ertifikimit në përputhje përkatësisht me nenet 35 dhe </w:t>
      </w:r>
      <w:r w:rsidR="004B4AEB" w:rsidRPr="001620BD">
        <w:rPr>
          <w:rFonts w:ascii="Garamond" w:hAnsi="Garamond" w:cs="Times New Roman"/>
          <w:sz w:val="24"/>
          <w:szCs w:val="24"/>
          <w:lang w:val="sq-AL"/>
        </w:rPr>
        <w:t>37 të ligjit për mbrojtjen e të dhënave personale</w:t>
      </w:r>
      <w:r w:rsidRPr="001620BD">
        <w:rPr>
          <w:rFonts w:ascii="Garamond" w:hAnsi="Garamond" w:cs="Times New Roman"/>
          <w:sz w:val="24"/>
          <w:szCs w:val="24"/>
          <w:lang w:val="sq-AL"/>
        </w:rPr>
        <w:t>, mund të përbëjë një faktor lehtësues në përllogaritjen e masës së sanksionit</w:t>
      </w:r>
      <w:r w:rsidRPr="001620BD">
        <w:rPr>
          <w:rStyle w:val="FootnoteReference"/>
          <w:rFonts w:ascii="Garamond" w:hAnsi="Garamond" w:cs="Times New Roman"/>
          <w:sz w:val="24"/>
          <w:szCs w:val="24"/>
          <w:lang w:val="sq-AL"/>
        </w:rPr>
        <w:t xml:space="preserve"> </w:t>
      </w:r>
      <w:r w:rsidRPr="001620BD">
        <w:rPr>
          <w:rStyle w:val="FootnoteReference"/>
          <w:rFonts w:ascii="Garamond" w:hAnsi="Garamond" w:cs="Times New Roman"/>
          <w:sz w:val="24"/>
          <w:szCs w:val="24"/>
          <w:lang w:val="sq-AL"/>
        </w:rPr>
        <w:footnoteReference w:id="21"/>
      </w:r>
      <w:r w:rsidRPr="001620BD">
        <w:rPr>
          <w:rFonts w:ascii="Garamond" w:hAnsi="Garamond" w:cs="Times New Roman"/>
          <w:sz w:val="24"/>
          <w:szCs w:val="24"/>
          <w:lang w:val="sq-AL"/>
        </w:rPr>
        <w:t>.</w:t>
      </w:r>
    </w:p>
    <w:p w14:paraId="7989E044" w14:textId="2B8DB3F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93. Nga ana tjetër, nëse mosrespektimi i kodeve të sjelljes, ose i </w:t>
      </w:r>
      <w:r w:rsidR="00C641F8" w:rsidRPr="001620BD">
        <w:rPr>
          <w:rFonts w:ascii="Garamond" w:hAnsi="Garamond" w:cs="Times New Roman"/>
          <w:sz w:val="24"/>
          <w:szCs w:val="24"/>
          <w:lang w:val="sq-AL"/>
        </w:rPr>
        <w:t>c</w:t>
      </w:r>
      <w:r w:rsidRPr="001620BD">
        <w:rPr>
          <w:rFonts w:ascii="Garamond" w:hAnsi="Garamond" w:cs="Times New Roman"/>
          <w:sz w:val="24"/>
          <w:szCs w:val="24"/>
          <w:lang w:val="sq-AL"/>
        </w:rPr>
        <w:t>ertifikimit, lidhet drejtpërdrejt me shkeljen e konstatuar, Zyra e Komisionerit mund ta konsiderojë këtë si një rrethanë rënduese në përllogaritjen e masës së sanksionit.</w:t>
      </w:r>
    </w:p>
    <w:p w14:paraId="396D8870" w14:textId="5879B755" w:rsidR="00133485" w:rsidRPr="001620BD" w:rsidRDefault="00133485" w:rsidP="00133485">
      <w:pPr>
        <w:pStyle w:val="Heading2"/>
        <w:spacing w:before="0" w:beforeAutospacing="0" w:after="0" w:afterAutospacing="0"/>
        <w:ind w:firstLine="284"/>
        <w:rPr>
          <w:rFonts w:ascii="Garamond" w:hAnsi="Garamond"/>
          <w:szCs w:val="24"/>
        </w:rPr>
      </w:pPr>
      <w:bookmarkStart w:id="39" w:name="_Toc203658674"/>
      <w:r w:rsidRPr="001620BD">
        <w:rPr>
          <w:rFonts w:ascii="Garamond" w:hAnsi="Garamond"/>
          <w:szCs w:val="24"/>
        </w:rPr>
        <w:t>5.9 Rrethana të tjera rënduese dhe lehtësuese</w:t>
      </w:r>
      <w:bookmarkEnd w:id="39"/>
    </w:p>
    <w:p w14:paraId="3A1814B8" w14:textId="7EBB2EB6"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94. G</w:t>
      </w:r>
      <w:r w:rsidR="003021D9" w:rsidRPr="001620BD">
        <w:rPr>
          <w:rFonts w:ascii="Garamond" w:hAnsi="Garamond" w:cs="Times New Roman"/>
          <w:sz w:val="24"/>
          <w:szCs w:val="24"/>
          <w:lang w:val="sq-AL"/>
        </w:rPr>
        <w:t>e</w:t>
      </w:r>
      <w:r w:rsidRPr="001620BD">
        <w:rPr>
          <w:rFonts w:ascii="Garamond" w:hAnsi="Garamond" w:cs="Times New Roman"/>
          <w:sz w:val="24"/>
          <w:szCs w:val="24"/>
          <w:lang w:val="sq-AL"/>
        </w:rPr>
        <w:t xml:space="preserve">rma “gj” e pikës 2 të nenit 93, të </w:t>
      </w:r>
      <w:r w:rsidR="004B4AEB" w:rsidRPr="001620BD">
        <w:rPr>
          <w:rFonts w:ascii="Garamond" w:hAnsi="Garamond" w:cs="Times New Roman"/>
          <w:sz w:val="24"/>
          <w:szCs w:val="24"/>
          <w:lang w:val="sq-AL"/>
        </w:rPr>
        <w:t>ligjit për mbrojtjen e të dhënave personale</w:t>
      </w:r>
      <w:r w:rsidRPr="001620BD">
        <w:rPr>
          <w:rFonts w:ascii="Garamond" w:hAnsi="Garamond" w:cs="Times New Roman"/>
          <w:sz w:val="24"/>
          <w:szCs w:val="24"/>
          <w:lang w:val="sq-AL"/>
        </w:rPr>
        <w:t>, i jep Zyrës së Komisionerit një hapësirë diskrecionale, për të marrë parasysh çdo faktor tjetër rëndues ose lehtësues të zbatueshëm për rrethanat e çështjes. Në një çështje individuale mund të ketë shumë element</w:t>
      </w:r>
      <w:r w:rsidR="00F97D44" w:rsidRPr="001620BD">
        <w:rPr>
          <w:rFonts w:ascii="Garamond" w:hAnsi="Garamond" w:cs="Times New Roman"/>
          <w:sz w:val="24"/>
          <w:szCs w:val="24"/>
          <w:lang w:val="sq-AL"/>
        </w:rPr>
        <w:t>e</w:t>
      </w:r>
      <w:r w:rsidRPr="001620BD">
        <w:rPr>
          <w:rFonts w:ascii="Garamond" w:hAnsi="Garamond" w:cs="Times New Roman"/>
          <w:sz w:val="24"/>
          <w:szCs w:val="24"/>
          <w:lang w:val="sq-AL"/>
        </w:rPr>
        <w:t xml:space="preserve"> të përfshir</w:t>
      </w:r>
      <w:r w:rsidR="00F97D44" w:rsidRPr="001620BD">
        <w:rPr>
          <w:rFonts w:ascii="Garamond" w:hAnsi="Garamond" w:cs="Times New Roman"/>
          <w:sz w:val="24"/>
          <w:szCs w:val="24"/>
          <w:lang w:val="sq-AL"/>
        </w:rPr>
        <w:t>a</w:t>
      </w:r>
      <w:r w:rsidRPr="001620BD">
        <w:rPr>
          <w:rFonts w:ascii="Garamond" w:hAnsi="Garamond" w:cs="Times New Roman"/>
          <w:sz w:val="24"/>
          <w:szCs w:val="24"/>
          <w:lang w:val="sq-AL"/>
        </w:rPr>
        <w:t xml:space="preserve"> (të cilët nuk mund të listohen të gjithë në mënyrë shteruese), që duhet të merren parasysh në mënyrë që të sigurohet që masa e sanksionit të vendosur të jetë efektive, proporcionale dhe me karakter parandalues, në çdo rast. </w:t>
      </w:r>
    </w:p>
    <w:p w14:paraId="48DF9D20" w14:textId="19AF704B"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95. G</w:t>
      </w:r>
      <w:r w:rsidR="003021D9" w:rsidRPr="001620BD">
        <w:rPr>
          <w:rFonts w:ascii="Garamond" w:hAnsi="Garamond" w:cs="Times New Roman"/>
          <w:sz w:val="24"/>
          <w:szCs w:val="24"/>
          <w:lang w:val="sq-AL"/>
        </w:rPr>
        <w:t>e</w:t>
      </w:r>
      <w:r w:rsidRPr="001620BD">
        <w:rPr>
          <w:rFonts w:ascii="Garamond" w:hAnsi="Garamond" w:cs="Times New Roman"/>
          <w:sz w:val="24"/>
          <w:szCs w:val="24"/>
          <w:lang w:val="sq-AL"/>
        </w:rPr>
        <w:t xml:space="preserve">rma “gj” e pikës 2, të nenit 93, të </w:t>
      </w:r>
      <w:r w:rsidR="004B4AEB" w:rsidRPr="001620BD">
        <w:rPr>
          <w:rFonts w:ascii="Garamond" w:hAnsi="Garamond" w:cs="Times New Roman"/>
          <w:sz w:val="24"/>
          <w:szCs w:val="24"/>
          <w:lang w:val="sq-AL"/>
        </w:rPr>
        <w:t>ligjit për mbrojtjen e të dhënave personale</w:t>
      </w:r>
      <w:r w:rsidRPr="001620BD">
        <w:rPr>
          <w:rFonts w:ascii="Garamond" w:hAnsi="Garamond" w:cs="Times New Roman"/>
          <w:sz w:val="24"/>
          <w:szCs w:val="24"/>
          <w:lang w:val="sq-AL"/>
        </w:rPr>
        <w:t>, përmend shembuj të rrethanave rënduese ose lehtësuese që lidhet me rrethanat e çështjes, si p.sh. përfitimet financiare ose humbjet e shmangura, në mënyrë të drejtpërdrejtë ose tërthorazi nga shkelja. Kjo dispozitë ka rëndësi themelore për përshtatjen e masës së sanksionit në rastin konkret. Në këtë kuptim, kjo dispozitë duhet interpretuar si shembull i parimit të trajtimit të ndershëm dhe drejtë të çështjes përkatëse.</w:t>
      </w:r>
    </w:p>
    <w:p w14:paraId="459BBD00" w14:textId="703D18E1"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96. Objekti i kësaj dispozite, i cili është domosdoshmërisht joshterues, duhet të përfshijë të gjitha rrethanat e arsyetuara në lidhje me kontekstin social-ekonomik në të cilin operon kontrolluesi ose përpunuesi, si dhe ato që lidhen me kontekstin ligjor dhe ato që kanë të bëjnë me kontekstin e tregut.</w:t>
      </w:r>
    </w:p>
    <w:p w14:paraId="02AE83D1" w14:textId="2617C70A"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97. Në veçanti, përfitimi ekonomik nga shkelja mund të jetë një rrethanë rënduese, nëse nga çështja rezulton se kontrolluesi/përpunuesi ka nxjerrë përfitim si rezultat i </w:t>
      </w:r>
      <w:r w:rsidR="004B4AEB" w:rsidRPr="001620BD">
        <w:rPr>
          <w:rFonts w:ascii="Garamond" w:hAnsi="Garamond" w:cs="Times New Roman"/>
          <w:sz w:val="24"/>
          <w:szCs w:val="24"/>
          <w:lang w:val="sq-AL"/>
        </w:rPr>
        <w:t>shkeljes së ligjit për mbrojtjen e të dhënave personale.</w:t>
      </w:r>
    </w:p>
    <w:p w14:paraId="7C03A218" w14:textId="5DE388C1"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98. Rrethanat e jashtëzakonshme që mund të çojnë në ndryshime të rëndësishme në kontekstin social-ekonomik (p.sh. fillimi i një emergjence të rëndë pandemike, që mund të ndryshojë rrënjësisht mënyrën sesi kryhet përpunimi i të dhënave personale), mund të merret, gjithashtu, në konsideratë bazuar në germën “gj” të pikës 2 të nenit 93 të </w:t>
      </w:r>
      <w:r w:rsidR="00144892" w:rsidRPr="001620BD">
        <w:rPr>
          <w:rFonts w:ascii="Garamond" w:hAnsi="Garamond" w:cs="Times New Roman"/>
          <w:sz w:val="24"/>
          <w:szCs w:val="24"/>
          <w:lang w:val="sq-AL"/>
        </w:rPr>
        <w:t>ligjit për mbrojtjen e të dhënave personale</w:t>
      </w:r>
      <w:r w:rsidRPr="001620BD">
        <w:rPr>
          <w:rFonts w:ascii="Garamond" w:hAnsi="Garamond" w:cs="Times New Roman"/>
          <w:sz w:val="24"/>
          <w:szCs w:val="24"/>
          <w:lang w:val="sq-AL"/>
        </w:rPr>
        <w:t>.</w:t>
      </w:r>
    </w:p>
    <w:tbl>
      <w:tblPr>
        <w:tblStyle w:val="TableGrid"/>
        <w:tblW w:w="5000" w:type="pct"/>
        <w:jc w:val="center"/>
        <w:tblLook w:val="04A0" w:firstRow="1" w:lastRow="0" w:firstColumn="1" w:lastColumn="0" w:noHBand="0" w:noVBand="1"/>
      </w:tblPr>
      <w:tblGrid>
        <w:gridCol w:w="9350"/>
      </w:tblGrid>
      <w:tr w:rsidR="001620BD" w:rsidRPr="001620BD" w14:paraId="49889B6A" w14:textId="77777777" w:rsidTr="003021D9">
        <w:trPr>
          <w:jc w:val="center"/>
        </w:trPr>
        <w:tc>
          <w:tcPr>
            <w:tcW w:w="5000" w:type="pct"/>
          </w:tcPr>
          <w:p w14:paraId="326E6344" w14:textId="77777777" w:rsidR="00133485" w:rsidRPr="001620BD" w:rsidRDefault="00133485" w:rsidP="007E1BEE">
            <w:pPr>
              <w:ind w:firstLine="284"/>
              <w:jc w:val="both"/>
              <w:rPr>
                <w:rFonts w:ascii="Garamond" w:hAnsi="Garamond" w:cs="Times New Roman"/>
                <w:b/>
                <w:bCs/>
                <w:i/>
                <w:iCs/>
                <w:sz w:val="24"/>
                <w:szCs w:val="24"/>
                <w:lang w:val="sq-AL"/>
              </w:rPr>
            </w:pPr>
            <w:r w:rsidRPr="001620BD">
              <w:rPr>
                <w:rFonts w:ascii="Garamond" w:hAnsi="Garamond" w:cs="Times New Roman"/>
                <w:b/>
                <w:bCs/>
                <w:i/>
                <w:iCs/>
                <w:sz w:val="24"/>
                <w:szCs w:val="24"/>
                <w:lang w:val="sq-AL"/>
              </w:rPr>
              <w:t>Shembujt në këtë kapitull janë ilustrime të efektit që mund të kenë rrethanat rënduese dhe lehtësuese në përllogaritjen e masës së sanksionit. Zmadhimet ose zvogëlimet e përmendura në këto çështje hipotetike nuk mund të konsiderohen si precedentë apo tregues të përqindjeve që do të përdoren në realitet.</w:t>
            </w:r>
          </w:p>
          <w:p w14:paraId="4FE2EB83" w14:textId="77777777" w:rsidR="00133485" w:rsidRPr="001620BD" w:rsidRDefault="00133485" w:rsidP="007E1BEE">
            <w:pPr>
              <w:ind w:firstLine="284"/>
              <w:jc w:val="both"/>
              <w:rPr>
                <w:rFonts w:ascii="Garamond" w:hAnsi="Garamond" w:cs="Times New Roman"/>
                <w:b/>
                <w:bCs/>
                <w:i/>
                <w:iCs/>
                <w:sz w:val="24"/>
                <w:szCs w:val="24"/>
                <w:lang w:val="sq-AL"/>
              </w:rPr>
            </w:pPr>
          </w:p>
          <w:p w14:paraId="4F71E930" w14:textId="6E59DF33"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b/>
                <w:bCs/>
                <w:i/>
                <w:iCs/>
                <w:sz w:val="24"/>
                <w:szCs w:val="24"/>
                <w:lang w:val="sq-AL"/>
              </w:rPr>
              <w:lastRenderedPageBreak/>
              <w:t>Shembulli 7a</w:t>
            </w:r>
            <w:r w:rsidR="00144892"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Vlerësimi i rrethanave rënduese dhe lehtësuese</w:t>
            </w:r>
          </w:p>
          <w:p w14:paraId="3EBDBFB4" w14:textId="5BF1E5A5"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Një klub sportiv përdorte kamera të pajisura me teknologjinë e njohjes së fytyrës në hyrje të një prej vendndodhjeve të tij, për të identifikuar klientët përkatës që në hyrje. Meqenëse klubi sportiv e kryente këtë përpunim në kundërshtim me nenin 9 të </w:t>
            </w:r>
            <w:r w:rsidR="00144892" w:rsidRPr="001620BD">
              <w:rPr>
                <w:rFonts w:ascii="Garamond" w:hAnsi="Garamond" w:cs="Times New Roman"/>
                <w:i/>
                <w:iCs/>
                <w:sz w:val="24"/>
                <w:szCs w:val="24"/>
                <w:lang w:val="sq-AL"/>
              </w:rPr>
              <w:t xml:space="preserve">ligjit për mbrojtjen e të dhënave personale </w:t>
            </w:r>
            <w:r w:rsidRPr="001620BD">
              <w:rPr>
                <w:rFonts w:ascii="Garamond" w:hAnsi="Garamond" w:cs="Times New Roman"/>
                <w:i/>
                <w:iCs/>
                <w:sz w:val="24"/>
                <w:szCs w:val="24"/>
                <w:lang w:val="sq-AL"/>
              </w:rPr>
              <w:t>(përpunimi i të dhënave biometrike, pa një kriter ligjor të vlefshëm), Zyra e Komisionerit, pasi hetoi shkeljen, vendosi të aplikonte një sanksion administrativ gjobë. Duke marrë parasysh të gjitha rrethanat përkatëse të çështjes, Zyra e Komisionerit e konsideroi këtë si shkelje me shkallë të lartë rëndësie dhe, meqenëse klubi sportiv kishte një xhiro vjetore të barabartë me 700 000 000 lekë, pikënisja e përllogaritjes duhet të variojë midis 20 dhe 100% të tavanit ligjor të zbatueshëm (pra,</w:t>
            </w:r>
            <w:r w:rsidR="00144892" w:rsidRPr="001620BD">
              <w:rPr>
                <w:rFonts w:ascii="Garamond" w:hAnsi="Garamond" w:cs="Times New Roman"/>
                <w:i/>
                <w:iCs/>
                <w:sz w:val="24"/>
                <w:szCs w:val="24"/>
                <w:lang w:val="sq-AL"/>
              </w:rPr>
              <w:t xml:space="preserve"> </w:t>
            </w:r>
            <w:r w:rsidRPr="001620BD">
              <w:rPr>
                <w:rFonts w:ascii="Garamond" w:hAnsi="Garamond" w:cs="Times New Roman"/>
                <w:i/>
                <w:iCs/>
                <w:sz w:val="24"/>
                <w:szCs w:val="24"/>
                <w:lang w:val="sq-AL"/>
              </w:rPr>
              <w:t xml:space="preserve">në vlerat midis 400 000 000 dhe 2 000 000 000 lekë). Bazuar në xhiron e </w:t>
            </w:r>
            <w:r w:rsidR="00144892" w:rsidRPr="001620BD">
              <w:rPr>
                <w:rFonts w:ascii="Garamond" w:hAnsi="Garamond" w:cs="Times New Roman"/>
                <w:i/>
                <w:iCs/>
                <w:sz w:val="24"/>
                <w:szCs w:val="24"/>
                <w:lang w:val="sq-AL"/>
              </w:rPr>
              <w:t>k</w:t>
            </w:r>
            <w:r w:rsidRPr="001620BD">
              <w:rPr>
                <w:rFonts w:ascii="Garamond" w:hAnsi="Garamond" w:cs="Times New Roman"/>
                <w:i/>
                <w:iCs/>
                <w:sz w:val="24"/>
                <w:szCs w:val="24"/>
                <w:lang w:val="sq-AL"/>
              </w:rPr>
              <w:t>ontrolluesit (700 000 000 lekë), Zyra e Komisionerit mori në konsideratë uljen e mëtejshme të kësaj shume në 15% të vlerës së pikënisjes së identifikuar</w:t>
            </w:r>
            <w:r w:rsidRPr="001620BD">
              <w:rPr>
                <w:rStyle w:val="FootnoteReference"/>
                <w:rFonts w:ascii="Garamond" w:hAnsi="Garamond" w:cs="Times New Roman"/>
                <w:i/>
                <w:iCs/>
                <w:sz w:val="24"/>
                <w:szCs w:val="24"/>
                <w:lang w:val="sq-AL"/>
              </w:rPr>
              <w:footnoteReference w:id="22"/>
            </w:r>
            <w:r w:rsidRPr="001620BD">
              <w:rPr>
                <w:rFonts w:ascii="Garamond" w:hAnsi="Garamond" w:cs="Times New Roman"/>
                <w:i/>
                <w:iCs/>
                <w:sz w:val="24"/>
                <w:szCs w:val="24"/>
                <w:lang w:val="sq-AL"/>
              </w:rPr>
              <w:t>.</w:t>
            </w:r>
          </w:p>
          <w:p w14:paraId="21A17169" w14:textId="2BEA1657" w:rsidR="00133485" w:rsidRPr="001620BD" w:rsidRDefault="00133485" w:rsidP="00EB67C1">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Megjithatë, duke qenë se i njëjti klub sportiv ishte gjobitur dy vjet më herët për përdorimin e teknologjisë së përpunimit të shenjave daktiloskopike në hyrje të një vendndodhjeje tjetër të tij, Zyra e Komisionerit vendosi ta marrë parasysh këtë si një shkelje të përsëritur (neni 93(2)(d) </w:t>
            </w:r>
            <w:r w:rsidR="00144892" w:rsidRPr="001620BD">
              <w:rPr>
                <w:rFonts w:ascii="Garamond" w:hAnsi="Garamond" w:cs="Times New Roman"/>
                <w:i/>
                <w:iCs/>
                <w:sz w:val="24"/>
                <w:szCs w:val="24"/>
                <w:lang w:val="sq-AL"/>
              </w:rPr>
              <w:t>i ligjit për mbrojtjen e të dhënave personale</w:t>
            </w:r>
            <w:r w:rsidRPr="001620BD">
              <w:rPr>
                <w:rFonts w:ascii="Garamond" w:hAnsi="Garamond" w:cs="Times New Roman"/>
                <w:i/>
                <w:iCs/>
                <w:sz w:val="24"/>
                <w:szCs w:val="24"/>
                <w:lang w:val="sq-AL"/>
              </w:rPr>
              <w:t>). Duke vepruar kështu, Zyra e Komisionerit i dha rëndësi faktit se kjo kishte të bënte pothuajse me të njëjtën tematikë dhe shkelja ishte kryer vetëm dy vjet më parë. Për shkak të këtij faktori rëndues, Zyra e Komisionerit vendosi të zmadhojë masën e sanksionit, për këtë çështje specifike, në vlerën 124 800 000 lekë</w:t>
            </w:r>
            <w:r w:rsidRPr="001620BD">
              <w:rPr>
                <w:rStyle w:val="FootnoteReference"/>
                <w:rFonts w:ascii="Garamond" w:hAnsi="Garamond" w:cs="Times New Roman"/>
                <w:i/>
                <w:iCs/>
                <w:sz w:val="24"/>
                <w:szCs w:val="24"/>
                <w:lang w:val="sq-AL"/>
              </w:rPr>
              <w:footnoteReference w:id="23"/>
            </w:r>
            <w:r w:rsidRPr="001620BD">
              <w:rPr>
                <w:rFonts w:ascii="Garamond" w:hAnsi="Garamond" w:cs="Times New Roman"/>
                <w:i/>
                <w:iCs/>
                <w:sz w:val="24"/>
                <w:szCs w:val="24"/>
                <w:lang w:val="sq-AL"/>
              </w:rPr>
              <w:t>,duke mos e tejkaluar tavanin ligjor në fuqi prej 2 000 000 000 lekë</w:t>
            </w:r>
            <w:r w:rsidR="003357A1" w:rsidRPr="001620BD">
              <w:rPr>
                <w:rFonts w:ascii="Garamond" w:hAnsi="Garamond" w:cs="Times New Roman"/>
                <w:i/>
                <w:iCs/>
                <w:sz w:val="24"/>
                <w:szCs w:val="24"/>
                <w:lang w:val="sq-AL"/>
              </w:rPr>
              <w:t>sh</w:t>
            </w:r>
            <w:r w:rsidRPr="001620BD">
              <w:rPr>
                <w:rFonts w:ascii="Garamond" w:hAnsi="Garamond" w:cs="Times New Roman"/>
                <w:i/>
                <w:iCs/>
                <w:sz w:val="24"/>
                <w:szCs w:val="24"/>
                <w:lang w:val="sq-AL"/>
              </w:rPr>
              <w:t>.</w:t>
            </w:r>
          </w:p>
        </w:tc>
      </w:tr>
    </w:tbl>
    <w:p w14:paraId="18BF1C49" w14:textId="77777777" w:rsidR="00133485" w:rsidRPr="001620BD" w:rsidRDefault="00133485" w:rsidP="00133485">
      <w:pPr>
        <w:spacing w:after="0" w:line="240" w:lineRule="auto"/>
        <w:ind w:firstLine="284"/>
        <w:jc w:val="both"/>
        <w:rPr>
          <w:rFonts w:ascii="Garamond" w:hAnsi="Garamond" w:cs="Times New Roman"/>
          <w:i/>
          <w:iCs/>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11868AFF" w14:textId="77777777" w:rsidTr="003021D9">
        <w:trPr>
          <w:jc w:val="center"/>
        </w:trPr>
        <w:tc>
          <w:tcPr>
            <w:tcW w:w="5000" w:type="pct"/>
          </w:tcPr>
          <w:p w14:paraId="027FCA3E" w14:textId="57AFF3A8" w:rsidR="00133485" w:rsidRPr="001620BD" w:rsidRDefault="00133485" w:rsidP="007E1BEE">
            <w:pPr>
              <w:ind w:firstLine="284"/>
              <w:jc w:val="both"/>
              <w:rPr>
                <w:rFonts w:ascii="Garamond" w:hAnsi="Garamond" w:cs="Times New Roman"/>
                <w:b/>
                <w:bCs/>
                <w:i/>
                <w:iCs/>
                <w:sz w:val="24"/>
                <w:szCs w:val="24"/>
                <w:lang w:val="sq-AL"/>
              </w:rPr>
            </w:pPr>
            <w:r w:rsidRPr="001620BD">
              <w:rPr>
                <w:rFonts w:ascii="Garamond" w:hAnsi="Garamond" w:cs="Times New Roman"/>
                <w:b/>
                <w:bCs/>
                <w:i/>
                <w:iCs/>
                <w:sz w:val="24"/>
                <w:szCs w:val="24"/>
                <w:lang w:val="sq-AL"/>
              </w:rPr>
              <w:t>Shembulli 7b</w:t>
            </w:r>
            <w:r w:rsidR="00144892"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Vlerësimi i rrethanave rënduese dhe lehtësuese</w:t>
            </w:r>
          </w:p>
          <w:p w14:paraId="7B7E629E" w14:textId="3ABD7247"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Operatori i një platforme të marrjes me qira të automjeteve pësoi një cenim të dhënash (data breach), duke bërë që të dhënat personale të klientëve të tij të ekspozoheshin ndaj cenimeve, për një kohë të shkurtër. Duke marrë parasysh të gjitha rrethanat përkatëse të çështjes, Zyra e Komisionerit vlerësoi mangësitë e operatorit, për të marrë masa tekniko-organizative për garantimin e sigurisë së platformës së tij, si shkelje të nenit 28 </w:t>
            </w:r>
            <w:r w:rsidR="00144892" w:rsidRPr="001620BD">
              <w:rPr>
                <w:rFonts w:ascii="Garamond" w:hAnsi="Garamond" w:cs="Times New Roman"/>
                <w:i/>
                <w:iCs/>
                <w:sz w:val="24"/>
                <w:szCs w:val="24"/>
                <w:lang w:val="sq-AL"/>
              </w:rPr>
              <w:t>të ligjit për mbrojtjen e të dhënave personale</w:t>
            </w:r>
            <w:r w:rsidRPr="001620BD">
              <w:rPr>
                <w:rFonts w:ascii="Garamond" w:hAnsi="Garamond" w:cs="Times New Roman"/>
                <w:i/>
                <w:iCs/>
                <w:sz w:val="24"/>
                <w:szCs w:val="24"/>
                <w:lang w:val="sq-AL"/>
              </w:rPr>
              <w:t xml:space="preserve">, si shkelje të një shkalle rëndësie të ulët. Për këtë arsye, Zyra e Komisionerit përcaktoi si pikënisje për përllogaritjen e masës së sanksionit një vlerë midis 0 dhe 10% të tavanit ligjor të parashikuar në pikën 1(a) të nenit 94 të </w:t>
            </w:r>
            <w:r w:rsidR="00144892" w:rsidRPr="001620BD">
              <w:rPr>
                <w:rFonts w:ascii="Garamond" w:hAnsi="Garamond" w:cs="Times New Roman"/>
                <w:i/>
                <w:iCs/>
                <w:sz w:val="24"/>
                <w:szCs w:val="24"/>
                <w:lang w:val="sq-AL"/>
              </w:rPr>
              <w:t xml:space="preserve">ligjit për mbrojtjen e të dhënave personale </w:t>
            </w:r>
            <w:r w:rsidRPr="001620BD">
              <w:rPr>
                <w:rFonts w:ascii="Garamond" w:hAnsi="Garamond" w:cs="Times New Roman"/>
                <w:i/>
                <w:iCs/>
                <w:sz w:val="24"/>
                <w:szCs w:val="24"/>
                <w:lang w:val="sq-AL"/>
              </w:rPr>
              <w:t>(pra, 0 deri në 100 000 000 lekë) . Bazuar në xhiron e Kontrolluesit (1 100 000 000 lekë), Zyra e Komisionerit mund të merrte në konsideratë uljen e mëtejshme të kësaj shume në 40% të vlerës së pikënisjes së identifikuar</w:t>
            </w:r>
            <w:r w:rsidRPr="001620BD">
              <w:rPr>
                <w:rStyle w:val="FootnoteReference"/>
                <w:rFonts w:ascii="Garamond" w:hAnsi="Garamond" w:cs="Times New Roman"/>
                <w:i/>
                <w:iCs/>
                <w:sz w:val="24"/>
                <w:szCs w:val="24"/>
                <w:lang w:val="sq-AL"/>
              </w:rPr>
              <w:footnoteReference w:id="24"/>
            </w:r>
            <w:r w:rsidRPr="001620BD">
              <w:rPr>
                <w:rFonts w:ascii="Garamond" w:hAnsi="Garamond" w:cs="Times New Roman"/>
                <w:i/>
                <w:iCs/>
                <w:sz w:val="24"/>
                <w:szCs w:val="24"/>
                <w:lang w:val="sq-AL"/>
              </w:rPr>
              <w:t>. Sa më sipër, Zyra e Komisionerit vlerësoi si të përshtatshme aplikimin e një pikënisjeje për përllogaritjen e mëtejshme të sanksionit në vlerën e e barabartë me 32 000 000 lekë.</w:t>
            </w:r>
          </w:p>
          <w:p w14:paraId="4C8E7E0D" w14:textId="2DD042FF" w:rsidR="00133485" w:rsidRPr="001620BD" w:rsidRDefault="00133485" w:rsidP="007E1BEE">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t xml:space="preserve">Të dhënat personale të komprometuara përfshinin kopje të lejeve të drejtimit dhe letërnjoftimeve elektronike. Për këtë arsye, të gjithë klientët që u cenuan nga shkelja e të dhënave (data breach) u detyruan të riaplikonin për këto dokumente, për të kufizuar mundësinë e vjedhjes së identitetit përkatës në të ardhmen. Gjatë informimit të subjekteve të të dhënave për këtë incident, operatori u ofroi të gjithë subjekteve të të dhënave ndihmë për të riaplikuar për këto dokumente pranë institucioneve publike dhe krijoi një sistem për rimbursimin e çdo tarife të paguar për aplikim. Zyra e Komisionerit e konsideroi këtë si veprim për të zbutur dëmin e pësuar nga subjektet e të dhënave (neni 93(2)(c) i </w:t>
            </w:r>
            <w:r w:rsidR="00F93296" w:rsidRPr="001620BD">
              <w:rPr>
                <w:rFonts w:ascii="Garamond" w:hAnsi="Garamond" w:cs="Times New Roman"/>
                <w:i/>
                <w:iCs/>
                <w:sz w:val="24"/>
                <w:szCs w:val="24"/>
                <w:lang w:val="sq-AL"/>
              </w:rPr>
              <w:t>ligjit për mbrojtjen e të dhënave personale</w:t>
            </w:r>
            <w:r w:rsidRPr="001620BD">
              <w:rPr>
                <w:rFonts w:ascii="Garamond" w:hAnsi="Garamond" w:cs="Times New Roman"/>
                <w:i/>
                <w:iCs/>
                <w:sz w:val="24"/>
                <w:szCs w:val="24"/>
                <w:lang w:val="sq-AL"/>
              </w:rPr>
              <w:t xml:space="preserve">), i cili pati një efekt lehtësues për sanksionin. Nisur nga qëndrimi proaktiv </w:t>
            </w:r>
            <w:r w:rsidRPr="001620BD">
              <w:rPr>
                <w:rFonts w:ascii="Garamond" w:hAnsi="Garamond" w:cs="Times New Roman"/>
                <w:i/>
                <w:iCs/>
                <w:sz w:val="24"/>
                <w:szCs w:val="24"/>
                <w:lang w:val="sq-AL"/>
              </w:rPr>
              <w:lastRenderedPageBreak/>
              <w:t>dhe efektiviteti i masave të marra nga operatori, Zyra e Komisionerit vendosi ta zbresë sanksionin në 16 000 000 lekë (sërish duke mos tejkaluar tavanin ligjor prej 1 000 000 000 lekë</w:t>
            </w:r>
            <w:r w:rsidR="00F93296" w:rsidRPr="001620BD">
              <w:rPr>
                <w:rFonts w:ascii="Garamond" w:hAnsi="Garamond" w:cs="Times New Roman"/>
                <w:i/>
                <w:iCs/>
                <w:sz w:val="24"/>
                <w:szCs w:val="24"/>
                <w:lang w:val="sq-AL"/>
              </w:rPr>
              <w:t>sh</w:t>
            </w:r>
            <w:r w:rsidRPr="001620BD">
              <w:rPr>
                <w:rFonts w:ascii="Garamond" w:hAnsi="Garamond" w:cs="Times New Roman"/>
                <w:i/>
                <w:iCs/>
                <w:sz w:val="24"/>
                <w:szCs w:val="24"/>
                <w:lang w:val="sq-AL"/>
              </w:rPr>
              <w:t>).</w:t>
            </w:r>
            <w:r w:rsidRPr="001620BD">
              <w:rPr>
                <w:rStyle w:val="FootnoteReference"/>
                <w:rFonts w:ascii="Garamond" w:hAnsi="Garamond" w:cs="Times New Roman"/>
                <w:i/>
                <w:iCs/>
                <w:sz w:val="24"/>
                <w:szCs w:val="24"/>
                <w:lang w:val="sq-AL"/>
              </w:rPr>
              <w:footnoteReference w:id="25"/>
            </w:r>
          </w:p>
        </w:tc>
      </w:tr>
    </w:tbl>
    <w:p w14:paraId="718F1D0B"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46BFC768" w14:textId="77777777" w:rsidTr="003021D9">
        <w:trPr>
          <w:jc w:val="center"/>
        </w:trPr>
        <w:tc>
          <w:tcPr>
            <w:tcW w:w="5000" w:type="pct"/>
          </w:tcPr>
          <w:p w14:paraId="10B4EDFF" w14:textId="2AAED375" w:rsidR="00133485" w:rsidRPr="001620BD" w:rsidRDefault="00133485" w:rsidP="007E1BEE">
            <w:pPr>
              <w:ind w:firstLine="284"/>
              <w:jc w:val="both"/>
              <w:rPr>
                <w:rFonts w:ascii="Garamond" w:hAnsi="Garamond" w:cs="Times New Roman"/>
                <w:b/>
                <w:bCs/>
                <w:sz w:val="24"/>
                <w:szCs w:val="24"/>
                <w:lang w:val="sq-AL"/>
              </w:rPr>
            </w:pPr>
            <w:r w:rsidRPr="001620BD">
              <w:rPr>
                <w:rFonts w:ascii="Garamond" w:hAnsi="Garamond" w:cs="Times New Roman"/>
                <w:b/>
                <w:bCs/>
                <w:i/>
                <w:iCs/>
                <w:sz w:val="24"/>
                <w:szCs w:val="24"/>
                <w:lang w:val="sq-AL"/>
              </w:rPr>
              <w:t>Shembulli 7c</w:t>
            </w:r>
            <w:r w:rsidR="00F93296"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Vlerësimi i rrethanave rënduese dhe lehtësuese</w:t>
            </w:r>
          </w:p>
          <w:p w14:paraId="081AFEC5" w14:textId="7A35173C"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Një agjenci e vogël e vlerësimi kredish u zbulua se kishte shkelur disa dispozita që mbronin të drejtat e subjekteve të të dhënave, më së shumti sepse u ngarkonte klientëve të saj një tarifë për ushtrimin e të drejtës së tyre për akses. Agjencia e bënte këtë për të gjitha kërkesat për akses. Duke marrë parasysh të gjitha rrethanat e çështjes, Zyra e Komisionerit vlerësoi se shkeljet e konstatuara ishin të një shkalle rëndësie të lartë. Për këtë arsye, Zyra e Komisionerit përcaktoi si pikënisje për përllogaritjen e masës së sanksionit një vlerë midis 20% dhe 100% të tavanit ligjor të parashikuar në pikën 2(b) të nenit 94 të </w:t>
            </w:r>
            <w:r w:rsidR="00F93296" w:rsidRPr="001620BD">
              <w:rPr>
                <w:rFonts w:ascii="Garamond" w:hAnsi="Garamond" w:cs="Times New Roman"/>
                <w:i/>
                <w:iCs/>
                <w:sz w:val="24"/>
                <w:szCs w:val="24"/>
                <w:lang w:val="sq-AL"/>
              </w:rPr>
              <w:t xml:space="preserve">ligjit për mbrojtjen e të dhënave personale </w:t>
            </w:r>
            <w:r w:rsidRPr="001620BD">
              <w:rPr>
                <w:rFonts w:ascii="Garamond" w:hAnsi="Garamond" w:cs="Times New Roman"/>
                <w:i/>
                <w:iCs/>
                <w:sz w:val="24"/>
                <w:szCs w:val="24"/>
                <w:lang w:val="sq-AL"/>
              </w:rPr>
              <w:t>(pra, 400 000 000 deri në 2 000 000 000 lekë). Meqenëse agjencia kishte një xhiro vjetore prej 30 000 000 lekë</w:t>
            </w:r>
            <w:r w:rsidR="00F93296" w:rsidRPr="001620BD">
              <w:rPr>
                <w:rFonts w:ascii="Garamond" w:hAnsi="Garamond" w:cs="Times New Roman"/>
                <w:i/>
                <w:iCs/>
                <w:sz w:val="24"/>
                <w:szCs w:val="24"/>
                <w:lang w:val="sq-AL"/>
              </w:rPr>
              <w:t>sh</w:t>
            </w:r>
            <w:r w:rsidRPr="001620BD">
              <w:rPr>
                <w:rFonts w:ascii="Garamond" w:hAnsi="Garamond" w:cs="Times New Roman"/>
                <w:i/>
                <w:iCs/>
                <w:sz w:val="24"/>
                <w:szCs w:val="24"/>
                <w:lang w:val="sq-AL"/>
              </w:rPr>
              <w:t>, Zyra vlerësoi si të përshtatshme aplikimin e një pikënisjeje për përllogaritjen e mëtejshme të sanksionit në vlerën e barabartë me 2 400 000 lekë (nisur nga përmasa e Kontrolluesit, pikënisja për përllogaritjen e sanksionit reduktohet në 0.3% të vlerës së pikënisjes së mësipërme).</w:t>
            </w:r>
            <w:r w:rsidRPr="001620BD">
              <w:rPr>
                <w:rStyle w:val="FootnoteReference"/>
                <w:rFonts w:ascii="Garamond" w:hAnsi="Garamond" w:cs="Times New Roman"/>
                <w:i/>
                <w:iCs/>
                <w:sz w:val="24"/>
                <w:szCs w:val="24"/>
                <w:lang w:val="sq-AL"/>
              </w:rPr>
              <w:footnoteReference w:id="26"/>
            </w:r>
          </w:p>
          <w:p w14:paraId="0C0569FD" w14:textId="011D9C14" w:rsidR="00133485" w:rsidRPr="001620BD" w:rsidRDefault="00133485" w:rsidP="007E1BEE">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t xml:space="preserve">Megjithatë, Zyra e Komisionerit mori në konsideratë faktin se agjencia kishte qenë në gjendje të përfitonte financiarisht nga shkelja, e cila përbënte një rrethanë rënduese (neni 93(2)(gj) i </w:t>
            </w:r>
            <w:r w:rsidR="00F93296" w:rsidRPr="001620BD">
              <w:rPr>
                <w:rFonts w:ascii="Garamond" w:hAnsi="Garamond" w:cs="Times New Roman"/>
                <w:i/>
                <w:iCs/>
                <w:sz w:val="24"/>
                <w:szCs w:val="24"/>
                <w:lang w:val="sq-AL"/>
              </w:rPr>
              <w:t xml:space="preserve">ligjit për mbrojtjen e të dhënave personale). </w:t>
            </w:r>
            <w:r w:rsidRPr="001620BD">
              <w:rPr>
                <w:rFonts w:ascii="Garamond" w:hAnsi="Garamond" w:cs="Times New Roman"/>
                <w:i/>
                <w:iCs/>
                <w:sz w:val="24"/>
                <w:szCs w:val="24"/>
                <w:lang w:val="sq-AL"/>
              </w:rPr>
              <w:t>Me synimin për të kundërbalancuar përfitimet nga shkelja, duke ruajtur një ndikim efektiv, proporcional dhe me karakter parandalues të masës së sanksionit për këtë çështje, Zyra e Komisionerit vendosi të zmadhojë masën e sanksionit në 30 000 000 lekë, duke mos e tejkaluar tavanin ligjor prej 2 000 000 000 lekë</w:t>
            </w:r>
            <w:r w:rsidR="00F93296" w:rsidRPr="001620BD">
              <w:rPr>
                <w:rFonts w:ascii="Garamond" w:hAnsi="Garamond" w:cs="Times New Roman"/>
                <w:i/>
                <w:iCs/>
                <w:sz w:val="24"/>
                <w:szCs w:val="24"/>
                <w:lang w:val="sq-AL"/>
              </w:rPr>
              <w:t>sh</w:t>
            </w:r>
            <w:r w:rsidRPr="001620BD">
              <w:rPr>
                <w:rFonts w:ascii="Garamond" w:hAnsi="Garamond" w:cs="Times New Roman"/>
                <w:i/>
                <w:iCs/>
                <w:sz w:val="24"/>
                <w:szCs w:val="24"/>
                <w:lang w:val="sq-AL"/>
              </w:rPr>
              <w:t>.</w:t>
            </w:r>
          </w:p>
        </w:tc>
      </w:tr>
    </w:tbl>
    <w:p w14:paraId="4831FA47"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5D5E924B" w14:textId="77777777" w:rsidTr="003021D9">
        <w:trPr>
          <w:jc w:val="center"/>
        </w:trPr>
        <w:tc>
          <w:tcPr>
            <w:tcW w:w="5000" w:type="pct"/>
          </w:tcPr>
          <w:p w14:paraId="0C103440" w14:textId="42B9E249" w:rsidR="00133485" w:rsidRPr="001620BD" w:rsidRDefault="00133485" w:rsidP="007E1BEE">
            <w:pPr>
              <w:ind w:firstLine="284"/>
              <w:jc w:val="both"/>
              <w:rPr>
                <w:rFonts w:ascii="Garamond" w:hAnsi="Garamond" w:cs="Times New Roman"/>
                <w:b/>
                <w:bCs/>
                <w:sz w:val="24"/>
                <w:szCs w:val="24"/>
                <w:lang w:val="sq-AL"/>
              </w:rPr>
            </w:pPr>
            <w:r w:rsidRPr="001620BD">
              <w:rPr>
                <w:rFonts w:ascii="Garamond" w:hAnsi="Garamond" w:cs="Times New Roman"/>
                <w:b/>
                <w:bCs/>
                <w:i/>
                <w:iCs/>
                <w:sz w:val="24"/>
                <w:szCs w:val="24"/>
                <w:lang w:val="sq-AL"/>
              </w:rPr>
              <w:t>Shembulli 7d</w:t>
            </w:r>
            <w:r w:rsidR="00F93296" w:rsidRPr="001620BD">
              <w:rPr>
                <w:rFonts w:ascii="Garamond" w:hAnsi="Garamond" w:cs="Times New Roman"/>
                <w:b/>
                <w:bCs/>
                <w:i/>
                <w:iCs/>
                <w:sz w:val="24"/>
                <w:szCs w:val="24"/>
                <w:lang w:val="sq-AL"/>
              </w:rPr>
              <w:t xml:space="preserve">. </w:t>
            </w:r>
            <w:r w:rsidRPr="001620BD">
              <w:rPr>
                <w:rFonts w:ascii="Garamond" w:hAnsi="Garamond" w:cs="Times New Roman"/>
                <w:b/>
                <w:bCs/>
                <w:i/>
                <w:iCs/>
                <w:sz w:val="24"/>
                <w:szCs w:val="24"/>
                <w:lang w:val="sq-AL"/>
              </w:rPr>
              <w:t>Vlerësimi i rrethanave rënduese dhe lehtësuese</w:t>
            </w:r>
          </w:p>
          <w:p w14:paraId="64B12163" w14:textId="5D62779E"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Një shoqëri tregtare rezultoi se kishte shkelur dispozitat e </w:t>
            </w:r>
            <w:r w:rsidR="00F93296" w:rsidRPr="001620BD">
              <w:rPr>
                <w:rFonts w:ascii="Garamond" w:hAnsi="Garamond" w:cs="Times New Roman"/>
                <w:i/>
                <w:iCs/>
                <w:sz w:val="24"/>
                <w:szCs w:val="24"/>
                <w:lang w:val="sq-AL"/>
              </w:rPr>
              <w:t>ligjit për mbrojtjen e të dhënave personale</w:t>
            </w:r>
            <w:r w:rsidRPr="001620BD">
              <w:rPr>
                <w:rFonts w:ascii="Garamond" w:hAnsi="Garamond" w:cs="Times New Roman"/>
                <w:i/>
                <w:iCs/>
                <w:sz w:val="24"/>
                <w:szCs w:val="24"/>
                <w:lang w:val="sq-AL"/>
              </w:rPr>
              <w:t>, veçanërisht për shkak të shitjes së bazës së të dhënave të saj për publicitet tregtar te partnerët e saj, e cila përmbante të dhëna personale në lidhje me qytetarë që nuk kishin dhënë pëlqimin e tyre për këtë qëllim.</w:t>
            </w:r>
          </w:p>
          <w:p w14:paraId="0641EE61" w14:textId="0BBF68ED"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Duke marrë parasysh të gjitha rrethanat përkatëse të çështjes, Zyra e Komisionerit i konsideroi shkeljet e konstatuara si të një shkalle të mesme rëndësie dhe përcaktoi si pikënisje për përllogaritjen e masës së sanksionit një vlerë midis 10% dhe 20% të tavanit ligjor të parashikuar në pikën 2(a) të nenit 94 të </w:t>
            </w:r>
            <w:r w:rsidR="00F93296" w:rsidRPr="001620BD">
              <w:rPr>
                <w:rFonts w:ascii="Garamond" w:hAnsi="Garamond" w:cs="Times New Roman"/>
                <w:i/>
                <w:iCs/>
                <w:sz w:val="24"/>
                <w:szCs w:val="24"/>
                <w:lang w:val="sq-AL"/>
              </w:rPr>
              <w:t>ligjit për mbrojtjen e të dhënave perso</w:t>
            </w:r>
            <w:r w:rsidRPr="001620BD">
              <w:rPr>
                <w:rFonts w:ascii="Garamond" w:hAnsi="Garamond" w:cs="Times New Roman"/>
                <w:i/>
                <w:iCs/>
                <w:sz w:val="24"/>
                <w:szCs w:val="24"/>
                <w:lang w:val="sq-AL"/>
              </w:rPr>
              <w:t xml:space="preserve">nale (pra, 200 000 000 deri në 400 000 000 lekë). </w:t>
            </w:r>
          </w:p>
          <w:p w14:paraId="2A62B138" w14:textId="3FECB643"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Meqenëse shoqëria në fjalë kishte një xhiro vjetore prej 40 000 000 lekë</w:t>
            </w:r>
            <w:r w:rsidR="003021D9" w:rsidRPr="001620BD">
              <w:rPr>
                <w:rFonts w:ascii="Garamond" w:hAnsi="Garamond" w:cs="Times New Roman"/>
                <w:i/>
                <w:iCs/>
                <w:sz w:val="24"/>
                <w:szCs w:val="24"/>
                <w:lang w:val="sq-AL"/>
              </w:rPr>
              <w:t>sh</w:t>
            </w:r>
            <w:r w:rsidRPr="001620BD">
              <w:rPr>
                <w:rFonts w:ascii="Garamond" w:hAnsi="Garamond" w:cs="Times New Roman"/>
                <w:i/>
                <w:iCs/>
                <w:sz w:val="24"/>
                <w:szCs w:val="24"/>
                <w:lang w:val="sq-AL"/>
              </w:rPr>
              <w:t>, u vlerësua i përshtatshëm reduktimi i pikënisjes së përllogaritjes në një vlerë prej 0,3% të diapazonit të pikënisjes së mësipërme. Për këtë arsye, u çmua aplikimi i një pikënisjeje për përllogaritjen e mëtejshme të sanksionit në vlerën e barabartë me 900 000 lekë.</w:t>
            </w:r>
            <w:r w:rsidRPr="001620BD">
              <w:rPr>
                <w:rStyle w:val="FootnoteReference"/>
                <w:rFonts w:ascii="Garamond" w:hAnsi="Garamond" w:cs="Times New Roman"/>
                <w:i/>
                <w:iCs/>
                <w:sz w:val="24"/>
                <w:szCs w:val="24"/>
                <w:lang w:val="sq-AL"/>
              </w:rPr>
              <w:footnoteReference w:id="27"/>
            </w:r>
          </w:p>
          <w:p w14:paraId="474CB3BE" w14:textId="3CE94E02"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Më tej, Zyra e Komisionerit vlerësoi se kjo ishte një shkelje nga e cila kishte përfituar kontrolluesi, sepse fakti i mosmarrjes së pëlqimit të qytetarëve për transmetimin e të dhënave të tyre te partnerët e shoqërisë, me qëllim të dërgimit të reklamave përkatëse, kishte rritur sasinë e të dhënave që kontrolluesi kishte mundur të rishiste më pas. Prandaj, Zyra e Komisionerit e konsideroi faktin që kontrolluesi ishte në gjendje të përfitonte nga shkelja, si një rrethanë rënduese (neni 93 (2)(gj) i </w:t>
            </w:r>
            <w:r w:rsidR="00F93296" w:rsidRPr="001620BD">
              <w:rPr>
                <w:rFonts w:ascii="Garamond" w:hAnsi="Garamond" w:cs="Times New Roman"/>
                <w:i/>
                <w:iCs/>
                <w:sz w:val="24"/>
                <w:szCs w:val="24"/>
                <w:lang w:val="sq-AL"/>
              </w:rPr>
              <w:t>ligjit për mbrojtjen e të dhënave</w:t>
            </w:r>
            <w:r w:rsidR="00F93296" w:rsidRPr="001620BD">
              <w:rPr>
                <w:rFonts w:ascii="Garamond" w:hAnsi="Garamond" w:cs="Times New Roman"/>
                <w:sz w:val="24"/>
                <w:szCs w:val="24"/>
                <w:lang w:val="sq-AL"/>
              </w:rPr>
              <w:t xml:space="preserve"> </w:t>
            </w:r>
            <w:r w:rsidR="00F93296" w:rsidRPr="001620BD">
              <w:rPr>
                <w:rFonts w:ascii="Garamond" w:hAnsi="Garamond" w:cs="Times New Roman"/>
                <w:i/>
                <w:sz w:val="24"/>
                <w:szCs w:val="24"/>
                <w:lang w:val="sq-AL"/>
              </w:rPr>
              <w:t>personale</w:t>
            </w:r>
            <w:r w:rsidRPr="001620BD">
              <w:rPr>
                <w:rFonts w:ascii="Garamond" w:hAnsi="Garamond" w:cs="Times New Roman"/>
                <w:i/>
                <w:iCs/>
                <w:sz w:val="24"/>
                <w:szCs w:val="24"/>
                <w:lang w:val="sq-AL"/>
              </w:rPr>
              <w:t>).</w:t>
            </w:r>
          </w:p>
          <w:p w14:paraId="469F03B8" w14:textId="568A7DEA" w:rsidR="00133485" w:rsidRPr="001620BD" w:rsidRDefault="00133485" w:rsidP="007E1BEE">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t>Me qëllim kundër balancimin e përfitimeve nga shkelja, duke ruajtur një ndikim efektiv, proporcional dhe me karakter parandalues të sanksionit, Zyra e Komisionerit vendosi të zmadhojë masën e sanksionit në 1 200 000 lekë, duke mos e tejkaluar tavanin ligjor të zbatueshëm prej 2 000 000 000 lekë</w:t>
            </w:r>
            <w:r w:rsidR="00F93296" w:rsidRPr="001620BD">
              <w:rPr>
                <w:rFonts w:ascii="Garamond" w:hAnsi="Garamond" w:cs="Times New Roman"/>
                <w:i/>
                <w:iCs/>
                <w:sz w:val="24"/>
                <w:szCs w:val="24"/>
                <w:lang w:val="sq-AL"/>
              </w:rPr>
              <w:t>sh</w:t>
            </w:r>
            <w:r w:rsidRPr="001620BD">
              <w:rPr>
                <w:rFonts w:ascii="Garamond" w:hAnsi="Garamond" w:cs="Times New Roman"/>
                <w:i/>
                <w:iCs/>
                <w:sz w:val="24"/>
                <w:szCs w:val="24"/>
                <w:lang w:val="sq-AL"/>
              </w:rPr>
              <w:t>.</w:t>
            </w:r>
          </w:p>
        </w:tc>
      </w:tr>
    </w:tbl>
    <w:p w14:paraId="5C97A35E" w14:textId="77777777" w:rsidR="00F93296" w:rsidRPr="001620BD" w:rsidRDefault="00F93296" w:rsidP="00133485">
      <w:pPr>
        <w:pStyle w:val="Heading1"/>
        <w:spacing w:before="0" w:line="240" w:lineRule="auto"/>
        <w:ind w:firstLine="284"/>
        <w:rPr>
          <w:rFonts w:ascii="Garamond" w:hAnsi="Garamond"/>
          <w:b/>
          <w:color w:val="auto"/>
          <w:sz w:val="24"/>
          <w:szCs w:val="24"/>
          <w:lang w:val="sq-AL"/>
        </w:rPr>
      </w:pPr>
      <w:bookmarkStart w:id="40" w:name="_Toc203658675"/>
    </w:p>
    <w:p w14:paraId="6B5313F1" w14:textId="6D30EAC0" w:rsidR="00F93296" w:rsidRPr="001620BD" w:rsidRDefault="00133485" w:rsidP="00F93296">
      <w:pPr>
        <w:pStyle w:val="Heading1"/>
        <w:spacing w:before="0" w:line="240" w:lineRule="auto"/>
        <w:ind w:firstLine="284"/>
        <w:jc w:val="center"/>
        <w:rPr>
          <w:rFonts w:ascii="Garamond" w:hAnsi="Garamond"/>
          <w:color w:val="auto"/>
          <w:sz w:val="24"/>
          <w:szCs w:val="24"/>
          <w:lang w:val="sq-AL"/>
        </w:rPr>
      </w:pPr>
      <w:r w:rsidRPr="001620BD">
        <w:rPr>
          <w:rFonts w:ascii="Garamond" w:hAnsi="Garamond"/>
          <w:color w:val="auto"/>
          <w:sz w:val="24"/>
          <w:szCs w:val="24"/>
          <w:lang w:val="sq-AL"/>
        </w:rPr>
        <w:t>KAPITULLI 6</w:t>
      </w:r>
      <w:bookmarkStart w:id="41" w:name="_Hlk122298058"/>
    </w:p>
    <w:p w14:paraId="101F2908" w14:textId="151BECAB" w:rsidR="00133485" w:rsidRPr="001620BD" w:rsidRDefault="00133485" w:rsidP="00F93296">
      <w:pPr>
        <w:pStyle w:val="Heading1"/>
        <w:spacing w:before="0" w:line="240" w:lineRule="auto"/>
        <w:ind w:firstLine="284"/>
        <w:jc w:val="center"/>
        <w:rPr>
          <w:rFonts w:ascii="Garamond" w:hAnsi="Garamond"/>
          <w:color w:val="auto"/>
          <w:sz w:val="24"/>
          <w:szCs w:val="24"/>
          <w:lang w:val="sq-AL"/>
        </w:rPr>
      </w:pPr>
      <w:r w:rsidRPr="001620BD">
        <w:rPr>
          <w:rFonts w:ascii="Garamond" w:hAnsi="Garamond"/>
          <w:color w:val="auto"/>
          <w:sz w:val="24"/>
          <w:szCs w:val="24"/>
          <w:lang w:val="sq-AL"/>
        </w:rPr>
        <w:t>TAVANI LIGJOR DHE PËRGJEGJËSIA KORPORATIVE</w:t>
      </w:r>
      <w:bookmarkEnd w:id="40"/>
      <w:bookmarkEnd w:id="41"/>
    </w:p>
    <w:p w14:paraId="5A67901C" w14:textId="77777777" w:rsidR="00F93296" w:rsidRPr="001620BD" w:rsidRDefault="00F93296" w:rsidP="00133485">
      <w:pPr>
        <w:pStyle w:val="Heading2"/>
        <w:spacing w:before="0" w:beforeAutospacing="0" w:after="0" w:afterAutospacing="0"/>
        <w:ind w:firstLine="284"/>
        <w:rPr>
          <w:rFonts w:ascii="Garamond" w:hAnsi="Garamond"/>
          <w:szCs w:val="24"/>
        </w:rPr>
      </w:pPr>
      <w:bookmarkStart w:id="42" w:name="_Toc203658676"/>
    </w:p>
    <w:p w14:paraId="1675CCF5" w14:textId="322BEE73" w:rsidR="00133485" w:rsidRPr="001620BD" w:rsidRDefault="00133485" w:rsidP="00133485">
      <w:pPr>
        <w:pStyle w:val="Heading2"/>
        <w:spacing w:before="0" w:beforeAutospacing="0" w:after="0" w:afterAutospacing="0"/>
        <w:ind w:firstLine="284"/>
        <w:rPr>
          <w:rFonts w:ascii="Garamond" w:hAnsi="Garamond"/>
          <w:szCs w:val="24"/>
        </w:rPr>
      </w:pPr>
      <w:r w:rsidRPr="001620BD">
        <w:rPr>
          <w:rFonts w:ascii="Garamond" w:hAnsi="Garamond"/>
          <w:szCs w:val="24"/>
        </w:rPr>
        <w:t>6.1 Përcaktimi i tavanit ligjor</w:t>
      </w:r>
      <w:bookmarkEnd w:id="42"/>
    </w:p>
    <w:p w14:paraId="40449D8F" w14:textId="5D55730F"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99. Ligji </w:t>
      </w:r>
      <w:r w:rsidR="00F93296" w:rsidRPr="001620BD">
        <w:rPr>
          <w:rFonts w:ascii="Garamond" w:hAnsi="Garamond" w:cs="Times New Roman"/>
          <w:sz w:val="24"/>
          <w:szCs w:val="24"/>
          <w:lang w:val="sq-AL"/>
        </w:rPr>
        <w:t>për mbrojtjen e të dhënave personale</w:t>
      </w:r>
      <w:r w:rsidRPr="001620BD">
        <w:rPr>
          <w:rFonts w:ascii="Garamond" w:hAnsi="Garamond" w:cs="Times New Roman"/>
          <w:sz w:val="24"/>
          <w:szCs w:val="24"/>
          <w:lang w:val="sq-AL"/>
        </w:rPr>
        <w:t>, nuk parashikon masa fikse sanksionesh për shkelje specifike. Në vend të kësaj, ligji parashikon tavane ligjore të përgjithshme.</w:t>
      </w:r>
    </w:p>
    <w:p w14:paraId="235D4686" w14:textId="2878976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100. Masat e sanksioneve të parashikuara në </w:t>
      </w:r>
      <w:r w:rsidR="00F93296" w:rsidRPr="001620BD">
        <w:rPr>
          <w:rFonts w:ascii="Garamond" w:hAnsi="Garamond" w:cs="Times New Roman"/>
          <w:sz w:val="24"/>
          <w:szCs w:val="24"/>
          <w:lang w:val="sq-AL"/>
        </w:rPr>
        <w:t xml:space="preserve">ligjin për mbrojtjen e të dhënave personale </w:t>
      </w:r>
      <w:r w:rsidRPr="001620BD">
        <w:rPr>
          <w:rFonts w:ascii="Garamond" w:hAnsi="Garamond" w:cs="Times New Roman"/>
          <w:sz w:val="24"/>
          <w:szCs w:val="24"/>
          <w:lang w:val="sq-AL"/>
        </w:rPr>
        <w:t xml:space="preserve">janë tavane ligjore, të cilat nuk lejojnë vendosjen e sanksioneve në tejkalim të këtyre vlerave. Për të përcaktuar tavanin e saktë ligjor, duhet marrë në konsideratë pika 3 e nenit 94 të </w:t>
      </w:r>
      <w:r w:rsidR="00F93296" w:rsidRPr="001620BD">
        <w:rPr>
          <w:rFonts w:ascii="Garamond" w:hAnsi="Garamond" w:cs="Times New Roman"/>
          <w:sz w:val="24"/>
          <w:szCs w:val="24"/>
          <w:lang w:val="sq-AL"/>
        </w:rPr>
        <w:t xml:space="preserve">ligjit </w:t>
      </w:r>
      <w:r w:rsidRPr="001620BD">
        <w:rPr>
          <w:rFonts w:ascii="Garamond" w:hAnsi="Garamond" w:cs="Times New Roman"/>
          <w:sz w:val="24"/>
          <w:szCs w:val="24"/>
          <w:lang w:val="sq-AL"/>
        </w:rPr>
        <w:t xml:space="preserve">për </w:t>
      </w:r>
      <w:r w:rsidR="00F93296" w:rsidRPr="001620BD">
        <w:rPr>
          <w:rFonts w:ascii="Garamond" w:hAnsi="Garamond" w:cs="Times New Roman"/>
          <w:sz w:val="24"/>
          <w:szCs w:val="24"/>
          <w:lang w:val="sq-AL"/>
        </w:rPr>
        <w:t xml:space="preserve">mbrojtjen </w:t>
      </w:r>
      <w:r w:rsidRPr="001620BD">
        <w:rPr>
          <w:rFonts w:ascii="Garamond" w:hAnsi="Garamond" w:cs="Times New Roman"/>
          <w:sz w:val="24"/>
          <w:szCs w:val="24"/>
          <w:lang w:val="sq-AL"/>
        </w:rPr>
        <w:t xml:space="preserve">e të </w:t>
      </w:r>
      <w:r w:rsidR="00F93296" w:rsidRPr="001620BD">
        <w:rPr>
          <w:rFonts w:ascii="Garamond" w:hAnsi="Garamond" w:cs="Times New Roman"/>
          <w:sz w:val="24"/>
          <w:szCs w:val="24"/>
          <w:lang w:val="sq-AL"/>
        </w:rPr>
        <w:t xml:space="preserve">dhënave personale, aty </w:t>
      </w:r>
      <w:r w:rsidRPr="001620BD">
        <w:rPr>
          <w:rFonts w:ascii="Garamond" w:hAnsi="Garamond" w:cs="Times New Roman"/>
          <w:sz w:val="24"/>
          <w:szCs w:val="24"/>
          <w:lang w:val="sq-AL"/>
        </w:rPr>
        <w:t>ku është e zbatueshme</w:t>
      </w:r>
      <w:r w:rsidRPr="001620BD">
        <w:rPr>
          <w:rStyle w:val="FootnoteReference"/>
          <w:rFonts w:ascii="Garamond" w:hAnsi="Garamond" w:cs="Times New Roman"/>
          <w:sz w:val="24"/>
          <w:szCs w:val="24"/>
          <w:lang w:val="sq-AL"/>
        </w:rPr>
        <w:footnoteReference w:id="28"/>
      </w:r>
      <w:r w:rsidRPr="001620BD">
        <w:rPr>
          <w:rFonts w:ascii="Garamond" w:hAnsi="Garamond" w:cs="Times New Roman"/>
          <w:sz w:val="24"/>
          <w:szCs w:val="24"/>
          <w:lang w:val="sq-AL"/>
        </w:rPr>
        <w:t>. Prandaj, Zyra e Komisionerit është e detyruar të sigurojë që këto tavane ligjore të mos tejkalohen gjatë përllogaritjes së masave të sanksioneve bazuar në këtë metodologji. Në varësi të rastit individual, mund të zbatohen tavane ligjore të ndryshme.</w:t>
      </w:r>
    </w:p>
    <w:p w14:paraId="4C6758C6" w14:textId="72DD1A42" w:rsidR="00133485" w:rsidRPr="001620BD" w:rsidRDefault="00133485" w:rsidP="00133485">
      <w:pPr>
        <w:pStyle w:val="Heading3"/>
        <w:spacing w:before="0" w:line="240" w:lineRule="auto"/>
        <w:ind w:firstLine="284"/>
        <w:rPr>
          <w:rFonts w:ascii="Garamond" w:hAnsi="Garamond"/>
          <w:b/>
          <w:color w:val="auto"/>
          <w:lang w:val="sq-AL"/>
        </w:rPr>
      </w:pPr>
      <w:bookmarkStart w:id="43" w:name="_Toc203658677"/>
      <w:r w:rsidRPr="001620BD">
        <w:rPr>
          <w:rFonts w:ascii="Garamond" w:hAnsi="Garamond"/>
          <w:b/>
          <w:color w:val="auto"/>
          <w:lang w:val="sq-AL"/>
        </w:rPr>
        <w:t>6.1.1 Tavanet ligjore statike</w:t>
      </w:r>
      <w:bookmarkEnd w:id="43"/>
    </w:p>
    <w:p w14:paraId="33C57275" w14:textId="76F14395"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101. Neni 94 i </w:t>
      </w:r>
      <w:r w:rsidR="00F93296" w:rsidRPr="001620BD">
        <w:rPr>
          <w:rFonts w:ascii="Garamond" w:hAnsi="Garamond" w:cs="Times New Roman"/>
          <w:sz w:val="24"/>
          <w:szCs w:val="24"/>
          <w:lang w:val="sq-AL"/>
        </w:rPr>
        <w:t xml:space="preserve">ligjit për mbrojtjen e të dhënave parashikon </w:t>
      </w:r>
      <w:r w:rsidRPr="001620BD">
        <w:rPr>
          <w:rFonts w:ascii="Garamond" w:hAnsi="Garamond" w:cs="Times New Roman"/>
          <w:sz w:val="24"/>
          <w:szCs w:val="24"/>
          <w:lang w:val="sq-AL"/>
        </w:rPr>
        <w:t xml:space="preserve">tavane statike dhe bën dallimin midis shkeljeve të kategorive të ndryshme të detyrimeve të dispozitave të ligjit. Siç shpjegohet më sipër në këtë dokument, pika 1 e nenit 94, përcakton një tavan ligjor deri në 1 000 000 000 lekë për shkelje të detyrimeve të përshkruara në të, ndërsa pikat 2 dhe 3 i të njëjtit nen përcaktojnë sanksione deri në 2 000 000 000 lekë për shkeljen e detyrimeve të përshkruara në to. </w:t>
      </w:r>
    </w:p>
    <w:p w14:paraId="38C4B3C4" w14:textId="7EC216CA" w:rsidR="00133485" w:rsidRPr="001620BD" w:rsidRDefault="00133485" w:rsidP="00133485">
      <w:pPr>
        <w:pStyle w:val="Heading3"/>
        <w:spacing w:before="0" w:line="240" w:lineRule="auto"/>
        <w:ind w:firstLine="284"/>
        <w:rPr>
          <w:rFonts w:ascii="Garamond" w:hAnsi="Garamond"/>
          <w:b/>
          <w:color w:val="auto"/>
          <w:lang w:val="sq-AL"/>
        </w:rPr>
      </w:pPr>
      <w:bookmarkStart w:id="44" w:name="_Toc203658678"/>
      <w:r w:rsidRPr="001620BD">
        <w:rPr>
          <w:rFonts w:ascii="Garamond" w:hAnsi="Garamond"/>
          <w:b/>
          <w:color w:val="auto"/>
          <w:lang w:val="sq-AL"/>
        </w:rPr>
        <w:t>6.1.2 Tavanet ligjore dinamike</w:t>
      </w:r>
      <w:bookmarkEnd w:id="44"/>
    </w:p>
    <w:p w14:paraId="6D31480F" w14:textId="77777777"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102. Në rastin e një ndërmarrjeje</w:t>
      </w:r>
      <w:r w:rsidRPr="001620BD">
        <w:rPr>
          <w:rStyle w:val="FootnoteReference"/>
          <w:rFonts w:ascii="Garamond" w:hAnsi="Garamond" w:cs="Times New Roman"/>
          <w:sz w:val="24"/>
          <w:szCs w:val="24"/>
          <w:lang w:val="sq-AL"/>
        </w:rPr>
        <w:footnoteReference w:id="29"/>
      </w:r>
      <w:r w:rsidRPr="001620BD">
        <w:rPr>
          <w:rFonts w:ascii="Garamond" w:hAnsi="Garamond" w:cs="Times New Roman"/>
          <w:sz w:val="24"/>
          <w:szCs w:val="24"/>
          <w:lang w:val="sq-AL"/>
        </w:rPr>
        <w:t>, diapazoni i sanksioneve mund të zhvendoset drejt një tavani ligjor më të lartë të bazuar në xhiron vjetore</w:t>
      </w:r>
      <w:r w:rsidRPr="001620BD">
        <w:rPr>
          <w:rStyle w:val="FootnoteReference"/>
          <w:rFonts w:ascii="Garamond" w:hAnsi="Garamond" w:cs="Times New Roman"/>
          <w:sz w:val="24"/>
          <w:szCs w:val="24"/>
          <w:lang w:val="sq-AL"/>
        </w:rPr>
        <w:footnoteReference w:id="30"/>
      </w:r>
      <w:r w:rsidRPr="001620BD">
        <w:rPr>
          <w:rFonts w:ascii="Garamond" w:hAnsi="Garamond" w:cs="Times New Roman"/>
          <w:sz w:val="24"/>
          <w:szCs w:val="24"/>
          <w:lang w:val="sq-AL"/>
        </w:rPr>
        <w:t>. Ky tavan ligjor i bazuar në xhiron e ndërmarrjes është dinamik dhe i individualizueshëm për një ndërmarrje (kontrollues/përpunues) të caktuar, në përputhje me parimet e efektivitetit, proporcionalitetit dhe me karakter parandalues të masës së sanksionit.</w:t>
      </w:r>
    </w:p>
    <w:p w14:paraId="16A649D5" w14:textId="117F7F84"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103. Më konkretisht, pika 1 e nenit 94 të </w:t>
      </w:r>
      <w:r w:rsidR="00F93296" w:rsidRPr="001620BD">
        <w:rPr>
          <w:rFonts w:ascii="Garamond" w:hAnsi="Garamond" w:cs="Times New Roman"/>
          <w:sz w:val="24"/>
          <w:szCs w:val="24"/>
          <w:lang w:val="sq-AL"/>
        </w:rPr>
        <w:t xml:space="preserve">ligjit për mbrojtjen e të dhënave personale </w:t>
      </w:r>
      <w:r w:rsidRPr="001620BD">
        <w:rPr>
          <w:rFonts w:ascii="Garamond" w:hAnsi="Garamond" w:cs="Times New Roman"/>
          <w:sz w:val="24"/>
          <w:szCs w:val="24"/>
          <w:lang w:val="sq-AL"/>
        </w:rPr>
        <w:t xml:space="preserve">lejon një tavan ligjor deri në 2% të xhiros vjetore globale, ndërsa pikat 2 dhe 3 të këtij neni parashikojnë një tavan ligjor deri në 4 % të xhiros vjetore globale (në të dyja rastet xhiroja globale referente është ajo e vitit të shkuar financiar të ndërmarrjes). Parashikimet ligjore kërkojnë marrjen në konsideratë të tavanit ligjor statik ose atij dinamik të bazuar në xhiron vjetore globale </w:t>
      </w:r>
      <w:r w:rsidR="004B4AEB" w:rsidRPr="001620BD">
        <w:rPr>
          <w:rFonts w:ascii="Garamond" w:hAnsi="Garamond" w:cs="Times New Roman"/>
          <w:sz w:val="24"/>
          <w:szCs w:val="24"/>
          <w:lang w:val="sq-AL"/>
        </w:rPr>
        <w:t xml:space="preserve">të ndërmarrjes </w:t>
      </w:r>
      <w:r w:rsidRPr="001620BD">
        <w:rPr>
          <w:rFonts w:ascii="Garamond" w:hAnsi="Garamond" w:cs="Times New Roman"/>
          <w:sz w:val="24"/>
          <w:szCs w:val="24"/>
          <w:lang w:val="sq-AL"/>
        </w:rPr>
        <w:t>dhe urdhëron aplikimin e vlerës më të lartë midis tyre (“</w:t>
      </w:r>
      <w:r w:rsidRPr="001620BD">
        <w:rPr>
          <w:rFonts w:ascii="Garamond" w:hAnsi="Garamond" w:cs="Times New Roman"/>
          <w:i/>
          <w:iCs/>
          <w:sz w:val="24"/>
          <w:szCs w:val="24"/>
          <w:lang w:val="sq-AL"/>
        </w:rPr>
        <w:t>cilado është më e lartë</w:t>
      </w:r>
      <w:r w:rsidRPr="001620BD">
        <w:rPr>
          <w:rFonts w:ascii="Garamond" w:hAnsi="Garamond" w:cs="Times New Roman"/>
          <w:sz w:val="24"/>
          <w:szCs w:val="24"/>
          <w:lang w:val="sq-AL"/>
        </w:rPr>
        <w:t>”). Rrjedhimisht, tavanet ligjore të bazuara në xhiron vjetore janë të zbatueshme vetëm nëse tejkalojnë tavanin statik në një çështje të caktuar. Ky është rasti kur xhiroja vjetore globale e ndërmarrjes për vitin e kaluar financiar është më shumë se 50 000 000 000 lekë</w:t>
      </w:r>
      <w:r w:rsidRPr="001620BD">
        <w:rPr>
          <w:rStyle w:val="FootnoteReference"/>
          <w:rFonts w:ascii="Garamond" w:hAnsi="Garamond" w:cs="Times New Roman"/>
          <w:sz w:val="24"/>
          <w:szCs w:val="24"/>
          <w:lang w:val="sq-AL"/>
        </w:rPr>
        <w:t xml:space="preserve"> </w:t>
      </w:r>
      <w:r w:rsidRPr="001620BD">
        <w:rPr>
          <w:rStyle w:val="FootnoteReference"/>
          <w:rFonts w:ascii="Garamond" w:hAnsi="Garamond" w:cs="Times New Roman"/>
          <w:sz w:val="24"/>
          <w:szCs w:val="24"/>
          <w:lang w:val="sq-AL"/>
        </w:rPr>
        <w:footnoteReference w:id="31"/>
      </w:r>
      <w:r w:rsidRPr="001620BD">
        <w:rPr>
          <w:rFonts w:ascii="Garamond" w:hAnsi="Garamond" w:cs="Times New Roman"/>
          <w:sz w:val="24"/>
          <w:szCs w:val="24"/>
          <w:lang w:val="sq-AL"/>
        </w:rPr>
        <w:t>.</w:t>
      </w:r>
    </w:p>
    <w:tbl>
      <w:tblPr>
        <w:tblStyle w:val="TableGrid"/>
        <w:tblW w:w="5000" w:type="pct"/>
        <w:jc w:val="center"/>
        <w:tblLook w:val="04A0" w:firstRow="1" w:lastRow="0" w:firstColumn="1" w:lastColumn="0" w:noHBand="0" w:noVBand="1"/>
      </w:tblPr>
      <w:tblGrid>
        <w:gridCol w:w="9350"/>
      </w:tblGrid>
      <w:tr w:rsidR="001620BD" w:rsidRPr="001620BD" w14:paraId="37809A62" w14:textId="77777777" w:rsidTr="00410CCF">
        <w:trPr>
          <w:jc w:val="center"/>
        </w:trPr>
        <w:tc>
          <w:tcPr>
            <w:tcW w:w="5000" w:type="pct"/>
          </w:tcPr>
          <w:p w14:paraId="20257962" w14:textId="37E61852" w:rsidR="00133485" w:rsidRPr="001620BD" w:rsidRDefault="00133485" w:rsidP="007E1BEE">
            <w:pPr>
              <w:ind w:firstLine="284"/>
              <w:jc w:val="both"/>
              <w:rPr>
                <w:rFonts w:ascii="Garamond" w:hAnsi="Garamond" w:cs="Times New Roman"/>
                <w:sz w:val="24"/>
                <w:szCs w:val="24"/>
                <w:lang w:val="sq-AL"/>
              </w:rPr>
            </w:pPr>
            <w:r w:rsidRPr="001620BD">
              <w:rPr>
                <w:rFonts w:ascii="Garamond" w:hAnsi="Garamond" w:cs="Times New Roman"/>
                <w:b/>
                <w:bCs/>
                <w:i/>
                <w:iCs/>
                <w:sz w:val="24"/>
                <w:szCs w:val="24"/>
                <w:lang w:val="sq-AL"/>
              </w:rPr>
              <w:t>Shembulli 8a</w:t>
            </w:r>
            <w:r w:rsidR="00636CD6"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Tavani ligjor dinamik</w:t>
            </w:r>
          </w:p>
          <w:p w14:paraId="58AE730D" w14:textId="2593E0E3"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Një agjenci raportimi kredish (CRA) mbledh dhe shet të gjitha të dhënat e aftësisë kredishlyerëse të të gjithë qytetarëve shqiptarë te shoqëritë e marketingut dhe shitjes me pakicë, pa pasur asnjë bazë ligjore për këtë. Xhiroja vjetore globale e agjencisë gjatë vitit të kaluar arrin në 80 000 000 000 lekë. Në këtë rast, agjencia ka shkelur, ndër të tjera, nenin 7 të </w:t>
            </w:r>
            <w:r w:rsidR="00F93296" w:rsidRPr="001620BD">
              <w:rPr>
                <w:rFonts w:ascii="Garamond" w:hAnsi="Garamond" w:cs="Times New Roman"/>
                <w:i/>
                <w:iCs/>
                <w:sz w:val="24"/>
                <w:szCs w:val="24"/>
                <w:lang w:val="sq-AL"/>
              </w:rPr>
              <w:t>ligjit për mbrojtjen e të dhënave personale</w:t>
            </w:r>
            <w:r w:rsidRPr="001620BD">
              <w:rPr>
                <w:rFonts w:ascii="Garamond" w:hAnsi="Garamond" w:cs="Times New Roman"/>
                <w:i/>
                <w:iCs/>
                <w:sz w:val="24"/>
                <w:szCs w:val="24"/>
                <w:lang w:val="sq-AL"/>
              </w:rPr>
              <w:t xml:space="preserve">, shkelje e cila është e dënueshme me sanksion bazuar në pikën 2 të nenit 94 të ligjit. Tavani ligjor statik do të arrinte në 2 000 000 000 lekë. Tavani ligjor dinamik do të arrinte në 3 200 000 000 lekë (4% e xhiros 80 000 000 000 lekë). Masa e sanksionit mund të arrijë deri në 3 200 000 000 lekë, pasi ky tavan ligjor dinamik është më i lartë se tavani ligjor statik prej 2 000 </w:t>
            </w:r>
            <w:r w:rsidRPr="001620BD">
              <w:rPr>
                <w:rFonts w:ascii="Garamond" w:hAnsi="Garamond" w:cs="Times New Roman"/>
                <w:i/>
                <w:iCs/>
                <w:sz w:val="24"/>
                <w:szCs w:val="24"/>
                <w:lang w:val="sq-AL"/>
              </w:rPr>
              <w:lastRenderedPageBreak/>
              <w:t>000 000 lekë</w:t>
            </w:r>
            <w:r w:rsidR="00F46AC5" w:rsidRPr="001620BD">
              <w:rPr>
                <w:rFonts w:ascii="Garamond" w:hAnsi="Garamond" w:cs="Times New Roman"/>
                <w:i/>
                <w:iCs/>
                <w:sz w:val="24"/>
                <w:szCs w:val="24"/>
                <w:lang w:val="sq-AL"/>
              </w:rPr>
              <w:t>sh</w:t>
            </w:r>
            <w:r w:rsidRPr="001620BD">
              <w:rPr>
                <w:rFonts w:ascii="Garamond" w:hAnsi="Garamond" w:cs="Times New Roman"/>
                <w:i/>
                <w:iCs/>
                <w:sz w:val="24"/>
                <w:szCs w:val="24"/>
                <w:lang w:val="sq-AL"/>
              </w:rPr>
              <w:t>. Si pasojë, sanksioni lejohet të kalojë tavanin ligjor statik prej 2 000 000 000 lekë</w:t>
            </w:r>
            <w:r w:rsidR="00F46AC5" w:rsidRPr="001620BD">
              <w:rPr>
                <w:rFonts w:ascii="Garamond" w:hAnsi="Garamond" w:cs="Times New Roman"/>
                <w:i/>
                <w:iCs/>
                <w:sz w:val="24"/>
                <w:szCs w:val="24"/>
                <w:lang w:val="sq-AL"/>
              </w:rPr>
              <w:t>sh</w:t>
            </w:r>
            <w:r w:rsidRPr="001620BD">
              <w:rPr>
                <w:rFonts w:ascii="Garamond" w:hAnsi="Garamond" w:cs="Times New Roman"/>
                <w:i/>
                <w:iCs/>
                <w:sz w:val="24"/>
                <w:szCs w:val="24"/>
                <w:lang w:val="sq-AL"/>
              </w:rPr>
              <w:t>, por nuk duhet të kalojë tavanin ligjor dinamik prej 3 200 000 000 lekë</w:t>
            </w:r>
            <w:r w:rsidR="00636CD6" w:rsidRPr="001620BD">
              <w:rPr>
                <w:rFonts w:ascii="Garamond" w:hAnsi="Garamond" w:cs="Times New Roman"/>
                <w:i/>
                <w:iCs/>
                <w:sz w:val="24"/>
                <w:szCs w:val="24"/>
                <w:lang w:val="sq-AL"/>
              </w:rPr>
              <w:t>sh</w:t>
            </w:r>
            <w:r w:rsidRPr="001620BD">
              <w:rPr>
                <w:rFonts w:ascii="Garamond" w:hAnsi="Garamond" w:cs="Times New Roman"/>
                <w:i/>
                <w:iCs/>
                <w:sz w:val="24"/>
                <w:szCs w:val="24"/>
                <w:lang w:val="sq-AL"/>
              </w:rPr>
              <w:t>.</w:t>
            </w:r>
          </w:p>
        </w:tc>
      </w:tr>
    </w:tbl>
    <w:p w14:paraId="5BAF6137"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43FEF9C0" w14:textId="77777777" w:rsidTr="00410CCF">
        <w:trPr>
          <w:jc w:val="center"/>
        </w:trPr>
        <w:tc>
          <w:tcPr>
            <w:tcW w:w="5000" w:type="pct"/>
          </w:tcPr>
          <w:p w14:paraId="6AC91FDD" w14:textId="4B4BDA21" w:rsidR="00133485" w:rsidRPr="001620BD" w:rsidRDefault="00133485" w:rsidP="007E1BEE">
            <w:pPr>
              <w:ind w:firstLine="284"/>
              <w:jc w:val="both"/>
              <w:rPr>
                <w:rFonts w:ascii="Garamond" w:hAnsi="Garamond" w:cs="Times New Roman"/>
                <w:sz w:val="24"/>
                <w:szCs w:val="24"/>
                <w:lang w:val="sq-AL"/>
              </w:rPr>
            </w:pPr>
            <w:r w:rsidRPr="001620BD">
              <w:rPr>
                <w:rFonts w:ascii="Garamond" w:hAnsi="Garamond" w:cs="Times New Roman"/>
                <w:b/>
                <w:bCs/>
                <w:i/>
                <w:iCs/>
                <w:sz w:val="24"/>
                <w:szCs w:val="24"/>
                <w:lang w:val="sq-AL"/>
              </w:rPr>
              <w:t>Shembulli 8b</w:t>
            </w:r>
            <w:r w:rsidR="00F46AC5"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Tavani ligjor statik</w:t>
            </w:r>
          </w:p>
          <w:p w14:paraId="40D845EA" w14:textId="535B6100" w:rsidR="00133485" w:rsidRPr="001620BD" w:rsidRDefault="00133485" w:rsidP="007E1BEE">
            <w:pPr>
              <w:ind w:firstLine="284"/>
              <w:jc w:val="both"/>
              <w:rPr>
                <w:rFonts w:ascii="Garamond" w:hAnsi="Garamond" w:cs="Times New Roman"/>
                <w:i/>
                <w:iCs/>
                <w:sz w:val="24"/>
                <w:szCs w:val="24"/>
                <w:lang w:val="sq-AL"/>
              </w:rPr>
            </w:pPr>
            <w:r w:rsidRPr="001620BD">
              <w:rPr>
                <w:rFonts w:ascii="Garamond" w:hAnsi="Garamond" w:cs="Times New Roman"/>
                <w:i/>
                <w:iCs/>
                <w:sz w:val="24"/>
                <w:szCs w:val="24"/>
                <w:lang w:val="sq-AL"/>
              </w:rPr>
              <w:t xml:space="preserve">Një shitës me pakicë i syzeve të diellit operon një dyqan online, i cili i lejon klientët të bëjnë porositë e tyre online. Me anë të formularit të porosisë, shitësi me pakicë përpunon edhe të dhëna personale, duke përfshirë të dhënat e llogarisë bankare. Shitësi me pakicë nuk siguron një enkriptim të duhur transmetimi online (https), duke bërë që palët e treta të jenë potencialisht në gjendje të interceptojnë të dhënat personale gjatë transaksionit. Shitësi me pakicë shkel nenin 28 (1) të </w:t>
            </w:r>
            <w:r w:rsidR="00F46AC5" w:rsidRPr="001620BD">
              <w:rPr>
                <w:rFonts w:ascii="Garamond" w:hAnsi="Garamond" w:cs="Times New Roman"/>
                <w:i/>
                <w:iCs/>
                <w:sz w:val="24"/>
                <w:szCs w:val="24"/>
                <w:lang w:val="sq-AL"/>
              </w:rPr>
              <w:t xml:space="preserve">ligjit për mbrojtjen e të dhënave personale </w:t>
            </w:r>
            <w:r w:rsidRPr="001620BD">
              <w:rPr>
                <w:rFonts w:ascii="Garamond" w:hAnsi="Garamond" w:cs="Times New Roman"/>
                <w:i/>
                <w:iCs/>
                <w:sz w:val="24"/>
                <w:szCs w:val="24"/>
                <w:lang w:val="sq-AL"/>
              </w:rPr>
              <w:t>dhe mund të jetë subjekt për t</w:t>
            </w:r>
            <w:r w:rsidR="007E1BEE" w:rsidRPr="001620BD">
              <w:rPr>
                <w:rFonts w:ascii="Garamond" w:hAnsi="Garamond" w:cs="Times New Roman"/>
                <w:i/>
                <w:iCs/>
                <w:sz w:val="24"/>
                <w:szCs w:val="24"/>
                <w:lang w:val="sq-AL"/>
              </w:rPr>
              <w:t>’</w:t>
            </w:r>
            <w:r w:rsidRPr="001620BD">
              <w:rPr>
                <w:rFonts w:ascii="Garamond" w:hAnsi="Garamond" w:cs="Times New Roman"/>
                <w:i/>
                <w:iCs/>
                <w:sz w:val="24"/>
                <w:szCs w:val="24"/>
                <w:lang w:val="sq-AL"/>
              </w:rPr>
              <w:t>u sanksionuar bazuar në pikën 1 të nenit 94 të ligjit. Xhiroja vjetore globale e shitësit me pakicë për vitin e kaluar arrin në 40 000 000 000 lekë. Në këtë rast, tavani ligjor statik prej 1 000 000 000 lekë</w:t>
            </w:r>
            <w:r w:rsidR="00317782" w:rsidRPr="001620BD">
              <w:rPr>
                <w:rFonts w:ascii="Garamond" w:hAnsi="Garamond" w:cs="Times New Roman"/>
                <w:i/>
                <w:iCs/>
                <w:sz w:val="24"/>
                <w:szCs w:val="24"/>
                <w:lang w:val="sq-AL"/>
              </w:rPr>
              <w:t>sh</w:t>
            </w:r>
            <w:r w:rsidRPr="001620BD">
              <w:rPr>
                <w:rFonts w:ascii="Garamond" w:hAnsi="Garamond" w:cs="Times New Roman"/>
                <w:i/>
                <w:iCs/>
                <w:sz w:val="24"/>
                <w:szCs w:val="24"/>
                <w:lang w:val="sq-AL"/>
              </w:rPr>
              <w:t xml:space="preserve"> është më i lartë se tavani ligjor dinamik prej 800 000 000 lekë (=2% e xhiros prej 40 000 000 000 lekë</w:t>
            </w:r>
            <w:r w:rsidR="00317782" w:rsidRPr="001620BD">
              <w:rPr>
                <w:rFonts w:ascii="Garamond" w:hAnsi="Garamond" w:cs="Times New Roman"/>
                <w:i/>
                <w:iCs/>
                <w:sz w:val="24"/>
                <w:szCs w:val="24"/>
                <w:lang w:val="sq-AL"/>
              </w:rPr>
              <w:t>sh</w:t>
            </w:r>
            <w:r w:rsidRPr="001620BD">
              <w:rPr>
                <w:rFonts w:ascii="Garamond" w:hAnsi="Garamond" w:cs="Times New Roman"/>
                <w:i/>
                <w:iCs/>
                <w:sz w:val="24"/>
                <w:szCs w:val="24"/>
                <w:lang w:val="sq-AL"/>
              </w:rPr>
              <w:t>), kështu që tavani ligjor statik mbizot</w:t>
            </w:r>
            <w:r w:rsidRPr="001620BD">
              <w:rPr>
                <w:rFonts w:ascii="Garamond" w:hAnsi="Garamond" w:cs="Times New Roman"/>
                <w:i/>
                <w:sz w:val="24"/>
                <w:szCs w:val="24"/>
                <w:lang w:val="sq-AL"/>
              </w:rPr>
              <w:t>ëron</w:t>
            </w:r>
            <w:r w:rsidRPr="001620BD">
              <w:rPr>
                <w:rFonts w:ascii="Garamond" w:hAnsi="Garamond" w:cs="Times New Roman"/>
                <w:i/>
                <w:iCs/>
                <w:sz w:val="24"/>
                <w:szCs w:val="24"/>
                <w:lang w:val="sq-AL"/>
              </w:rPr>
              <w:t>. Prandaj, masa e sanksionit, në këtë rast, nuk duhet të tejkalojë tavanin ligjor prej 1 000 000 000 lekë</w:t>
            </w:r>
            <w:r w:rsidR="00317782" w:rsidRPr="001620BD">
              <w:rPr>
                <w:rFonts w:ascii="Garamond" w:hAnsi="Garamond" w:cs="Times New Roman"/>
                <w:i/>
                <w:iCs/>
                <w:sz w:val="24"/>
                <w:szCs w:val="24"/>
                <w:lang w:val="sq-AL"/>
              </w:rPr>
              <w:t>sh</w:t>
            </w:r>
            <w:r w:rsidRPr="001620BD">
              <w:rPr>
                <w:rFonts w:ascii="Garamond" w:hAnsi="Garamond" w:cs="Times New Roman"/>
                <w:i/>
                <w:iCs/>
                <w:sz w:val="24"/>
                <w:szCs w:val="24"/>
                <w:lang w:val="sq-AL"/>
              </w:rPr>
              <w:t>.</w:t>
            </w:r>
          </w:p>
        </w:tc>
      </w:tr>
    </w:tbl>
    <w:p w14:paraId="27C00920" w14:textId="77777777" w:rsidR="00133485" w:rsidRPr="001620BD" w:rsidRDefault="00133485" w:rsidP="00133485">
      <w:pPr>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9350"/>
      </w:tblGrid>
      <w:tr w:rsidR="001620BD" w:rsidRPr="001620BD" w14:paraId="6CAD2784" w14:textId="77777777" w:rsidTr="00410CCF">
        <w:trPr>
          <w:jc w:val="center"/>
        </w:trPr>
        <w:tc>
          <w:tcPr>
            <w:tcW w:w="5000" w:type="pct"/>
          </w:tcPr>
          <w:p w14:paraId="426BE929" w14:textId="2764FF69" w:rsidR="00133485" w:rsidRPr="001620BD" w:rsidRDefault="00133485" w:rsidP="007E1BEE">
            <w:pPr>
              <w:ind w:firstLine="284"/>
              <w:jc w:val="both"/>
              <w:rPr>
                <w:rFonts w:ascii="Garamond" w:hAnsi="Garamond" w:cs="Times New Roman"/>
                <w:b/>
                <w:bCs/>
                <w:i/>
                <w:iCs/>
                <w:sz w:val="24"/>
                <w:szCs w:val="24"/>
                <w:lang w:val="sq-AL"/>
              </w:rPr>
            </w:pPr>
            <w:r w:rsidRPr="001620BD">
              <w:rPr>
                <w:rFonts w:ascii="Garamond" w:hAnsi="Garamond" w:cs="Times New Roman"/>
                <w:b/>
                <w:bCs/>
                <w:i/>
                <w:iCs/>
                <w:sz w:val="24"/>
                <w:szCs w:val="24"/>
                <w:lang w:val="sq-AL"/>
              </w:rPr>
              <w:t>Shembulli 8c</w:t>
            </w:r>
            <w:r w:rsidR="00F46AC5" w:rsidRPr="001620BD">
              <w:rPr>
                <w:rFonts w:ascii="Garamond" w:hAnsi="Garamond" w:cs="Times New Roman"/>
                <w:b/>
                <w:bCs/>
                <w:i/>
                <w:iCs/>
                <w:sz w:val="24"/>
                <w:szCs w:val="24"/>
                <w:lang w:val="sq-AL"/>
              </w:rPr>
              <w:t>.</w:t>
            </w:r>
            <w:r w:rsidRPr="001620BD">
              <w:rPr>
                <w:rFonts w:ascii="Garamond" w:hAnsi="Garamond" w:cs="Times New Roman"/>
                <w:b/>
                <w:bCs/>
                <w:i/>
                <w:iCs/>
                <w:sz w:val="24"/>
                <w:szCs w:val="24"/>
                <w:lang w:val="sq-AL"/>
              </w:rPr>
              <w:t xml:space="preserve"> Kontrolluesit dhe përpunuesit që nuk janë nd</w:t>
            </w:r>
            <w:r w:rsidRPr="001620BD">
              <w:rPr>
                <w:rFonts w:ascii="Garamond" w:hAnsi="Garamond" w:cs="Times New Roman"/>
                <w:b/>
                <w:i/>
                <w:iCs/>
                <w:sz w:val="24"/>
                <w:szCs w:val="24"/>
                <w:lang w:val="sq-AL"/>
              </w:rPr>
              <w:t>ërmarrje</w:t>
            </w:r>
          </w:p>
          <w:p w14:paraId="40DCAB87" w14:textId="73A513C4" w:rsidR="00133485" w:rsidRPr="001620BD" w:rsidRDefault="00133485" w:rsidP="007E1BEE">
            <w:pPr>
              <w:ind w:firstLine="284"/>
              <w:jc w:val="both"/>
              <w:rPr>
                <w:rFonts w:ascii="Garamond" w:hAnsi="Garamond" w:cs="Times New Roman"/>
                <w:sz w:val="24"/>
                <w:szCs w:val="24"/>
                <w:lang w:val="sq-AL"/>
              </w:rPr>
            </w:pPr>
            <w:r w:rsidRPr="001620BD">
              <w:rPr>
                <w:rFonts w:ascii="Garamond" w:hAnsi="Garamond" w:cs="Times New Roman"/>
                <w:i/>
                <w:iCs/>
                <w:sz w:val="24"/>
                <w:szCs w:val="24"/>
                <w:lang w:val="sq-AL"/>
              </w:rPr>
              <w:t xml:space="preserve">Një bashki ka një sistem online që u lejon qytetarëve të saj të regjistrohen për shërbime, të tilla si ato të aplikimeve për pasaportë ose celebrim martesor. Bashkia është kontrolluesi i vetëm për këtë sistem online. Për fat të keq, është konstatuar se sistemi, gjithashtu, transmeton, në mënyrë të përhershme, të dhënat e mbledhura në serverët e jashtëm të një përpunuesi të vendosur në një shtet pa nivel të mjaftueshëm për mbrojtjen e të dhënave, ku ato ruhen. Në këtë rast, nuk janë marrë masa tekniko-organizative të përshtatshme në lidhje me transferimin e shtetin në fjalë. Përveç transferimit, të dhënat mblidhen dhe përpunohen në bazë të pëlqimit të vlefshëm. Bashkia ka shkelur nenin 41 të </w:t>
            </w:r>
            <w:r w:rsidR="00F46AC5" w:rsidRPr="001620BD">
              <w:rPr>
                <w:rFonts w:ascii="Garamond" w:hAnsi="Garamond" w:cs="Times New Roman"/>
                <w:i/>
                <w:iCs/>
                <w:sz w:val="24"/>
                <w:szCs w:val="24"/>
                <w:lang w:val="sq-AL"/>
              </w:rPr>
              <w:t xml:space="preserve">ligjit për mbrojtjen e të dhënave personale, duke </w:t>
            </w:r>
            <w:r w:rsidRPr="001620BD">
              <w:rPr>
                <w:rFonts w:ascii="Garamond" w:hAnsi="Garamond" w:cs="Times New Roman"/>
                <w:i/>
                <w:iCs/>
                <w:sz w:val="24"/>
                <w:szCs w:val="24"/>
                <w:lang w:val="sq-AL"/>
              </w:rPr>
              <w:t xml:space="preserve">transferuar kategori të veçanta të të dhënave personale në një vend të tretë, pa nivel të mjaftueshëm për mbrojtjen e të dhënave personale, pa garancitë e nevojshme/një kriter të ligjshëm për këtë qëllim. Prandaj, bashkia në fjalë mund të sanksionohet në përputhje me pikën 2, të nenit 94 të </w:t>
            </w:r>
            <w:r w:rsidR="00F46AC5" w:rsidRPr="001620BD">
              <w:rPr>
                <w:rFonts w:ascii="Garamond" w:hAnsi="Garamond" w:cs="Times New Roman"/>
                <w:i/>
                <w:iCs/>
                <w:sz w:val="24"/>
                <w:szCs w:val="24"/>
                <w:lang w:val="sq-AL"/>
              </w:rPr>
              <w:t>ligjit për mbrojtjen e të dhënave</w:t>
            </w:r>
            <w:r w:rsidRPr="001620BD">
              <w:rPr>
                <w:rFonts w:ascii="Garamond" w:hAnsi="Garamond" w:cs="Times New Roman"/>
                <w:i/>
                <w:iCs/>
                <w:sz w:val="24"/>
                <w:szCs w:val="24"/>
                <w:lang w:val="sq-AL"/>
              </w:rPr>
              <w:t>. Meqenëse bashkia nuk përfshihet në përkufizimin e ndërmarrjes, në këtë rast është i zbatueshëm tavani ligjor statik dhe, rrjedhimisht, masa e sanksionit nuk duhet të kalojë vlerën 2 000 000 000 lekë.</w:t>
            </w:r>
          </w:p>
        </w:tc>
      </w:tr>
    </w:tbl>
    <w:p w14:paraId="49D1EC1D" w14:textId="503597DC" w:rsidR="00133485" w:rsidRPr="001620BD" w:rsidRDefault="00133485" w:rsidP="00133485">
      <w:pPr>
        <w:pStyle w:val="Heading2"/>
        <w:spacing w:before="0" w:beforeAutospacing="0" w:after="0" w:afterAutospacing="0"/>
        <w:ind w:firstLine="284"/>
        <w:rPr>
          <w:rFonts w:ascii="Garamond" w:hAnsi="Garamond"/>
          <w:szCs w:val="24"/>
        </w:rPr>
      </w:pPr>
      <w:bookmarkStart w:id="45" w:name="_Toc203658679"/>
      <w:r w:rsidRPr="001620BD">
        <w:rPr>
          <w:rFonts w:ascii="Garamond" w:hAnsi="Garamond"/>
          <w:szCs w:val="24"/>
        </w:rPr>
        <w:t>6.2 Përcaktimi i xhiros së ndërmarrjes dhe përgjegjësia korporative</w:t>
      </w:r>
      <w:bookmarkEnd w:id="45"/>
    </w:p>
    <w:p w14:paraId="155BE370" w14:textId="7ED31EEF"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104. Për të përcaktuar xhiron e saktë për tavanin ligjor dinamik, është e rëndësishme të kuptohen konceptet e “ndërmarrjes” dhe “xhiros” siç artikulohen në nenin 94 të </w:t>
      </w:r>
      <w:r w:rsidR="00443ADB" w:rsidRPr="001620BD">
        <w:rPr>
          <w:rFonts w:ascii="Garamond" w:hAnsi="Garamond" w:cs="Times New Roman"/>
          <w:sz w:val="24"/>
          <w:szCs w:val="24"/>
          <w:lang w:val="sq-AL"/>
        </w:rPr>
        <w:t>ligjit për mbrojtjen e të dhënave personale.</w:t>
      </w:r>
    </w:p>
    <w:p w14:paraId="2ACE25E0" w14:textId="0E64D189" w:rsidR="00133485" w:rsidRPr="001620BD" w:rsidRDefault="00133485" w:rsidP="00133485">
      <w:pPr>
        <w:pStyle w:val="Heading3"/>
        <w:spacing w:before="0" w:line="240" w:lineRule="auto"/>
        <w:ind w:firstLine="284"/>
        <w:rPr>
          <w:rFonts w:ascii="Garamond" w:hAnsi="Garamond"/>
          <w:b/>
          <w:color w:val="auto"/>
          <w:lang w:val="sq-AL"/>
        </w:rPr>
      </w:pPr>
      <w:bookmarkStart w:id="46" w:name="_Toc203658680"/>
      <w:r w:rsidRPr="001620BD">
        <w:rPr>
          <w:rFonts w:ascii="Garamond" w:hAnsi="Garamond"/>
          <w:b/>
          <w:color w:val="auto"/>
          <w:lang w:val="sq-AL"/>
        </w:rPr>
        <w:t>6.2.1 Përcaktimi i një ndërmarrjeje dhe përgjegjësia korporative</w:t>
      </w:r>
      <w:bookmarkEnd w:id="46"/>
    </w:p>
    <w:p w14:paraId="418FC2AA" w14:textId="70B06F51" w:rsidR="00133485" w:rsidRPr="001620BD" w:rsidRDefault="00133485" w:rsidP="00133485">
      <w:pPr>
        <w:spacing w:after="0" w:line="240" w:lineRule="auto"/>
        <w:ind w:firstLine="284"/>
        <w:jc w:val="both"/>
        <w:rPr>
          <w:rFonts w:ascii="Garamond" w:hAnsi="Garamond" w:cs="Times New Roman"/>
          <w:strike/>
          <w:sz w:val="24"/>
          <w:szCs w:val="24"/>
          <w:lang w:val="sq-AL"/>
        </w:rPr>
      </w:pPr>
      <w:r w:rsidRPr="001620BD">
        <w:rPr>
          <w:rFonts w:ascii="Garamond" w:hAnsi="Garamond" w:cs="Times New Roman"/>
          <w:sz w:val="24"/>
          <w:szCs w:val="24"/>
          <w:lang w:val="sq-AL"/>
        </w:rPr>
        <w:t>105. Bazuar në jurisprudencën e BE-së, termi “ndërmarrje” përfshin çdo entitet të angazhuar në një veprimtari ekonomike, pavarësisht statusit ligjor të këtij entiteti dhe mënyrës në të cilën ai financohet</w:t>
      </w:r>
      <w:r w:rsidRPr="001620BD">
        <w:rPr>
          <w:rStyle w:val="FootnoteReference"/>
          <w:rFonts w:ascii="Garamond" w:hAnsi="Garamond" w:cs="Times New Roman"/>
          <w:sz w:val="24"/>
          <w:szCs w:val="24"/>
          <w:lang w:val="sq-AL"/>
        </w:rPr>
        <w:footnoteReference w:id="32"/>
      </w:r>
      <w:r w:rsidRPr="001620BD">
        <w:rPr>
          <w:rFonts w:ascii="Garamond" w:hAnsi="Garamond" w:cs="Times New Roman"/>
          <w:sz w:val="24"/>
          <w:szCs w:val="24"/>
          <w:lang w:val="sq-AL"/>
        </w:rPr>
        <w:t xml:space="preserve">. Rrjedhimisht, “ndërmarrjet” identifikohen si njësi ekonomike, në vend të njësive ligjore (subjekte me personalitet të veçantë juridik). Shoqëri të ndryshme që i përkasin të njëjtit grup shoqërish mund të formojnë një njësi ekonomike dhe, për rrjedhojë, një ndërmarrje. </w:t>
      </w:r>
    </w:p>
    <w:p w14:paraId="432BC7C1" w14:textId="0B22D12A"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106. Rrjedhimisht, termi “ndërmarrje” mund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 referohet një njësie të vetme ekonomike (</w:t>
      </w:r>
      <w:r w:rsidR="00443ADB" w:rsidRPr="001620BD">
        <w:rPr>
          <w:rFonts w:ascii="Garamond" w:hAnsi="Garamond" w:cs="Times New Roman"/>
          <w:sz w:val="24"/>
          <w:szCs w:val="24"/>
          <w:lang w:val="sq-AL"/>
        </w:rPr>
        <w:t>NJVE</w:t>
      </w:r>
      <w:r w:rsidRPr="001620BD">
        <w:rPr>
          <w:rFonts w:ascii="Garamond" w:hAnsi="Garamond" w:cs="Times New Roman"/>
          <w:sz w:val="24"/>
          <w:szCs w:val="24"/>
          <w:lang w:val="sq-AL"/>
        </w:rPr>
        <w:t xml:space="preserve">), edhe nëse ajo njësi ekonomike përbëhet nga disa persona fizikë ose juridikë. Të formuarit e një </w:t>
      </w:r>
      <w:r w:rsidR="00443ADB" w:rsidRPr="001620BD">
        <w:rPr>
          <w:rFonts w:ascii="Garamond" w:hAnsi="Garamond" w:cs="Times New Roman"/>
          <w:sz w:val="24"/>
          <w:szCs w:val="24"/>
          <w:lang w:val="sq-AL"/>
        </w:rPr>
        <w:t>NJVE</w:t>
      </w:r>
      <w:r w:rsidRPr="001620BD">
        <w:rPr>
          <w:rFonts w:ascii="Garamond" w:hAnsi="Garamond" w:cs="Times New Roman"/>
          <w:sz w:val="24"/>
          <w:szCs w:val="24"/>
          <w:lang w:val="sq-AL"/>
        </w:rPr>
        <w:t xml:space="preserve"> nga disa subjekte varet, kryesisht, nga fakti nëse </w:t>
      </w:r>
      <w:r w:rsidR="00443ADB" w:rsidRPr="001620BD">
        <w:rPr>
          <w:rFonts w:ascii="Garamond" w:hAnsi="Garamond" w:cs="Times New Roman"/>
          <w:sz w:val="24"/>
          <w:szCs w:val="24"/>
          <w:lang w:val="sq-AL"/>
        </w:rPr>
        <w:t>NJVE</w:t>
      </w:r>
      <w:r w:rsidRPr="001620BD" w:rsidDel="00BB1D9C">
        <w:rPr>
          <w:rFonts w:ascii="Garamond" w:hAnsi="Garamond" w:cs="Times New Roman"/>
          <w:sz w:val="24"/>
          <w:szCs w:val="24"/>
          <w:lang w:val="sq-AL"/>
        </w:rPr>
        <w:t xml:space="preserve"> </w:t>
      </w:r>
      <w:r w:rsidRPr="001620BD">
        <w:rPr>
          <w:rFonts w:ascii="Garamond" w:hAnsi="Garamond" w:cs="Times New Roman"/>
          <w:sz w:val="24"/>
          <w:szCs w:val="24"/>
          <w:lang w:val="sq-AL"/>
        </w:rPr>
        <w:t xml:space="preserve">është e lirë në aftësinë e saj vendimmarrëse ose nëse një njësi ekonomike drejtuese, domethënë shoqëria mëmë, ushtron ndikim vendimtar mbi të tjerët. Kriteret për përcaktimin e këtij ndikimi bazohen në lidhjet ekonomike, ligjore dhe organizative </w:t>
      </w:r>
      <w:r w:rsidRPr="001620BD">
        <w:rPr>
          <w:rFonts w:ascii="Garamond" w:hAnsi="Garamond" w:cs="Times New Roman"/>
          <w:sz w:val="24"/>
          <w:szCs w:val="24"/>
          <w:lang w:val="sq-AL"/>
        </w:rPr>
        <w:lastRenderedPageBreak/>
        <w:t>ndërmjet shoqërisë mëmë dhe të kontrolluarës së saj (p.sh., shkalla e pjesëmarrjes, lidhjet e personelit ose ato organizative, udhëzimet dhe ekzistenca e kontratave të shoqërisë)</w:t>
      </w:r>
      <w:r w:rsidRPr="001620BD">
        <w:rPr>
          <w:rStyle w:val="FootnoteReference"/>
          <w:rFonts w:ascii="Garamond" w:hAnsi="Garamond" w:cs="Times New Roman"/>
          <w:sz w:val="24"/>
          <w:szCs w:val="24"/>
          <w:lang w:val="sq-AL"/>
        </w:rPr>
        <w:footnoteReference w:id="33"/>
      </w:r>
      <w:r w:rsidRPr="001620BD">
        <w:rPr>
          <w:rFonts w:ascii="Garamond" w:hAnsi="Garamond" w:cs="Times New Roman"/>
          <w:sz w:val="24"/>
          <w:szCs w:val="24"/>
          <w:lang w:val="sq-AL"/>
        </w:rPr>
        <w:t>.</w:t>
      </w:r>
    </w:p>
    <w:p w14:paraId="019B0258" w14:textId="247D5BF0" w:rsidR="00133485" w:rsidRPr="001620BD" w:rsidRDefault="00133485" w:rsidP="00133485">
      <w:pPr>
        <w:spacing w:after="0" w:line="240" w:lineRule="auto"/>
        <w:ind w:firstLine="284"/>
        <w:jc w:val="both"/>
        <w:rPr>
          <w:rFonts w:ascii="Garamond" w:hAnsi="Garamond" w:cs="Times New Roman"/>
          <w:strike/>
          <w:sz w:val="24"/>
          <w:szCs w:val="24"/>
          <w:lang w:val="sq-AL"/>
        </w:rPr>
      </w:pPr>
      <w:r w:rsidRPr="001620BD">
        <w:rPr>
          <w:rFonts w:ascii="Garamond" w:hAnsi="Garamond" w:cs="Times New Roman"/>
          <w:sz w:val="24"/>
          <w:szCs w:val="24"/>
          <w:lang w:val="sq-AL"/>
        </w:rPr>
        <w:t xml:space="preserve">107. Në përputhje me doktrinën e </w:t>
      </w:r>
      <w:r w:rsidR="00443ADB" w:rsidRPr="001620BD">
        <w:rPr>
          <w:rFonts w:ascii="Garamond" w:hAnsi="Garamond" w:cs="Times New Roman"/>
          <w:sz w:val="24"/>
          <w:szCs w:val="24"/>
          <w:lang w:val="sq-AL"/>
        </w:rPr>
        <w:t>NJVE</w:t>
      </w:r>
      <w:r w:rsidRPr="001620BD">
        <w:rPr>
          <w:rFonts w:ascii="Garamond" w:hAnsi="Garamond" w:cs="Times New Roman"/>
          <w:sz w:val="24"/>
          <w:szCs w:val="24"/>
          <w:lang w:val="sq-AL"/>
        </w:rPr>
        <w:t xml:space="preserve">-së, neni 94 i </w:t>
      </w:r>
      <w:r w:rsidR="00443ADB" w:rsidRPr="001620BD">
        <w:rPr>
          <w:rFonts w:ascii="Garamond" w:hAnsi="Garamond" w:cs="Times New Roman"/>
          <w:sz w:val="24"/>
          <w:szCs w:val="24"/>
          <w:lang w:val="sq-AL"/>
        </w:rPr>
        <w:t xml:space="preserve">ligjit për mbrojtjen e të dhënave personale </w:t>
      </w:r>
      <w:r w:rsidRPr="001620BD">
        <w:rPr>
          <w:rFonts w:ascii="Garamond" w:hAnsi="Garamond" w:cs="Times New Roman"/>
          <w:sz w:val="24"/>
          <w:szCs w:val="24"/>
          <w:lang w:val="sq-AL"/>
        </w:rPr>
        <w:t xml:space="preserve">ndjek parimin e përgjegjësisë së drejtpërdrejtë korporative, i cili nënkupton se të gjitha veprimet e kryera ose të neglizhuara nga persona fizikë të autorizuar për të vepruar në emër </w:t>
      </w:r>
      <w:r w:rsidR="004B4AEB" w:rsidRPr="001620BD">
        <w:rPr>
          <w:rFonts w:ascii="Garamond" w:hAnsi="Garamond" w:cs="Times New Roman"/>
          <w:sz w:val="24"/>
          <w:szCs w:val="24"/>
          <w:lang w:val="sq-AL"/>
        </w:rPr>
        <w:t xml:space="preserve">të ndërmarrjes </w:t>
      </w:r>
      <w:r w:rsidRPr="001620BD">
        <w:rPr>
          <w:rFonts w:ascii="Garamond" w:hAnsi="Garamond" w:cs="Times New Roman"/>
          <w:sz w:val="24"/>
          <w:szCs w:val="24"/>
          <w:lang w:val="sq-AL"/>
        </w:rPr>
        <w:t xml:space="preserve">i atribuohen kësaj të fundit dhe konsiderohen si një veprim dhe shkelje e kryer drejtpërdrejt nga vetë ndërmarrja. Fakti që disa punonjës nuk respektojnë një kod sjelljeje nuk mjafton për të evituar këtë atribuim përgjegjësie. Përkundrazi, përgjegjësia përjashtohet vetëm kur personi fizik vepron për qëllimet e tij private/personale ose për qëllimet e një pale të tretë, duke u kthyer, kështu, vetë në një kontrollues të veçantë (d.m.th. personi fizik ka vepruar përtej kompetencave që i janë akorduar atij). </w:t>
      </w:r>
    </w:p>
    <w:p w14:paraId="32B5AB88" w14:textId="3E8F8495"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108. Në rastin kur një shoqëria mëmë zotëron 100% ose pothuajse 100% të aksioneve/kapitalit të një shoqërie të kontrolluar, do të prezumohet se shoqëria mëmë është në gjendje të ushtrojë ndikim vendimtar mbi sjelljen e shoqërisë së kontrolluar. Kjo vlen edhe nëse shoqëria mëmë nuk zotëron drejtpërdrejt aksionet/kapitalin total direkt, por në mënyrë indirekte nëpërmjet një ose më shumë shoqërish të kontrolluara. Në këto rrethana, mjafton që Zyra e Komisionerit të provojë se shoqëria e kontrolluar është drejtpërdrejt ose tërthorazi, tërësisht ose pothuajse tërësisht në pronësi të shoqërisë mëmë për të dalë në përfundimin se shoqëria mëmë ushtron një ndikim vendimtar.</w:t>
      </w:r>
    </w:p>
    <w:p w14:paraId="7E8257C5" w14:textId="7799ADC0"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109. Megjithatë, supozimi i pasqyruar më sipër nuk është absolut, por mund të kundërshtohet me prova të tjera. Për të hedhur poshtë supozimin në fjalë, shoqëria duhet të ofrojë prova sa i përket lidhjeve organizative, ekonomike dhe ligjore midis shoqërisë së kontrolluar dhe shoqërisë mëmë, të cilat janë të përshtatshme për të demonstruar se ato nuk përbëjnë një </w:t>
      </w:r>
      <w:r w:rsidR="00443ADB" w:rsidRPr="001620BD">
        <w:rPr>
          <w:rFonts w:ascii="Garamond" w:hAnsi="Garamond" w:cs="Times New Roman"/>
          <w:sz w:val="24"/>
          <w:szCs w:val="24"/>
          <w:lang w:val="sq-AL"/>
        </w:rPr>
        <w:t>NJVE</w:t>
      </w:r>
      <w:r w:rsidRPr="001620BD">
        <w:rPr>
          <w:rFonts w:ascii="Garamond" w:hAnsi="Garamond" w:cs="Times New Roman"/>
          <w:sz w:val="24"/>
          <w:szCs w:val="24"/>
          <w:lang w:val="sq-AL"/>
        </w:rPr>
        <w:t>, pavarësisht se shoqëria mëmë zotëron 100% ose pothuajse 100 % të kapitalit të shoqërisë së kontrolluar. Për të përcaktuar nëse një shoqëri e kontrolluar vepron në mënyrë autonome, duhet të merren parasysh të gjithë faktorët përkatës që kanë të bëjnë me ato lidhje që lidhin shoqërinë e kontrolluar me shoqërinë mëmë, të cilat mund të ndryshojnë rast</w:t>
      </w:r>
      <w:r w:rsidR="00410CCF" w:rsidRPr="001620BD">
        <w:rPr>
          <w:rFonts w:ascii="Garamond" w:hAnsi="Garamond" w:cs="Times New Roman"/>
          <w:sz w:val="24"/>
          <w:szCs w:val="24"/>
          <w:lang w:val="sq-AL"/>
        </w:rPr>
        <w:t xml:space="preserve"> </w:t>
      </w:r>
      <w:r w:rsidRPr="001620BD">
        <w:rPr>
          <w:rFonts w:ascii="Garamond" w:hAnsi="Garamond" w:cs="Times New Roman"/>
          <w:sz w:val="24"/>
          <w:szCs w:val="24"/>
          <w:lang w:val="sq-AL"/>
        </w:rPr>
        <w:t>pas</w:t>
      </w:r>
      <w:r w:rsidR="00410CCF" w:rsidRPr="001620BD">
        <w:rPr>
          <w:rFonts w:ascii="Garamond" w:hAnsi="Garamond" w:cs="Times New Roman"/>
          <w:sz w:val="24"/>
          <w:szCs w:val="24"/>
          <w:lang w:val="sq-AL"/>
        </w:rPr>
        <w:t xml:space="preserve"> </w:t>
      </w:r>
      <w:r w:rsidRPr="001620BD">
        <w:rPr>
          <w:rFonts w:ascii="Garamond" w:hAnsi="Garamond" w:cs="Times New Roman"/>
          <w:sz w:val="24"/>
          <w:szCs w:val="24"/>
          <w:lang w:val="sq-AL"/>
        </w:rPr>
        <w:t>rasti dhe, për këtë arsye, nuk mund të përcaktohen në një listë shteruese.</w:t>
      </w:r>
    </w:p>
    <w:p w14:paraId="696E2453" w14:textId="1C27C48F"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110. Nëse, nga ana tjetër, shoqëria mëmë nuk zotëron të gjithë ose pothuajse të gjithë kapitalin e shoqërisë së kontrolluar, duhet të evidentohen fakte shtesë për të justifikuar ekzistencën e një </w:t>
      </w:r>
      <w:r w:rsidR="00443ADB" w:rsidRPr="001620BD">
        <w:rPr>
          <w:rFonts w:ascii="Garamond" w:hAnsi="Garamond" w:cs="Times New Roman"/>
          <w:sz w:val="24"/>
          <w:szCs w:val="24"/>
          <w:lang w:val="sq-AL"/>
        </w:rPr>
        <w:t>NJVE</w:t>
      </w:r>
      <w:r w:rsidRPr="001620BD">
        <w:rPr>
          <w:rFonts w:ascii="Garamond" w:hAnsi="Garamond" w:cs="Times New Roman"/>
          <w:sz w:val="24"/>
          <w:szCs w:val="24"/>
          <w:lang w:val="sq-AL"/>
        </w:rPr>
        <w:t>. Në këtë rast, nevojitet të demonstrohet, jo vetëm që shoqëria mëmë ka aftësinë për të ushtruar ndikim vendimtar mbi shoqërinë e kontrolluar, por, gjithashtu, se ajo ka ushtruar në të vërtetë një ndikim të tillë vendimtar, në mënyrë që të mund të ndërhyjë në çdo kohë në lirinë e zgjedhjes së shoqërisë së kontrolluar dhe të përcaktojë sjelljen e saj.</w:t>
      </w:r>
    </w:p>
    <w:p w14:paraId="41748135" w14:textId="26963F3B"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111. Sanksioni i drejtohet (bashkë) kontrolluesit/përpunuesit dhe Zyra e Komisionerit ka mundësinë ta konsiderojë shoqërinë mëmë, solidarisht dhe individualisht përgjegjëse për pagesën e sanksionit.</w:t>
      </w:r>
    </w:p>
    <w:p w14:paraId="2D8DAE2A" w14:textId="363C8733" w:rsidR="00133485" w:rsidRPr="001620BD" w:rsidRDefault="00133485" w:rsidP="00133485">
      <w:pPr>
        <w:pStyle w:val="Heading3"/>
        <w:spacing w:before="0" w:line="240" w:lineRule="auto"/>
        <w:ind w:firstLine="284"/>
        <w:rPr>
          <w:rFonts w:ascii="Garamond" w:hAnsi="Garamond"/>
          <w:b/>
          <w:color w:val="auto"/>
          <w:lang w:val="sq-AL"/>
        </w:rPr>
      </w:pPr>
      <w:bookmarkStart w:id="47" w:name="_Toc203658681"/>
      <w:r w:rsidRPr="001620BD">
        <w:rPr>
          <w:rFonts w:ascii="Garamond" w:hAnsi="Garamond"/>
          <w:b/>
          <w:color w:val="auto"/>
          <w:lang w:val="sq-AL"/>
        </w:rPr>
        <w:t>6.2.2 Përcaktimi i xhiros</w:t>
      </w:r>
      <w:bookmarkEnd w:id="47"/>
    </w:p>
    <w:p w14:paraId="2F5F47EB" w14:textId="5FE3DE2C"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112. Xhiroja nxirret nga pasqyrat financiare vjetore të një ndërmarrjeje (konkretisht nga pasqyra e “humbjeve dhe fitimeve”), të cilat japin një pasqyrë të vitit të kaluar financiar të një shoqërie ose të një grupi shoqërish (pasqyrat financiare të konsoliduara). Xhiroja në kuptim të nenit 94 të </w:t>
      </w:r>
      <w:r w:rsidR="00D56948" w:rsidRPr="001620BD">
        <w:rPr>
          <w:rFonts w:ascii="Garamond" w:hAnsi="Garamond" w:cs="Times New Roman"/>
          <w:sz w:val="24"/>
          <w:szCs w:val="24"/>
          <w:lang w:val="sq-AL"/>
        </w:rPr>
        <w:t xml:space="preserve">ligjit për mbrojtjen e të dhënave duhet të kuptohet si xhiro </w:t>
      </w:r>
      <w:r w:rsidRPr="001620BD">
        <w:rPr>
          <w:rFonts w:ascii="Garamond" w:hAnsi="Garamond" w:cs="Times New Roman"/>
          <w:sz w:val="24"/>
          <w:szCs w:val="24"/>
          <w:lang w:val="sq-AL"/>
        </w:rPr>
        <w:t xml:space="preserve">neto, e cila nënkupton vlerën që rrjedh nga shitja e mallrave/shërbimeve, pas zbritjes së tatimit mbi vlerën e shtuar (TVSH) dhe taksave të tjera të lidhura drejtpërdrejt me xhiron. Nuk përfshihen në këtë xhiro, të ardhurat që vijnë nga transaksione sporadike, të cilat nuk lidhen me objektin e veprimtarisë së ndërmarrjes. </w:t>
      </w:r>
    </w:p>
    <w:p w14:paraId="7556C0DC" w14:textId="020CC6D9"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113. Nëse ndërmarrja i nënshtrohet detyrimit të përgatitjes së pasqyrave financiare të konsoliduara, këto pasqyra financiare të konsoliduara të shoqërisë mëmë, që kryeson grupin, janë të rëndësishme për pasqyrimin e xhiros të kombinuar (globale) të ndërmarrjes. Nëse nuk ekzistojnë pasqyra të tilla, do të </w:t>
      </w:r>
      <w:r w:rsidRPr="001620BD">
        <w:rPr>
          <w:rFonts w:ascii="Garamond" w:hAnsi="Garamond" w:cs="Times New Roman"/>
          <w:sz w:val="24"/>
          <w:szCs w:val="24"/>
          <w:lang w:val="sq-AL"/>
        </w:rPr>
        <w:lastRenderedPageBreak/>
        <w:t xml:space="preserve">merret dhe përdoret çdo dokument tjetër që është i përshtatshëm për të konstatuar xhiron vjetore globale </w:t>
      </w:r>
      <w:r w:rsidR="004B4AEB" w:rsidRPr="001620BD">
        <w:rPr>
          <w:rFonts w:ascii="Garamond" w:hAnsi="Garamond" w:cs="Times New Roman"/>
          <w:sz w:val="24"/>
          <w:szCs w:val="24"/>
          <w:lang w:val="sq-AL"/>
        </w:rPr>
        <w:t xml:space="preserve">të ndërmarrjes </w:t>
      </w:r>
      <w:r w:rsidRPr="001620BD">
        <w:rPr>
          <w:rFonts w:ascii="Garamond" w:hAnsi="Garamond" w:cs="Times New Roman"/>
          <w:sz w:val="24"/>
          <w:szCs w:val="24"/>
          <w:lang w:val="sq-AL"/>
        </w:rPr>
        <w:t>për vitin përkatës financiar.</w:t>
      </w:r>
    </w:p>
    <w:p w14:paraId="785B04DF" w14:textId="77777777" w:rsidR="00D56948" w:rsidRPr="001620BD" w:rsidRDefault="00D56948" w:rsidP="00133485">
      <w:pPr>
        <w:pStyle w:val="Heading1"/>
        <w:spacing w:before="0" w:line="240" w:lineRule="auto"/>
        <w:ind w:firstLine="284"/>
        <w:jc w:val="both"/>
        <w:rPr>
          <w:rFonts w:ascii="Garamond" w:hAnsi="Garamond"/>
          <w:b/>
          <w:color w:val="auto"/>
          <w:sz w:val="24"/>
          <w:szCs w:val="24"/>
          <w:lang w:val="sq-AL"/>
        </w:rPr>
      </w:pPr>
      <w:bookmarkStart w:id="48" w:name="_Toc203658682"/>
    </w:p>
    <w:p w14:paraId="1ED8C50E" w14:textId="77777777" w:rsidR="00D56948" w:rsidRPr="001620BD" w:rsidRDefault="00133485" w:rsidP="00D56948">
      <w:pPr>
        <w:pStyle w:val="Heading1"/>
        <w:spacing w:before="0" w:line="240" w:lineRule="auto"/>
        <w:ind w:firstLine="284"/>
        <w:jc w:val="center"/>
        <w:rPr>
          <w:rFonts w:ascii="Garamond" w:hAnsi="Garamond"/>
          <w:color w:val="auto"/>
          <w:sz w:val="24"/>
          <w:szCs w:val="24"/>
          <w:lang w:val="sq-AL"/>
        </w:rPr>
      </w:pPr>
      <w:r w:rsidRPr="001620BD">
        <w:rPr>
          <w:rFonts w:ascii="Garamond" w:hAnsi="Garamond"/>
          <w:color w:val="auto"/>
          <w:sz w:val="24"/>
          <w:szCs w:val="24"/>
          <w:lang w:val="sq-AL"/>
        </w:rPr>
        <w:t>KAPITULLI 7</w:t>
      </w:r>
    </w:p>
    <w:p w14:paraId="1C31A47F" w14:textId="3CD3A7CA" w:rsidR="00133485" w:rsidRPr="001620BD" w:rsidRDefault="00133485" w:rsidP="00D56948">
      <w:pPr>
        <w:pStyle w:val="Heading1"/>
        <w:spacing w:before="0" w:line="240" w:lineRule="auto"/>
        <w:ind w:firstLine="284"/>
        <w:jc w:val="center"/>
        <w:rPr>
          <w:rFonts w:ascii="Garamond" w:hAnsi="Garamond"/>
          <w:color w:val="auto"/>
          <w:sz w:val="24"/>
          <w:szCs w:val="24"/>
          <w:lang w:val="sq-AL"/>
        </w:rPr>
      </w:pPr>
      <w:r w:rsidRPr="001620BD">
        <w:rPr>
          <w:rFonts w:ascii="Garamond" w:hAnsi="Garamond"/>
          <w:color w:val="auto"/>
          <w:sz w:val="24"/>
          <w:szCs w:val="24"/>
          <w:lang w:val="sq-AL"/>
        </w:rPr>
        <w:t>EFEKTIVITETI, PROPORCIONALITETI DHE KARAKTERI PARANDALUES</w:t>
      </w:r>
      <w:bookmarkEnd w:id="48"/>
    </w:p>
    <w:p w14:paraId="0C1014CD" w14:textId="77777777" w:rsidR="00D56948" w:rsidRPr="001620BD" w:rsidRDefault="00D56948" w:rsidP="00133485">
      <w:pPr>
        <w:spacing w:after="0" w:line="240" w:lineRule="auto"/>
        <w:ind w:firstLine="284"/>
        <w:jc w:val="both"/>
        <w:rPr>
          <w:rFonts w:ascii="Garamond" w:hAnsi="Garamond" w:cs="Times New Roman"/>
          <w:sz w:val="24"/>
          <w:szCs w:val="24"/>
          <w:lang w:val="sq-AL"/>
        </w:rPr>
      </w:pPr>
    </w:p>
    <w:p w14:paraId="37805742" w14:textId="22524D3B"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114. Sanksioni i vendosur për shkeljet </w:t>
      </w:r>
      <w:r w:rsidR="00D56948" w:rsidRPr="001620BD">
        <w:rPr>
          <w:rFonts w:ascii="Garamond" w:hAnsi="Garamond" w:cs="Times New Roman"/>
          <w:sz w:val="24"/>
          <w:szCs w:val="24"/>
          <w:lang w:val="sq-AL"/>
        </w:rPr>
        <w:t xml:space="preserve">e ligjit për mbrojtjen e të dhënave personale </w:t>
      </w:r>
      <w:r w:rsidRPr="001620BD">
        <w:rPr>
          <w:rFonts w:ascii="Garamond" w:hAnsi="Garamond" w:cs="Times New Roman"/>
          <w:sz w:val="24"/>
          <w:szCs w:val="24"/>
          <w:lang w:val="sq-AL"/>
        </w:rPr>
        <w:t>duhet jetë efektiv, proporcional dhe me karakter parandalues për çdo çështje individuale. Me fjalë të tjera, masa e sanksionit të vendosur duhet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 përshtatet shkeljes së kryer në kontekstin e saj specifik.</w:t>
      </w:r>
    </w:p>
    <w:p w14:paraId="51A03E84" w14:textId="510F841D"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115. Siç shpjegohet në </w:t>
      </w:r>
      <w:r w:rsidR="00D56948" w:rsidRPr="001620BD">
        <w:rPr>
          <w:rFonts w:ascii="Garamond" w:hAnsi="Garamond" w:cs="Times New Roman"/>
          <w:sz w:val="24"/>
          <w:szCs w:val="24"/>
          <w:lang w:val="sq-AL"/>
        </w:rPr>
        <w:t xml:space="preserve">kapitullin </w:t>
      </w:r>
      <w:r w:rsidRPr="001620BD">
        <w:rPr>
          <w:rFonts w:ascii="Garamond" w:hAnsi="Garamond" w:cs="Times New Roman"/>
          <w:sz w:val="24"/>
          <w:szCs w:val="24"/>
          <w:lang w:val="sq-AL"/>
        </w:rPr>
        <w:t xml:space="preserve">4, vlerësimi i kryer në këtë kapitull mbulon tërësinë e sanksionit të vënë dhe të gjitha rrethanat e çështjes, duke përfshirë p.sh. akumulimin e shkeljeve të shumta, zmadhimet dhe zvogëlimet sipas rrethanave rënduese dhe lehtësuese dhe rrethanat financiare/socio-ekonomike. </w:t>
      </w:r>
    </w:p>
    <w:p w14:paraId="0B8B28FF" w14:textId="7AF449C5" w:rsidR="00133485" w:rsidRPr="001620BD" w:rsidRDefault="00133485" w:rsidP="00133485">
      <w:pPr>
        <w:pStyle w:val="Heading2"/>
        <w:spacing w:before="0" w:beforeAutospacing="0" w:after="0" w:afterAutospacing="0"/>
        <w:ind w:firstLine="284"/>
        <w:rPr>
          <w:rFonts w:ascii="Garamond" w:hAnsi="Garamond"/>
          <w:szCs w:val="24"/>
        </w:rPr>
      </w:pPr>
      <w:bookmarkStart w:id="49" w:name="_Toc203658683"/>
      <w:r w:rsidRPr="001620BD">
        <w:rPr>
          <w:rFonts w:ascii="Garamond" w:hAnsi="Garamond"/>
          <w:szCs w:val="24"/>
        </w:rPr>
        <w:t>7.1 Efektiviteti</w:t>
      </w:r>
      <w:bookmarkEnd w:id="49"/>
    </w:p>
    <w:p w14:paraId="74B06659" w14:textId="686DC1C0"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116. Në përgjithësi, sanksioni mund të konsiderohet efektiv nëse arrin objektivat në bazë të të cil</w:t>
      </w:r>
      <w:r w:rsidR="00D21457" w:rsidRPr="001620BD">
        <w:rPr>
          <w:rFonts w:ascii="Garamond" w:hAnsi="Garamond" w:cs="Times New Roman"/>
          <w:sz w:val="24"/>
          <w:szCs w:val="24"/>
          <w:lang w:val="sq-AL"/>
        </w:rPr>
        <w:t>ë</w:t>
      </w:r>
      <w:r w:rsidRPr="001620BD">
        <w:rPr>
          <w:rFonts w:ascii="Garamond" w:hAnsi="Garamond" w:cs="Times New Roman"/>
          <w:sz w:val="24"/>
          <w:szCs w:val="24"/>
          <w:lang w:val="sq-AL"/>
        </w:rPr>
        <w:t>ve është vendosur (qoftë kjo për të rivendosur përputhshmërinë me rregullat, qoftë për të ndëshkuar sjelljen e paligjshme, ose të dyja).</w:t>
      </w:r>
    </w:p>
    <w:p w14:paraId="2E534883" w14:textId="1224312A"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117. Siç përcaktohet në pikën 2 të nenit 93 të </w:t>
      </w:r>
      <w:r w:rsidR="00D56948" w:rsidRPr="001620BD">
        <w:rPr>
          <w:rFonts w:ascii="Garamond" w:hAnsi="Garamond" w:cs="Times New Roman"/>
          <w:sz w:val="24"/>
          <w:szCs w:val="24"/>
          <w:lang w:val="sq-AL"/>
        </w:rPr>
        <w:t>ligjit për mbrojtjen e të dhënave personale,</w:t>
      </w:r>
      <w:r w:rsidRPr="001620BD">
        <w:rPr>
          <w:rFonts w:ascii="Garamond" w:hAnsi="Garamond" w:cs="Times New Roman"/>
          <w:sz w:val="24"/>
          <w:szCs w:val="24"/>
          <w:lang w:val="sq-AL"/>
        </w:rPr>
        <w:t xml:space="preserve"> Zyra e Komisionerit duhet të vlerësojë efektivitetin e sanksionit në çdo rast individual. Për këtë qëllim, duhet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 kushtohet vëmendje e duhur rrethanave të çështjes dhe në veçanti, vlerësimit të bërë më sipër, duke pasur parasysh se sanksioni duhet të jetë gjithashtu proporcional dhe me karakter parandalues, siç përshkruhet më poshtë.</w:t>
      </w:r>
    </w:p>
    <w:p w14:paraId="4C119DE2" w14:textId="49159490" w:rsidR="00133485" w:rsidRPr="001620BD" w:rsidRDefault="00133485" w:rsidP="00133485">
      <w:pPr>
        <w:pStyle w:val="Heading2"/>
        <w:spacing w:before="0" w:beforeAutospacing="0" w:after="0" w:afterAutospacing="0"/>
        <w:ind w:firstLine="284"/>
        <w:rPr>
          <w:rFonts w:ascii="Garamond" w:hAnsi="Garamond"/>
          <w:szCs w:val="24"/>
        </w:rPr>
      </w:pPr>
      <w:bookmarkStart w:id="50" w:name="_Toc203658684"/>
      <w:r w:rsidRPr="001620BD">
        <w:rPr>
          <w:rFonts w:ascii="Garamond" w:hAnsi="Garamond"/>
          <w:szCs w:val="24"/>
        </w:rPr>
        <w:t>7.2 Proporcionaliteti</w:t>
      </w:r>
      <w:bookmarkEnd w:id="50"/>
    </w:p>
    <w:p w14:paraId="5AE2CE34" w14:textId="1164A6E2"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118. Parimi i proporcionalitetit kërkon që masat e marra të mos kalojnë kufijtë e asaj që është e përshtatshme dhe e nevojshme për të arritur objektivat e ndjekur në mënyrë legjitime nga legjislacioni për mbrojtjen e të dhënave. Kur ka një zgjedhje midis disa masave të përshtatshme, duhen konsideruar ato më pak rënduese dhe disavantazhet e shkaktuara nuk duhet të jenë joproporcionale me qëllimet e ndjekura.</w:t>
      </w:r>
    </w:p>
    <w:p w14:paraId="4A0D7855" w14:textId="1F3E9A6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119. Nga kjo rrjedh se sanksionet nuk duhet të jenë në disproporcion me qëllimet e ndjekura (d.m.th. respektimi i rregullave në lidhje me mbrojtjen e të dhënave të personave fizikë), si dhe se masa e sanksionit të vendosur duhet të jetë në përpjesëtim me shkeljen, duke marrë parasysh, në veçanti, shkallën e rëndësisë së saj.</w:t>
      </w:r>
    </w:p>
    <w:p w14:paraId="01CE2DBF" w14:textId="5D62EF0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120. Prandaj, është e domosdoshme të verifikohet që masa e sanksionit është në përpjesëtim me ashpërsinë e shkeljes dhe me përmasat e ndërmarrjes së cilës i përket subjekti që ka kryer shkeljen, si dhe që sanksioni i vendosur në këtë mënyrë nuk duhet të tejkalojë çfarë është e nevojshme/domosdoshme për të arritur objektivat e ndjekur nga dispozitat </w:t>
      </w:r>
      <w:r w:rsidR="00D56948" w:rsidRPr="001620BD">
        <w:rPr>
          <w:rFonts w:ascii="Garamond" w:hAnsi="Garamond" w:cs="Times New Roman"/>
          <w:sz w:val="24"/>
          <w:szCs w:val="24"/>
          <w:lang w:val="sq-AL"/>
        </w:rPr>
        <w:t>e ligjit për mbrojtjen e të dhënave personale.</w:t>
      </w:r>
    </w:p>
    <w:p w14:paraId="5DBDBC32" w14:textId="72EF0EAF"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121. Si një derivat i veçantë i parimit të proporcionalitetit, Zyra e Komisionerit mund të konsiderojë të zvogëlojë më tej masën e sanksionit në bazë të paaftësisë së kontrolluesit/përpunuesit për të paguar. Çdo zvogëlim i tillë kërkon rrethana të jashtëzakonshme. Kësisoj, duhet të ketë prova objektive që vendosja e sanksionit do të rrezikonte në mënyrë të pakthyeshme qëndrueshmërinë ekonomike </w:t>
      </w:r>
      <w:r w:rsidR="004B4AEB" w:rsidRPr="001620BD">
        <w:rPr>
          <w:rFonts w:ascii="Garamond" w:hAnsi="Garamond" w:cs="Times New Roman"/>
          <w:sz w:val="24"/>
          <w:szCs w:val="24"/>
          <w:lang w:val="sq-AL"/>
        </w:rPr>
        <w:t xml:space="preserve">të ndërmarrjes </w:t>
      </w:r>
      <w:r w:rsidRPr="001620BD">
        <w:rPr>
          <w:rFonts w:ascii="Garamond" w:hAnsi="Garamond" w:cs="Times New Roman"/>
          <w:sz w:val="24"/>
          <w:szCs w:val="24"/>
          <w:lang w:val="sq-AL"/>
        </w:rPr>
        <w:t>në fjalë. Për më tepër, rreziqet duhet të analizohen në një kontekst specifik social dhe ekonomik.</w:t>
      </w:r>
    </w:p>
    <w:p w14:paraId="52E9B2C4" w14:textId="1EF42D15"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a) </w:t>
      </w:r>
      <w:r w:rsidRPr="001620BD">
        <w:rPr>
          <w:rFonts w:ascii="Garamond" w:hAnsi="Garamond" w:cs="Times New Roman"/>
          <w:b/>
          <w:bCs/>
          <w:sz w:val="24"/>
          <w:szCs w:val="24"/>
          <w:lang w:val="sq-AL"/>
        </w:rPr>
        <w:t>Qëndrueshmëria ekonomike</w:t>
      </w:r>
      <w:r w:rsidRPr="001620BD">
        <w:rPr>
          <w:rFonts w:ascii="Garamond" w:hAnsi="Garamond" w:cs="Times New Roman"/>
          <w:sz w:val="24"/>
          <w:szCs w:val="24"/>
          <w:lang w:val="sq-AL"/>
        </w:rPr>
        <w:t xml:space="preserve">: </w:t>
      </w:r>
      <w:r w:rsidR="00D56948" w:rsidRPr="001620BD">
        <w:rPr>
          <w:rFonts w:ascii="Garamond" w:hAnsi="Garamond" w:cs="Times New Roman"/>
          <w:sz w:val="24"/>
          <w:szCs w:val="24"/>
          <w:lang w:val="sq-AL"/>
        </w:rPr>
        <w:t>n</w:t>
      </w:r>
      <w:r w:rsidRPr="001620BD">
        <w:rPr>
          <w:rFonts w:ascii="Garamond" w:hAnsi="Garamond" w:cs="Times New Roman"/>
          <w:sz w:val="24"/>
          <w:szCs w:val="24"/>
          <w:lang w:val="sq-AL"/>
        </w:rPr>
        <w:t xml:space="preserve">dërmarrja duhet të paraqesë të dhëna të detajuara financiare (për pesë vitet e fundit, si dhe projeksione për vitin aktual dhe dy vite të ardhshme) me qëllim që Zyra e Komisionerit të shqyrtojë zhvillimin e mundshëm në të ardhmen të faktorëve kyç si aftësia paguese, likuiditetit dhe rentabiliteti. Rrethanat e thjeshta që një ndërmarrje është në një situatë të keqe financiare, ose do të jetë pas një mase të madhe sanksioni, nuk e plotëson kërkesën në fjalë, pasi njohja </w:t>
      </w:r>
      <w:r w:rsidRPr="001620BD">
        <w:rPr>
          <w:rFonts w:ascii="Garamond" w:hAnsi="Garamond" w:cs="Times New Roman"/>
          <w:sz w:val="24"/>
          <w:szCs w:val="24"/>
          <w:lang w:val="sq-AL"/>
        </w:rPr>
        <w:lastRenderedPageBreak/>
        <w:t>e një detyrimi të tillë do të ishte e njëjtë me dhënien e një avantazhi konkurrues të pajustifikuar për ndërmarrjet më pak të përshtatura me kushtet e tregut</w:t>
      </w:r>
      <w:r w:rsidRPr="001620BD">
        <w:rPr>
          <w:rStyle w:val="FootnoteReference"/>
          <w:rFonts w:ascii="Garamond" w:hAnsi="Garamond" w:cs="Times New Roman"/>
          <w:sz w:val="24"/>
          <w:szCs w:val="24"/>
          <w:lang w:val="sq-AL"/>
        </w:rPr>
        <w:footnoteReference w:id="34"/>
      </w:r>
      <w:r w:rsidRPr="001620BD">
        <w:rPr>
          <w:rFonts w:ascii="Garamond" w:hAnsi="Garamond" w:cs="Times New Roman"/>
          <w:sz w:val="24"/>
          <w:szCs w:val="24"/>
          <w:lang w:val="sq-AL"/>
        </w:rPr>
        <w:t xml:space="preserve">. </w:t>
      </w:r>
    </w:p>
    <w:p w14:paraId="6A7BE98F" w14:textId="7330CFD4"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b) </w:t>
      </w:r>
      <w:r w:rsidRPr="001620BD">
        <w:rPr>
          <w:rFonts w:ascii="Garamond" w:hAnsi="Garamond" w:cs="Times New Roman"/>
          <w:b/>
          <w:bCs/>
          <w:sz w:val="24"/>
          <w:szCs w:val="24"/>
          <w:lang w:val="sq-AL"/>
        </w:rPr>
        <w:t>Vërtetimi i humbjes së vlerës</w:t>
      </w:r>
      <w:r w:rsidRPr="001620BD">
        <w:rPr>
          <w:rFonts w:ascii="Garamond" w:hAnsi="Garamond" w:cs="Times New Roman"/>
          <w:sz w:val="24"/>
          <w:szCs w:val="24"/>
          <w:lang w:val="sq-AL"/>
        </w:rPr>
        <w:t xml:space="preserve">: </w:t>
      </w:r>
      <w:r w:rsidR="00D56948" w:rsidRPr="001620BD">
        <w:rPr>
          <w:rFonts w:ascii="Garamond" w:hAnsi="Garamond" w:cs="Times New Roman"/>
          <w:sz w:val="24"/>
          <w:szCs w:val="24"/>
          <w:lang w:val="sq-AL"/>
        </w:rPr>
        <w:t>m</w:t>
      </w:r>
      <w:r w:rsidRPr="001620BD">
        <w:rPr>
          <w:rFonts w:ascii="Garamond" w:hAnsi="Garamond" w:cs="Times New Roman"/>
          <w:sz w:val="24"/>
          <w:szCs w:val="24"/>
          <w:lang w:val="sq-AL"/>
        </w:rPr>
        <w:t xml:space="preserve">asa e sanksionit mund të zbritet vetëm nëse vendosja e saj do të rrezikonte qëndrueshmërinë ekonomike </w:t>
      </w:r>
      <w:r w:rsidR="004B4AEB" w:rsidRPr="001620BD">
        <w:rPr>
          <w:rFonts w:ascii="Garamond" w:hAnsi="Garamond" w:cs="Times New Roman"/>
          <w:sz w:val="24"/>
          <w:szCs w:val="24"/>
          <w:lang w:val="sq-AL"/>
        </w:rPr>
        <w:t xml:space="preserve">të ndërmarrjes </w:t>
      </w:r>
      <w:r w:rsidRPr="001620BD">
        <w:rPr>
          <w:rFonts w:ascii="Garamond" w:hAnsi="Garamond" w:cs="Times New Roman"/>
          <w:sz w:val="24"/>
          <w:szCs w:val="24"/>
          <w:lang w:val="sq-AL"/>
        </w:rPr>
        <w:t>dhe do të shkaktonte që asetet/aktivet e saj të humbnin të gjithë ose pjesën më të madhe të vlerës së tyre. Duhet të tregohet një lidhje e drejtpërdrejtë shkakësore midis sanksionit dhe humbjes së konsiderueshme të vlerës së aseteve/aktiveve. Për më tepër, nuk mund të shtrohet për diskutim që masa e sanksionit të ketë kërcënuar qëndrueshmërinë ekonomike të një ndërmarrjeje, kur kjo e fundit kishte vendosur vetë të likuidojë veprimtarinë e saj dhe të shesë të gjitha asetet/aktivet e saj. Ndërmarrja duhet të provojë se ka të ngjarë të dalë nga tregu dhe asetet/aktivet e saj do të copëtohen ose shiten me çmime konsiderueshëm të ulta, pa alternativë për ndërmarrjen (ose asetet/aktivet e saj) të vazhdojnë operimin në treg.</w:t>
      </w:r>
    </w:p>
    <w:p w14:paraId="2EBC036B" w14:textId="1872413E"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 xml:space="preserve">c) </w:t>
      </w:r>
      <w:r w:rsidRPr="001620BD">
        <w:rPr>
          <w:rFonts w:ascii="Garamond" w:hAnsi="Garamond" w:cs="Times New Roman"/>
          <w:b/>
          <w:bCs/>
          <w:sz w:val="24"/>
          <w:szCs w:val="24"/>
          <w:lang w:val="sq-AL"/>
        </w:rPr>
        <w:t>Konteksti specifik social dhe ekonomik</w:t>
      </w:r>
      <w:r w:rsidRPr="001620BD">
        <w:rPr>
          <w:rFonts w:ascii="Garamond" w:hAnsi="Garamond" w:cs="Times New Roman"/>
          <w:sz w:val="24"/>
          <w:szCs w:val="24"/>
          <w:lang w:val="sq-AL"/>
        </w:rPr>
        <w:t xml:space="preserve">: </w:t>
      </w:r>
      <w:r w:rsidR="00D56948" w:rsidRPr="001620BD">
        <w:rPr>
          <w:rFonts w:ascii="Garamond" w:hAnsi="Garamond" w:cs="Times New Roman"/>
          <w:sz w:val="24"/>
          <w:szCs w:val="24"/>
          <w:lang w:val="sq-AL"/>
        </w:rPr>
        <w:t>k</w:t>
      </w:r>
      <w:r w:rsidRPr="001620BD">
        <w:rPr>
          <w:rFonts w:ascii="Garamond" w:hAnsi="Garamond" w:cs="Times New Roman"/>
          <w:sz w:val="24"/>
          <w:szCs w:val="24"/>
          <w:lang w:val="sq-AL"/>
        </w:rPr>
        <w:t>onteksti specifik ekonomik mund të konsiderohet nëse sektori në fjalë po kalon një krizë ciklike (p.sh., vuan nga stoku (</w:t>
      </w:r>
      <w:r w:rsidRPr="001620BD">
        <w:rPr>
          <w:rFonts w:ascii="Garamond" w:hAnsi="Garamond" w:cs="Times New Roman"/>
          <w:i/>
          <w:iCs/>
          <w:sz w:val="24"/>
          <w:szCs w:val="24"/>
          <w:lang w:val="sq-AL"/>
        </w:rPr>
        <w:t>overcapacity</w:t>
      </w:r>
      <w:r w:rsidRPr="001620BD">
        <w:rPr>
          <w:rFonts w:ascii="Garamond" w:hAnsi="Garamond" w:cs="Times New Roman"/>
          <w:sz w:val="24"/>
          <w:szCs w:val="24"/>
          <w:lang w:val="sq-AL"/>
        </w:rPr>
        <w:t>) ose rënia e çmimeve) ose nëse ndërmarrjet kanë vështirësi aksesi në kapital ose kredi, si rezultat i kushteve mbizotëruese ekonomike. Konteksti specifik social ka të ngjarë të jetë i pranishëm në kontekstin e papunësisë së lartë nivel rajonal ose më gjerë.</w:t>
      </w:r>
    </w:p>
    <w:p w14:paraId="7DDBEBFF" w14:textId="557A87C6"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122. Nëse kriteret plotësohen, Zyra e Komisionerit mund të marrë parasysh paaftësinë e ndërmarrjes për të paguar sanksionin dhe të zvogëlojë masën e tij në përputhje me rrethanat.</w:t>
      </w:r>
    </w:p>
    <w:p w14:paraId="78F98474" w14:textId="282B5F26" w:rsidR="00133485" w:rsidRPr="001620BD" w:rsidRDefault="00133485" w:rsidP="00133485">
      <w:pPr>
        <w:pStyle w:val="Heading2"/>
        <w:spacing w:before="0" w:beforeAutospacing="0" w:after="0" w:afterAutospacing="0"/>
        <w:ind w:firstLine="284"/>
        <w:rPr>
          <w:rFonts w:ascii="Garamond" w:hAnsi="Garamond"/>
          <w:szCs w:val="24"/>
        </w:rPr>
      </w:pPr>
      <w:bookmarkStart w:id="51" w:name="_Toc203658685"/>
      <w:r w:rsidRPr="001620BD">
        <w:rPr>
          <w:rFonts w:ascii="Garamond" w:hAnsi="Garamond"/>
          <w:szCs w:val="24"/>
        </w:rPr>
        <w:t xml:space="preserve">7.3 </w:t>
      </w:r>
      <w:bookmarkStart w:id="52" w:name="_Hlk122298535"/>
      <w:r w:rsidRPr="001620BD">
        <w:rPr>
          <w:rFonts w:ascii="Garamond" w:hAnsi="Garamond"/>
          <w:szCs w:val="24"/>
        </w:rPr>
        <w:t xml:space="preserve">Karakteri </w:t>
      </w:r>
      <w:bookmarkEnd w:id="52"/>
      <w:r w:rsidRPr="001620BD">
        <w:rPr>
          <w:rFonts w:ascii="Garamond" w:hAnsi="Garamond"/>
          <w:szCs w:val="24"/>
        </w:rPr>
        <w:t>parandalues</w:t>
      </w:r>
      <w:bookmarkEnd w:id="51"/>
    </w:p>
    <w:p w14:paraId="175B48DC" w14:textId="168FB7DA"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123. Së fundmi, një sanksion me karakter parandalues është ai që ka një efekt të vërtetë frenues. Në këtë aspekt, mund të bëhet një dallim midis frenimit të përgjithshëm (dekurajimit të të tjerëve që të kryejnë të njëjtën shkelje në të ardhmen) dhe frenimit specifik (dekurajimit të shkelësit që të kryejë përsëri të njëjtën shkelje).</w:t>
      </w:r>
    </w:p>
    <w:p w14:paraId="2406D6FF" w14:textId="2941AB13"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124. Një sanksion është me karakter parandalues kur frenon një individ që të shkelë objektivat e ndjekur, si dhe rregullat e përcaktuara, nga dispozitat e ligjit. Vendimtare, në këtë kuadër, nuk është vetëm natyra dhe masa e sanksionit, por edhe mundësia e vendosjes së tij. Kushdo që kryen një shkelje duhet të kuptojë se sanksioni do t</w:t>
      </w:r>
      <w:r w:rsidR="007E1BEE" w:rsidRPr="001620BD">
        <w:rPr>
          <w:rFonts w:ascii="Garamond" w:hAnsi="Garamond" w:cs="Times New Roman"/>
          <w:sz w:val="24"/>
          <w:szCs w:val="24"/>
          <w:lang w:val="sq-AL"/>
        </w:rPr>
        <w:t>’</w:t>
      </w:r>
      <w:r w:rsidRPr="001620BD">
        <w:rPr>
          <w:rFonts w:ascii="Garamond" w:hAnsi="Garamond" w:cs="Times New Roman"/>
          <w:sz w:val="24"/>
          <w:szCs w:val="24"/>
          <w:lang w:val="sq-AL"/>
        </w:rPr>
        <w:t>i vendoset vërtet</w:t>
      </w:r>
      <w:bookmarkStart w:id="53" w:name="_GoBack"/>
      <w:bookmarkEnd w:id="53"/>
      <w:r w:rsidRPr="001620BD">
        <w:rPr>
          <w:rFonts w:ascii="Garamond" w:hAnsi="Garamond" w:cs="Times New Roman"/>
          <w:sz w:val="24"/>
          <w:szCs w:val="24"/>
          <w:lang w:val="sq-AL"/>
        </w:rPr>
        <w:t>.</w:t>
      </w:r>
    </w:p>
    <w:p w14:paraId="1CA43BF1" w14:textId="77777777" w:rsidR="00D56948" w:rsidRPr="001620BD" w:rsidRDefault="00D56948" w:rsidP="00133485">
      <w:pPr>
        <w:pStyle w:val="Heading1"/>
        <w:spacing w:before="0" w:line="240" w:lineRule="auto"/>
        <w:ind w:firstLine="284"/>
        <w:rPr>
          <w:rFonts w:ascii="Garamond" w:hAnsi="Garamond"/>
          <w:b/>
          <w:color w:val="auto"/>
          <w:sz w:val="24"/>
          <w:szCs w:val="24"/>
          <w:lang w:val="sq-AL"/>
        </w:rPr>
      </w:pPr>
      <w:bookmarkStart w:id="54" w:name="_Toc203658686"/>
    </w:p>
    <w:p w14:paraId="30DEA79F" w14:textId="68D15B5F" w:rsidR="00D56948" w:rsidRPr="001620BD" w:rsidRDefault="00133485" w:rsidP="00D56948">
      <w:pPr>
        <w:pStyle w:val="Heading1"/>
        <w:spacing w:before="0" w:line="240" w:lineRule="auto"/>
        <w:ind w:firstLine="284"/>
        <w:jc w:val="center"/>
        <w:rPr>
          <w:rFonts w:ascii="Garamond" w:hAnsi="Garamond"/>
          <w:color w:val="auto"/>
          <w:sz w:val="24"/>
          <w:szCs w:val="24"/>
          <w:lang w:val="sq-AL"/>
        </w:rPr>
      </w:pPr>
      <w:r w:rsidRPr="001620BD">
        <w:rPr>
          <w:rFonts w:ascii="Garamond" w:hAnsi="Garamond"/>
          <w:color w:val="auto"/>
          <w:sz w:val="24"/>
          <w:szCs w:val="24"/>
          <w:lang w:val="sq-AL"/>
        </w:rPr>
        <w:t>KAPITULLI 8</w:t>
      </w:r>
    </w:p>
    <w:p w14:paraId="3572BB85" w14:textId="432300B3" w:rsidR="00133485" w:rsidRPr="001620BD" w:rsidRDefault="00133485" w:rsidP="00D56948">
      <w:pPr>
        <w:pStyle w:val="Heading1"/>
        <w:spacing w:before="0" w:line="240" w:lineRule="auto"/>
        <w:ind w:firstLine="284"/>
        <w:jc w:val="center"/>
        <w:rPr>
          <w:rFonts w:ascii="Garamond" w:hAnsi="Garamond"/>
          <w:color w:val="auto"/>
          <w:sz w:val="24"/>
          <w:szCs w:val="24"/>
          <w:lang w:val="sq-AL"/>
        </w:rPr>
      </w:pPr>
      <w:r w:rsidRPr="001620BD">
        <w:rPr>
          <w:rFonts w:ascii="Garamond" w:hAnsi="Garamond"/>
          <w:color w:val="auto"/>
          <w:sz w:val="24"/>
          <w:szCs w:val="24"/>
          <w:lang w:val="sq-AL"/>
        </w:rPr>
        <w:t>FLEKSIBILITETI DHE VLERËSIMI I RREGULLT</w:t>
      </w:r>
      <w:bookmarkEnd w:id="54"/>
    </w:p>
    <w:p w14:paraId="7ED2215F" w14:textId="77777777" w:rsidR="00D56948" w:rsidRPr="001620BD" w:rsidRDefault="00D56948" w:rsidP="00133485">
      <w:pPr>
        <w:spacing w:after="0" w:line="240" w:lineRule="auto"/>
        <w:ind w:firstLine="284"/>
        <w:jc w:val="both"/>
        <w:rPr>
          <w:rFonts w:ascii="Garamond" w:hAnsi="Garamond" w:cs="Times New Roman"/>
          <w:sz w:val="24"/>
          <w:szCs w:val="24"/>
          <w:lang w:val="sq-AL"/>
        </w:rPr>
      </w:pPr>
    </w:p>
    <w:p w14:paraId="0D90B0B7" w14:textId="639C50BC" w:rsidR="00133485" w:rsidRPr="001620BD" w:rsidRDefault="00133485" w:rsidP="00133485">
      <w:pPr>
        <w:spacing w:after="0" w:line="240" w:lineRule="auto"/>
        <w:ind w:firstLine="284"/>
        <w:jc w:val="both"/>
        <w:rPr>
          <w:rFonts w:ascii="Garamond" w:hAnsi="Garamond" w:cs="Times New Roman"/>
          <w:sz w:val="24"/>
          <w:szCs w:val="24"/>
          <w:lang w:val="sq-AL"/>
        </w:rPr>
      </w:pPr>
      <w:r w:rsidRPr="001620BD">
        <w:rPr>
          <w:rFonts w:ascii="Garamond" w:hAnsi="Garamond" w:cs="Times New Roman"/>
          <w:sz w:val="24"/>
          <w:szCs w:val="24"/>
          <w:lang w:val="sq-AL"/>
        </w:rPr>
        <w:t>125. Kapitujt e mësipërm pasqyrojnë një metodologji të përgjithshme për përllogaritjen e masave të sanksioneve. Megjithatë, kjo metodologji e përgjithshme nuk duhet të keqkuptohet si një formë përllogaritjeje automatike, ose aritmetike, e masës së sanksionit. Caktimi individual i sanksionit duhet të bazohet gjithmonë në vlerësimin njerëzor të të gjitha rrethanave përkatëse të çështjes dhe duhet të jetë efektiv, proporcional dhe me karakter parandalues në lidhje me atë çështje specifike.</w:t>
      </w:r>
    </w:p>
    <w:p w14:paraId="710FAFA3" w14:textId="0A93D511" w:rsidR="0018175F" w:rsidRPr="001620BD" w:rsidRDefault="00133485" w:rsidP="0060740E">
      <w:pPr>
        <w:spacing w:after="0" w:line="240" w:lineRule="auto"/>
        <w:ind w:firstLine="284"/>
        <w:jc w:val="both"/>
        <w:rPr>
          <w:lang w:val="sq-AL"/>
        </w:rPr>
      </w:pPr>
      <w:r w:rsidRPr="001620BD">
        <w:rPr>
          <w:rFonts w:ascii="Garamond" w:hAnsi="Garamond" w:cs="Times New Roman"/>
          <w:sz w:val="24"/>
          <w:szCs w:val="24"/>
          <w:lang w:val="sq-AL"/>
        </w:rPr>
        <w:t xml:space="preserve">126. Duhet mbajtur parasysh se kjo metodologji nuk mund të parashikojë çdo veçori të mundshme të një rasti shkeljeje dhe për rrjedhojë nuk mund të jetë shteruese. Rrjedhimisht, kjo metodologji i nënshtrohet rishikimit të rregullt për të vlerësuar nëse zbatimi i saj përmbush efektivisht objektivat e kërkuar nga </w:t>
      </w:r>
      <w:r w:rsidR="0060740E" w:rsidRPr="001620BD">
        <w:rPr>
          <w:rFonts w:ascii="Garamond" w:hAnsi="Garamond" w:cs="Times New Roman"/>
          <w:sz w:val="24"/>
          <w:szCs w:val="24"/>
          <w:lang w:val="sq-AL"/>
        </w:rPr>
        <w:t xml:space="preserve">ligji për mbrojtjen e të dhënave personale. </w:t>
      </w:r>
      <w:r w:rsidR="00D75708" w:rsidRPr="001620BD">
        <w:rPr>
          <w:rFonts w:ascii="Garamond" w:hAnsi="Garamond" w:cs="Times New Roman"/>
          <w:sz w:val="24"/>
          <w:szCs w:val="24"/>
          <w:lang w:val="sq-AL"/>
        </w:rPr>
        <w:t>Z</w:t>
      </w:r>
      <w:r w:rsidR="0060740E" w:rsidRPr="001620BD">
        <w:rPr>
          <w:rFonts w:ascii="Garamond" w:hAnsi="Garamond" w:cs="Times New Roman"/>
          <w:sz w:val="24"/>
          <w:szCs w:val="24"/>
          <w:lang w:val="sq-AL"/>
        </w:rPr>
        <w:t>yra</w:t>
      </w:r>
      <w:r w:rsidR="00D75708" w:rsidRPr="001620BD">
        <w:rPr>
          <w:rFonts w:ascii="Garamond" w:hAnsi="Garamond" w:cs="Times New Roman"/>
          <w:sz w:val="24"/>
          <w:szCs w:val="24"/>
          <w:lang w:val="sq-AL"/>
        </w:rPr>
        <w:t xml:space="preserve"> </w:t>
      </w:r>
      <w:r w:rsidRPr="001620BD">
        <w:rPr>
          <w:rFonts w:ascii="Garamond" w:hAnsi="Garamond" w:cs="Times New Roman"/>
          <w:sz w:val="24"/>
          <w:szCs w:val="24"/>
          <w:lang w:val="sq-AL"/>
        </w:rPr>
        <w:t>e Komisionerit mund ta rishikojë këtë metodologji bazuar në përvojat e mëtejshme të saj në zbatimin praktik të përditshëm të ligjit</w:t>
      </w:r>
      <w:r w:rsidR="005F1B9B" w:rsidRPr="001620BD">
        <w:rPr>
          <w:rFonts w:ascii="Garamond" w:hAnsi="Garamond" w:cs="Times New Roman"/>
          <w:sz w:val="24"/>
          <w:szCs w:val="24"/>
          <w:lang w:val="sq-AL"/>
        </w:rPr>
        <w:t>,</w:t>
      </w:r>
      <w:r w:rsidRPr="001620BD">
        <w:rPr>
          <w:rFonts w:ascii="Garamond" w:hAnsi="Garamond" w:cs="Times New Roman"/>
          <w:sz w:val="24"/>
          <w:szCs w:val="24"/>
          <w:lang w:val="sq-AL"/>
        </w:rPr>
        <w:t xml:space="preserve"> si dhe bazuar në praktikën e ndjekur nga autoritetet mbikëqyrëse të BE</w:t>
      </w:r>
      <w:r w:rsidR="0060740E" w:rsidRPr="001620BD">
        <w:rPr>
          <w:rFonts w:ascii="Garamond" w:hAnsi="Garamond" w:cs="Times New Roman"/>
          <w:sz w:val="24"/>
          <w:szCs w:val="24"/>
          <w:lang w:val="sq-AL"/>
        </w:rPr>
        <w:t>-së</w:t>
      </w:r>
      <w:r w:rsidRPr="001620BD">
        <w:rPr>
          <w:rFonts w:ascii="Garamond" w:hAnsi="Garamond" w:cs="Times New Roman"/>
          <w:sz w:val="24"/>
          <w:szCs w:val="24"/>
          <w:lang w:val="sq-AL"/>
        </w:rPr>
        <w:t xml:space="preserve"> dhe, veçanërisht, BEMD</w:t>
      </w:r>
      <w:r w:rsidR="00F756DC" w:rsidRPr="001620BD">
        <w:rPr>
          <w:rFonts w:ascii="Garamond" w:hAnsi="Garamond" w:cs="Times New Roman"/>
          <w:sz w:val="24"/>
          <w:szCs w:val="24"/>
          <w:lang w:val="sq-AL"/>
        </w:rPr>
        <w:t>-ja</w:t>
      </w:r>
      <w:r w:rsidRPr="001620BD">
        <w:rPr>
          <w:rFonts w:ascii="Garamond" w:hAnsi="Garamond" w:cs="Times New Roman"/>
          <w:sz w:val="24"/>
          <w:szCs w:val="24"/>
          <w:lang w:val="sq-AL"/>
        </w:rPr>
        <w:t>. Zyra e Komisionerit mund të shfuqizojë, ndryshojë, kufizojë ose zëvendësojë këtë metodologji në çdo kohë të caktuar, me efekt për të ardhmen.</w:t>
      </w:r>
    </w:p>
    <w:sectPr w:rsidR="0018175F" w:rsidRPr="001620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67F749" w14:textId="77777777" w:rsidR="00B77B37" w:rsidRDefault="00B77B37" w:rsidP="006B2EC8">
      <w:pPr>
        <w:spacing w:after="0" w:line="240" w:lineRule="auto"/>
      </w:pPr>
      <w:r>
        <w:separator/>
      </w:r>
    </w:p>
  </w:endnote>
  <w:endnote w:type="continuationSeparator" w:id="0">
    <w:p w14:paraId="6E7A0C5A" w14:textId="77777777" w:rsidR="00B77B37" w:rsidRDefault="00B77B37" w:rsidP="006B2EC8">
      <w:pPr>
        <w:spacing w:after="0" w:line="240" w:lineRule="auto"/>
      </w:pPr>
      <w:r>
        <w:continuationSeparator/>
      </w:r>
    </w:p>
  </w:endnote>
  <w:endnote w:type="continuationNotice" w:id="1">
    <w:p w14:paraId="2D6D322B" w14:textId="77777777" w:rsidR="00B77B37" w:rsidRDefault="00B77B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EUAlbertina">
    <w:altName w:val="EU Albertin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D1A49B" w14:textId="77777777" w:rsidR="00B77B37" w:rsidRDefault="00B77B37" w:rsidP="006B2EC8">
      <w:pPr>
        <w:spacing w:after="0" w:line="240" w:lineRule="auto"/>
      </w:pPr>
      <w:r>
        <w:separator/>
      </w:r>
    </w:p>
  </w:footnote>
  <w:footnote w:type="continuationSeparator" w:id="0">
    <w:p w14:paraId="4AC86303" w14:textId="77777777" w:rsidR="00B77B37" w:rsidRDefault="00B77B37" w:rsidP="006B2EC8">
      <w:pPr>
        <w:spacing w:after="0" w:line="240" w:lineRule="auto"/>
      </w:pPr>
      <w:r>
        <w:continuationSeparator/>
      </w:r>
    </w:p>
  </w:footnote>
  <w:footnote w:type="continuationNotice" w:id="1">
    <w:p w14:paraId="70D32F70" w14:textId="77777777" w:rsidR="00B77B37" w:rsidRDefault="00B77B37">
      <w:pPr>
        <w:spacing w:after="0" w:line="240" w:lineRule="auto"/>
      </w:pPr>
    </w:p>
  </w:footnote>
  <w:footnote w:id="2">
    <w:p w14:paraId="5E412C66" w14:textId="6543DA8B"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Shiko, për shembull, çështjen C-189/02 P, C-202/02 P, C-205/02 P to C208/02 P and C-213/02 P, </w:t>
      </w:r>
      <w:r w:rsidRPr="00C641F8">
        <w:rPr>
          <w:rFonts w:ascii="Garamond" w:hAnsi="Garamond" w:cs="Times New Roman"/>
          <w:i/>
          <w:iCs/>
        </w:rPr>
        <w:t>Dansk Rørindustri A/S dhe të tjerët kundër Komisionit,</w:t>
      </w:r>
      <w:r w:rsidRPr="00C641F8">
        <w:rPr>
          <w:rFonts w:ascii="Garamond" w:hAnsi="Garamond" w:cs="Times New Roman"/>
        </w:rPr>
        <w:t xml:space="preserve"> paragrafi. 172 dhe çështjen T-91/11, </w:t>
      </w:r>
      <w:r w:rsidRPr="00C641F8">
        <w:rPr>
          <w:rFonts w:ascii="Garamond" w:hAnsi="Garamond" w:cs="Times New Roman"/>
          <w:i/>
          <w:iCs/>
        </w:rPr>
        <w:t>InnoLux Corp. kundër Komisionit</w:t>
      </w:r>
      <w:r w:rsidRPr="00C641F8">
        <w:rPr>
          <w:rFonts w:ascii="Garamond" w:hAnsi="Garamond" w:cs="Times New Roman"/>
        </w:rPr>
        <w:t>, paragrafi 88.</w:t>
      </w:r>
    </w:p>
  </w:footnote>
  <w:footnote w:id="3">
    <w:p w14:paraId="05513D18" w14:textId="49605E11" w:rsidR="00B77B37" w:rsidRPr="00C641F8" w:rsidRDefault="00B77B37" w:rsidP="00373EAB">
      <w:pPr>
        <w:pStyle w:val="FootnoteText"/>
        <w:jc w:val="both"/>
        <w:rPr>
          <w:rFonts w:ascii="Garamond" w:hAnsi="Garamond"/>
        </w:rPr>
      </w:pPr>
      <w:r w:rsidRPr="00C641F8">
        <w:rPr>
          <w:rStyle w:val="FootnoteReference"/>
          <w:rFonts w:ascii="Garamond" w:hAnsi="Garamond" w:cs="Times New Roman"/>
        </w:rPr>
        <w:footnoteRef/>
      </w:r>
      <w:r w:rsidRPr="00C641F8">
        <w:rPr>
          <w:rFonts w:ascii="Garamond" w:hAnsi="Garamond" w:cs="Times New Roman"/>
        </w:rPr>
        <w:t xml:space="preserve"> Ky është qëndrim </w:t>
      </w:r>
      <w:r w:rsidRPr="00C641F8">
        <w:rPr>
          <w:rFonts w:ascii="Garamond" w:hAnsi="Garamond" w:cs="Times New Roman"/>
          <w:i/>
          <w:iCs/>
        </w:rPr>
        <w:t xml:space="preserve">in expressi verbis </w:t>
      </w:r>
      <w:r w:rsidRPr="00C641F8">
        <w:rPr>
          <w:rFonts w:ascii="Garamond" w:hAnsi="Garamond" w:cs="Times New Roman"/>
        </w:rPr>
        <w:t>i Bordit Evropian për Mbrojtjen e të Dhënave, në udhëzuesin e miratuar nga ky Bord në lidhje me përllogaritjen e sanksioneve administrative.</w:t>
      </w:r>
    </w:p>
  </w:footnote>
  <w:footnote w:id="4">
    <w:p w14:paraId="36DD50AF" w14:textId="77777777"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I referuar edhe si “</w:t>
      </w:r>
      <w:r w:rsidRPr="00C641F8">
        <w:rPr>
          <w:rFonts w:ascii="Garamond" w:hAnsi="Garamond" w:cs="Times New Roman"/>
          <w:i/>
          <w:iCs/>
        </w:rPr>
        <w:t>konkurrenc</w:t>
      </w:r>
      <w:r w:rsidRPr="00C641F8">
        <w:rPr>
          <w:rFonts w:ascii="Garamond" w:hAnsi="Garamond" w:cs="Times New Roman"/>
          <w:i/>
        </w:rPr>
        <w:t>ë</w:t>
      </w:r>
      <w:r w:rsidRPr="00C641F8">
        <w:rPr>
          <w:rFonts w:ascii="Garamond" w:hAnsi="Garamond" w:cs="Times New Roman"/>
          <w:i/>
          <w:iCs/>
        </w:rPr>
        <w:t xml:space="preserve"> n</w:t>
      </w:r>
      <w:r w:rsidRPr="00C641F8">
        <w:rPr>
          <w:rFonts w:ascii="Garamond" w:hAnsi="Garamond" w:cs="Times New Roman"/>
        </w:rPr>
        <w:t>ë</w:t>
      </w:r>
      <w:r w:rsidRPr="00C641F8">
        <w:rPr>
          <w:rFonts w:ascii="Garamond" w:hAnsi="Garamond" w:cs="Times New Roman"/>
          <w:i/>
          <w:iCs/>
        </w:rPr>
        <w:t xml:space="preserve"> dukje</w:t>
      </w:r>
      <w:r w:rsidRPr="00C641F8">
        <w:rPr>
          <w:rFonts w:ascii="Garamond" w:hAnsi="Garamond" w:cs="Times New Roman"/>
        </w:rPr>
        <w:t>” ose “</w:t>
      </w:r>
      <w:r w:rsidRPr="00C641F8">
        <w:rPr>
          <w:rFonts w:ascii="Garamond" w:hAnsi="Garamond" w:cs="Times New Roman"/>
          <w:i/>
          <w:iCs/>
        </w:rPr>
        <w:t>konkurrencë false</w:t>
      </w:r>
      <w:r w:rsidRPr="00C641F8">
        <w:rPr>
          <w:rFonts w:ascii="Garamond" w:hAnsi="Garamond" w:cs="Times New Roman"/>
        </w:rPr>
        <w:t>”.</w:t>
      </w:r>
    </w:p>
  </w:footnote>
  <w:footnote w:id="5">
    <w:p w14:paraId="636D1DF2" w14:textId="77777777"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I referuar edhe si “</w:t>
      </w:r>
      <w:r w:rsidRPr="00C641F8">
        <w:rPr>
          <w:rFonts w:ascii="Garamond" w:hAnsi="Garamond" w:cs="Times New Roman"/>
          <w:i/>
          <w:iCs/>
        </w:rPr>
        <w:t>konkurrencë ideale</w:t>
      </w:r>
      <w:r w:rsidRPr="00C641F8">
        <w:rPr>
          <w:rFonts w:ascii="Garamond" w:hAnsi="Garamond" w:cs="Times New Roman"/>
        </w:rPr>
        <w:t>”.</w:t>
      </w:r>
    </w:p>
  </w:footnote>
  <w:footnote w:id="6">
    <w:p w14:paraId="6C22AB9F" w14:textId="77777777"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I referuar edhe si “</w:t>
      </w:r>
      <w:r w:rsidRPr="00C641F8">
        <w:rPr>
          <w:rFonts w:ascii="Garamond" w:hAnsi="Garamond" w:cs="Times New Roman"/>
          <w:i/>
          <w:iCs/>
        </w:rPr>
        <w:t>konkurrencë reale</w:t>
      </w:r>
      <w:r w:rsidRPr="00C641F8">
        <w:rPr>
          <w:rFonts w:ascii="Garamond" w:hAnsi="Garamond" w:cs="Times New Roman"/>
        </w:rPr>
        <w:t>”, “</w:t>
      </w:r>
      <w:r w:rsidRPr="00C641F8">
        <w:rPr>
          <w:rFonts w:ascii="Garamond" w:hAnsi="Garamond" w:cs="Times New Roman"/>
          <w:i/>
          <w:iCs/>
        </w:rPr>
        <w:t>konkurrencë faktike</w:t>
      </w:r>
      <w:r w:rsidRPr="00C641F8">
        <w:rPr>
          <w:rFonts w:ascii="Garamond" w:hAnsi="Garamond" w:cs="Times New Roman"/>
        </w:rPr>
        <w:t>” ose “</w:t>
      </w:r>
      <w:r w:rsidRPr="00C641F8">
        <w:rPr>
          <w:rFonts w:ascii="Garamond" w:hAnsi="Garamond" w:cs="Times New Roman"/>
          <w:i/>
          <w:iCs/>
        </w:rPr>
        <w:t>konkurrencë e rastësishme</w:t>
      </w:r>
      <w:r w:rsidRPr="00C641F8">
        <w:rPr>
          <w:rFonts w:ascii="Garamond" w:hAnsi="Garamond" w:cs="Times New Roman"/>
        </w:rPr>
        <w:t>”.</w:t>
      </w:r>
    </w:p>
  </w:footnote>
  <w:footnote w:id="7">
    <w:p w14:paraId="091EE362" w14:textId="60855E0B"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w:t>
      </w:r>
      <w:r w:rsidRPr="00C641F8">
        <w:rPr>
          <w:rFonts w:ascii="Garamond" w:eastAsia="Times New Roman" w:hAnsi="Garamond" w:cs="Times New Roman"/>
          <w:color w:val="000000"/>
        </w:rPr>
        <w:t xml:space="preserve">Gjykata e Drejtësisë në përgjithësi pranon që llogaritjet të fillojnë nga një pikënisje abstrakte. Veçanërisht në çështjet e përbashkëta C-189/02 P, C-202/02 P, C-205/02 P deri C-208/02 P </w:t>
      </w:r>
      <w:r w:rsidRPr="00C641F8">
        <w:rPr>
          <w:rFonts w:ascii="Garamond" w:eastAsia="Times New Roman" w:hAnsi="Garamond" w:cs="Times New Roman"/>
          <w:color w:val="000000"/>
        </w:rPr>
        <w:t>dhe C</w:t>
      </w:r>
      <w:r w:rsidRPr="00C641F8">
        <w:rPr>
          <w:rFonts w:ascii="Garamond" w:eastAsia="Times New Roman" w:hAnsi="Garamond" w:cs="Times New Roman"/>
          <w:color w:val="000000"/>
        </w:rPr>
        <w:noBreakHyphen/>
        <w:t>213/02 P, Dansk Rørindustri, por edhe në ato të kohëve më të fundit, si çështja T- 15/02, BASF AG kundër Komisionit, paragrafi 120-121; 134, çështja C-227/14 P, LG Display Co. Ltd kundër Komisionit, paragrafi 53 dhe çështja T-26/02, Daiichi Pharmaceutical Co. Ltd kundër Komisionit, paragrafi 50.</w:t>
      </w:r>
    </w:p>
  </w:footnote>
  <w:footnote w:id="8">
    <w:p w14:paraId="0105DA62" w14:textId="69FACDED"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Shih recitalin 75 të rregullores së BE-së.</w:t>
      </w:r>
    </w:p>
  </w:footnote>
  <w:footnote w:id="9">
    <w:p w14:paraId="5897826B" w14:textId="20953A6B"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Shih udhëzimet e Grupit të </w:t>
      </w:r>
      <w:r w:rsidRPr="00C641F8">
        <w:rPr>
          <w:rFonts w:ascii="Garamond" w:hAnsi="Garamond" w:cs="Times New Roman"/>
        </w:rPr>
        <w:t>Punës 253 (WP253) të BEMD-së, f. 11.</w:t>
      </w:r>
    </w:p>
  </w:footnote>
  <w:footnote w:id="10">
    <w:p w14:paraId="47733224" w14:textId="1FCEBEB1"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Shih udhëzimet e Grupit të </w:t>
      </w:r>
      <w:r w:rsidRPr="00C641F8">
        <w:rPr>
          <w:rFonts w:ascii="Garamond" w:hAnsi="Garamond" w:cs="Times New Roman"/>
        </w:rPr>
        <w:t>Punës 253 (WP253) të BEMD-së, f. 12.</w:t>
      </w:r>
    </w:p>
  </w:footnote>
  <w:footnote w:id="11">
    <w:p w14:paraId="29576A44" w14:textId="77777777" w:rsidR="00B77B37" w:rsidRPr="00C641F8" w:rsidRDefault="00B77B37" w:rsidP="00373EAB">
      <w:pPr>
        <w:pStyle w:val="FootnoteText"/>
        <w:tabs>
          <w:tab w:val="left" w:pos="180"/>
        </w:tabs>
        <w:jc w:val="both"/>
        <w:rPr>
          <w:rFonts w:ascii="Garamond" w:hAnsi="Garamond"/>
        </w:rPr>
      </w:pPr>
      <w:r w:rsidRPr="00C641F8">
        <w:rPr>
          <w:rStyle w:val="FootnoteReference"/>
          <w:rFonts w:ascii="Garamond" w:hAnsi="Garamond" w:cs="Times New Roman"/>
        </w:rPr>
        <w:footnoteRef/>
      </w:r>
      <w:r w:rsidRPr="00C641F8">
        <w:rPr>
          <w:rFonts w:ascii="Garamond" w:hAnsi="Garamond" w:cs="Times New Roman"/>
        </w:rPr>
        <w:tab/>
        <w:t xml:space="preserve">Përhapja e komunikimeve private dhe të dhënave të vendndodhjes mund të shkaktojë dëme ose shqetësime të menjëhershme për subjektin e të dhënave, gjë që është theksuar nga mbrojtja e veçantë e dhënë nga ligjvënësi i BE- për komunikimet private në nenin 7 të Kartës së të Drejtave Themelore dhe Direktivës 2002/58/KE, </w:t>
      </w:r>
      <w:r w:rsidRPr="00C641F8">
        <w:rPr>
          <w:rFonts w:ascii="Garamond" w:hAnsi="Garamond" w:cs="Times New Roman"/>
        </w:rPr>
        <w:t>si dhe nga GJED për të dhënat e vendndodhjes në raste të caktuara, shih çështjet e përbashkëta C-511/18, C-512/18 dhe C-520/18, La Quadrature du Net et al, paragrafi 117 dhe praktika gjyqësore e cituar atje.</w:t>
      </w:r>
    </w:p>
  </w:footnote>
  <w:footnote w:id="12">
    <w:p w14:paraId="19948EB8" w14:textId="293686E1"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Xhiroja e ndërmarrjes shtjellohet më tej në kapitullin 6.2 të këtij dokumenti.</w:t>
      </w:r>
    </w:p>
  </w:footnote>
  <w:footnote w:id="13">
    <w:p w14:paraId="7333DE6A" w14:textId="5029191F"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Shih kapitullin 7.</w:t>
      </w:r>
    </w:p>
  </w:footnote>
  <w:footnote w:id="14">
    <w:p w14:paraId="27E883D7" w14:textId="497B76D4" w:rsidR="00B77B37" w:rsidRPr="00C641F8" w:rsidRDefault="00B77B37" w:rsidP="00373EAB">
      <w:pPr>
        <w:autoSpaceDE w:val="0"/>
        <w:autoSpaceDN w:val="0"/>
        <w:adjustRightInd w:val="0"/>
        <w:spacing w:after="0" w:line="240" w:lineRule="auto"/>
        <w:jc w:val="both"/>
        <w:rPr>
          <w:rFonts w:ascii="Garamond" w:hAnsi="Garamond" w:cs="Times New Roman"/>
          <w:sz w:val="20"/>
          <w:szCs w:val="20"/>
          <w:lang w:val="sq-AL"/>
        </w:rPr>
      </w:pPr>
      <w:r w:rsidRPr="00C641F8">
        <w:rPr>
          <w:rStyle w:val="FootnoteReference"/>
          <w:rFonts w:ascii="Garamond" w:hAnsi="Garamond" w:cs="Times New Roman"/>
          <w:sz w:val="20"/>
          <w:szCs w:val="20"/>
          <w:lang w:val="sq-AL"/>
        </w:rPr>
        <w:footnoteRef/>
      </w:r>
      <w:r w:rsidRPr="00C641F8">
        <w:rPr>
          <w:rFonts w:ascii="Garamond" w:hAnsi="Garamond" w:cs="Times New Roman"/>
          <w:sz w:val="20"/>
          <w:szCs w:val="20"/>
          <w:lang w:val="sq-AL"/>
        </w:rPr>
        <w:t xml:space="preserve"> Këto vlera i referon dispozitave të ligjit nr. 43/2022, datë 21.4.2022, “</w:t>
      </w:r>
      <w:r w:rsidRPr="00C641F8">
        <w:rPr>
          <w:rFonts w:ascii="Garamond" w:hAnsi="Garamond" w:cs="Times New Roman"/>
          <w:iCs/>
          <w:sz w:val="20"/>
          <w:szCs w:val="20"/>
          <w:lang w:val="sq-AL"/>
        </w:rPr>
        <w:t xml:space="preserve">Për </w:t>
      </w:r>
      <w:r w:rsidRPr="00C641F8">
        <w:rPr>
          <w:rFonts w:ascii="Garamond" w:hAnsi="Garamond" w:cs="Times New Roman"/>
          <w:iCs/>
          <w:sz w:val="20"/>
          <w:szCs w:val="20"/>
          <w:lang w:val="sq-AL"/>
        </w:rPr>
        <w:t>zhvillimin e ndërmarrjeve mikro, të vogla dhe të mesme</w:t>
      </w:r>
      <w:r w:rsidRPr="00C641F8">
        <w:rPr>
          <w:rFonts w:ascii="Garamond" w:hAnsi="Garamond" w:cs="Times New Roman"/>
          <w:sz w:val="20"/>
          <w:szCs w:val="20"/>
          <w:lang w:val="sq-AL"/>
        </w:rPr>
        <w:t>”, i cili parashikon kategorizimin e ndërmarrjeve, sipas xhiros së tyre, në të vogla, të mesme dhe të mëdha.</w:t>
      </w:r>
    </w:p>
  </w:footnote>
  <w:footnote w:id="15">
    <w:p w14:paraId="1E16A859" w14:textId="375B49EB" w:rsidR="00B77B37" w:rsidRPr="00C641F8" w:rsidRDefault="00B77B37" w:rsidP="00373EAB">
      <w:pPr>
        <w:pStyle w:val="FootnoteText"/>
        <w:jc w:val="both"/>
        <w:rPr>
          <w:rFonts w:ascii="Garamond" w:hAnsi="Garamond" w:cs="Times New Roman"/>
          <w:highlight w:val="yellow"/>
        </w:rPr>
      </w:pPr>
      <w:r w:rsidRPr="00C641F8">
        <w:rPr>
          <w:rStyle w:val="FootnoteReference"/>
          <w:rFonts w:ascii="Garamond" w:hAnsi="Garamond" w:cs="Times New Roman"/>
        </w:rPr>
        <w:footnoteRef/>
      </w:r>
      <w:r w:rsidRPr="00C641F8">
        <w:rPr>
          <w:rFonts w:ascii="Garamond" w:hAnsi="Garamond" w:cs="Times New Roman"/>
        </w:rPr>
        <w:t xml:space="preserve"> Këto shifra shtohen për të kapërcyer hendekun midis pragut më të lartë të paragrafit të mëparshëm dhe pragut të xhiros vjetore të identifikuar në pikat 1, 2 dhe 3 të nenit 94 të ligjit për mbrojtjen e të dhënave.</w:t>
      </w:r>
    </w:p>
  </w:footnote>
  <w:footnote w:id="16">
    <w:p w14:paraId="66451E9E" w14:textId="5A1D1474" w:rsidR="00B77B37" w:rsidRPr="00C641F8" w:rsidRDefault="00B77B37" w:rsidP="00373EAB">
      <w:pPr>
        <w:pStyle w:val="FootnoteText"/>
        <w:jc w:val="both"/>
        <w:rPr>
          <w:rFonts w:ascii="Garamond" w:hAnsi="Garamond"/>
        </w:rPr>
      </w:pPr>
      <w:r w:rsidRPr="00C641F8">
        <w:rPr>
          <w:rStyle w:val="FootnoteReference"/>
          <w:rFonts w:ascii="Garamond" w:hAnsi="Garamond" w:cs="Times New Roman"/>
        </w:rPr>
        <w:footnoteRef/>
      </w:r>
      <w:r w:rsidRPr="00C641F8">
        <w:rPr>
          <w:rFonts w:ascii="Garamond" w:hAnsi="Garamond" w:cs="Times New Roman"/>
        </w:rPr>
        <w:t xml:space="preserve"> </w:t>
      </w:r>
      <w:r w:rsidRPr="00C641F8">
        <w:rPr>
          <w:rFonts w:ascii="Garamond" w:hAnsi="Garamond" w:cs="Times New Roman"/>
        </w:rPr>
        <w:t>Shih paragrafin 49</w:t>
      </w:r>
      <w:r w:rsidR="00243D14">
        <w:rPr>
          <w:rFonts w:ascii="Garamond" w:hAnsi="Garamond" w:cs="Times New Roman"/>
        </w:rPr>
        <w:t xml:space="preserve"> </w:t>
      </w:r>
      <w:r w:rsidRPr="00C641F8">
        <w:rPr>
          <w:rFonts w:ascii="Garamond" w:hAnsi="Garamond" w:cs="Times New Roman"/>
        </w:rPr>
        <w:t>më sipër.</w:t>
      </w:r>
    </w:p>
  </w:footnote>
  <w:footnote w:id="17">
    <w:p w14:paraId="04B48DC3" w14:textId="77777777"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Sepse kjo vlerë është me e lartë se 4 % e xhiros së kontrolluesit, e cila përkon me 200 000 000 lekë.</w:t>
      </w:r>
    </w:p>
  </w:footnote>
  <w:footnote w:id="18">
    <w:p w14:paraId="1DAF16B5" w14:textId="77777777" w:rsidR="00B77B37" w:rsidRPr="00C641F8" w:rsidRDefault="00B77B37" w:rsidP="00373EAB">
      <w:pPr>
        <w:pStyle w:val="FootnoteText"/>
        <w:jc w:val="both"/>
        <w:rPr>
          <w:rFonts w:ascii="Garamond" w:hAnsi="Garamond"/>
        </w:rPr>
      </w:pPr>
      <w:r w:rsidRPr="00C641F8">
        <w:rPr>
          <w:rStyle w:val="FootnoteReference"/>
          <w:rFonts w:ascii="Garamond" w:hAnsi="Garamond" w:cs="Times New Roman"/>
        </w:rPr>
        <w:footnoteRef/>
      </w:r>
      <w:r w:rsidRPr="00C641F8">
        <w:rPr>
          <w:rFonts w:ascii="Garamond" w:hAnsi="Garamond" w:cs="Times New Roman"/>
        </w:rPr>
        <w:t xml:space="preserve"> Po aty.</w:t>
      </w:r>
    </w:p>
  </w:footnote>
  <w:footnote w:id="19">
    <w:p w14:paraId="6106DF51" w14:textId="77777777"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Shih paragrafin 70, më poshtë.</w:t>
      </w:r>
    </w:p>
  </w:footnote>
  <w:footnote w:id="20">
    <w:p w14:paraId="5FB1FDCA" w14:textId="6299A9BD"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Duhet theksuar se një cenim të </w:t>
      </w:r>
      <w:r w:rsidRPr="00C641F8">
        <w:rPr>
          <w:rFonts w:ascii="Garamond" w:hAnsi="Garamond" w:cs="Times New Roman"/>
        </w:rPr>
        <w:t>dhënash personale (</w:t>
      </w:r>
      <w:r w:rsidRPr="00C641F8">
        <w:rPr>
          <w:rFonts w:ascii="Garamond" w:hAnsi="Garamond" w:cs="Times New Roman"/>
          <w:i/>
          <w:iCs/>
        </w:rPr>
        <w:t>data breach</w:t>
      </w:r>
      <w:r w:rsidRPr="00C641F8">
        <w:rPr>
          <w:rFonts w:ascii="Garamond" w:hAnsi="Garamond" w:cs="Times New Roman"/>
        </w:rPr>
        <w:t xml:space="preserve">), jo gjithnjë nënkupton një shkelje të dispozitave të ligjit për mbrojtjen e të dhënave. </w:t>
      </w:r>
    </w:p>
  </w:footnote>
  <w:footnote w:id="21">
    <w:p w14:paraId="4A6226A4" w14:textId="041B1939"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w:t>
      </w:r>
      <w:r w:rsidRPr="00C641F8">
        <w:rPr>
          <w:rFonts w:ascii="Garamond" w:hAnsi="Garamond" w:cs="Times New Roman"/>
        </w:rPr>
        <w:t xml:space="preserve">Ky është </w:t>
      </w:r>
      <w:r w:rsidRPr="00C641F8">
        <w:rPr>
          <w:rFonts w:ascii="Garamond" w:hAnsi="Garamond" w:cs="Times New Roman"/>
        </w:rPr>
        <w:t>edhe qëndrimi i BEMD-së, i shprehur, ndër të tjera, në udhëzimet e Grupit të Punës 235 (</w:t>
      </w:r>
      <w:r w:rsidR="00EC3F60" w:rsidRPr="00EC3F60">
        <w:rPr>
          <w:rFonts w:ascii="Garamond" w:hAnsi="Garamond" w:cs="Times New Roman"/>
          <w:i/>
          <w:iCs/>
        </w:rPr>
        <w:t>W</w:t>
      </w:r>
      <w:r w:rsidRPr="00EC3F60">
        <w:rPr>
          <w:rFonts w:ascii="Garamond" w:hAnsi="Garamond" w:cs="Times New Roman"/>
          <w:i/>
          <w:iCs/>
        </w:rPr>
        <w:t>P253</w:t>
      </w:r>
      <w:r w:rsidRPr="00C641F8">
        <w:rPr>
          <w:rFonts w:ascii="Garamond" w:hAnsi="Garamond" w:cs="Times New Roman"/>
        </w:rPr>
        <w:t>).</w:t>
      </w:r>
    </w:p>
  </w:footnote>
  <w:footnote w:id="22">
    <w:p w14:paraId="32714FE0" w14:textId="3E151BE2"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Duke vlerësuar rrethanat e rastit, është marrë si vlerë pikënisje për përllogaritjen e mëtejshme të sanksionit, vlera prej 800 000 000 lekësh.</w:t>
      </w:r>
    </w:p>
  </w:footnote>
  <w:footnote w:id="23">
    <w:p w14:paraId="4012063D" w14:textId="270B5998"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Kjo ilustron faktin se kategoritë e pikënisjeve të përllogaritjes së masës së sanksionit nuk i kufizojnë aftësitë </w:t>
      </w:r>
      <w:r w:rsidRPr="00C641F8">
        <w:rPr>
          <w:rFonts w:ascii="Garamond" w:hAnsi="Garamond" w:cs="Times New Roman"/>
        </w:rPr>
        <w:t>e Zyrës së Komisionerit për të marrë parasysh rrethanat rënduese dhe lehtësuese në vendosjen e një sanksioni më të lartë ose më të ulët se kategoritë në fjalë. Siç theksohet në kapitullin 4, këto shifra përbëjnë pikënisje për përllogaritjen e mëtejshme të masës së sanksionit dhe jo vlera fikse (etiketa çmimesh) për shkelje të dispozitave të ligjit. Zyra e Komisionerit ka diskrecion për të shfrytëzuar gamën e plotë të sanksioneve, nga një lekë deri në tavanin e parashikuar ligjor, duke siguruar që masa e sanksionit të përshtatet me rrethanat e çështjes.</w:t>
      </w:r>
    </w:p>
  </w:footnote>
  <w:footnote w:id="24">
    <w:p w14:paraId="0E861F0A" w14:textId="4A0ABDDB"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Duke vlerësuar rrethanat e rastit (xhiron e ndërmarrjes dhe rëndësinë e shkeljes) është marre si vlere pikënisje për përllogaritjen e mëtejshme të sanksionit, vlera prej 80 000 000 lekësh.</w:t>
      </w:r>
    </w:p>
  </w:footnote>
  <w:footnote w:id="25">
    <w:p w14:paraId="4A61840B" w14:textId="056F3CFB" w:rsidR="00B77B37" w:rsidRPr="00C641F8" w:rsidRDefault="00B77B37" w:rsidP="00467EA3">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Nga vlera prej 32 000 000 lekë</w:t>
      </w:r>
      <w:r>
        <w:rPr>
          <w:rFonts w:ascii="Garamond" w:hAnsi="Garamond" w:cs="Times New Roman"/>
        </w:rPr>
        <w:t>sh</w:t>
      </w:r>
      <w:r w:rsidRPr="00C641F8">
        <w:rPr>
          <w:rFonts w:ascii="Garamond" w:hAnsi="Garamond" w:cs="Times New Roman"/>
        </w:rPr>
        <w:t xml:space="preserve"> (e dalë si rezultat i përshtatjes me 40% të vlerës së pikënisjes së identifikuar prej 80 000 000 lekësh) është hequr vlera prej 50%, </w:t>
      </w:r>
      <w:r w:rsidRPr="00C641F8">
        <w:rPr>
          <w:rFonts w:ascii="Garamond" w:hAnsi="Garamond" w:cs="Times New Roman"/>
        </w:rPr>
        <w:t>duke vlerësuar sjelljen proaktive për zbutjen e dëmit. Ky shembull ka vetëm qëllim ilustrues dhe nuk nënkupton që qasja e komisionerit do të jetë në çdo rast e tillë. Zyra e Komisionerit mund të çmojë dhe uljen me 2, 4 ose vetëm 5 % të vlerës 32 000 000 lekë.</w:t>
      </w:r>
    </w:p>
  </w:footnote>
  <w:footnote w:id="26">
    <w:p w14:paraId="1A1389CB" w14:textId="1F3EB0DE" w:rsidR="00B77B37" w:rsidRPr="00C641F8" w:rsidRDefault="00B77B37" w:rsidP="00467EA3">
      <w:pPr>
        <w:pStyle w:val="FootnoteText"/>
        <w:jc w:val="both"/>
        <w:rPr>
          <w:rFonts w:ascii="Garamond" w:hAnsi="Garamond"/>
        </w:rPr>
      </w:pPr>
      <w:r w:rsidRPr="00C641F8">
        <w:rPr>
          <w:rStyle w:val="FootnoteReference"/>
          <w:rFonts w:ascii="Garamond" w:hAnsi="Garamond" w:cs="Times New Roman"/>
        </w:rPr>
        <w:footnoteRef/>
      </w:r>
      <w:r w:rsidRPr="00C641F8">
        <w:rPr>
          <w:rFonts w:ascii="Garamond" w:hAnsi="Garamond" w:cs="Times New Roman"/>
        </w:rPr>
        <w:t xml:space="preserve"> Është marrë si vlerë pikënisje për përshtatjen e sanksionit në varësi të xhiros së ndërmarrjes vlera minimale prej 800 000 000 lekësh, e cila është përshtatur më tej me vlerën 0.3% sipas parashikimit për xhiron.</w:t>
      </w:r>
      <w:r w:rsidRPr="00C641F8">
        <w:rPr>
          <w:rFonts w:ascii="Garamond" w:hAnsi="Garamond"/>
        </w:rPr>
        <w:t xml:space="preserve"> </w:t>
      </w:r>
    </w:p>
  </w:footnote>
  <w:footnote w:id="27">
    <w:p w14:paraId="7A99E485" w14:textId="5B8CE862" w:rsidR="00B77B37" w:rsidRPr="00C641F8" w:rsidRDefault="00B77B37" w:rsidP="00467EA3">
      <w:pPr>
        <w:pStyle w:val="FootnoteText"/>
        <w:jc w:val="both"/>
        <w:rPr>
          <w:rFonts w:ascii="Garamond" w:hAnsi="Garamond"/>
        </w:rPr>
      </w:pPr>
      <w:r w:rsidRPr="00C641F8">
        <w:rPr>
          <w:rStyle w:val="FootnoteReference"/>
          <w:rFonts w:ascii="Garamond" w:hAnsi="Garamond"/>
        </w:rPr>
        <w:footnoteRef/>
      </w:r>
      <w:r w:rsidRPr="00C641F8">
        <w:rPr>
          <w:rFonts w:ascii="Garamond" w:hAnsi="Garamond"/>
        </w:rPr>
        <w:t xml:space="preserve"> </w:t>
      </w:r>
      <w:r w:rsidRPr="00C641F8">
        <w:rPr>
          <w:rFonts w:ascii="Garamond" w:hAnsi="Garamond" w:cs="Times New Roman"/>
        </w:rPr>
        <w:t>Është marrë si vlerë pikënisje për përshtatjen e sanksionit në varësi të xhiros së ndërmarrjes vlera minimale prej 300 000 000 lekësh, e cila është përshtatur më tej me vlerën 0.3 % sipas parashikimit për xhiron.</w:t>
      </w:r>
    </w:p>
  </w:footnote>
  <w:footnote w:id="28">
    <w:p w14:paraId="7CE0AFDC" w14:textId="400817A2"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Shih nënkapitullin 3.1.2.</w:t>
      </w:r>
    </w:p>
  </w:footnote>
  <w:footnote w:id="29">
    <w:p w14:paraId="52C77A57" w14:textId="3C1742D7"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Shih nënkapitullin 6.2.1 të kësaj metodologjie në lidhje me termin </w:t>
      </w:r>
      <w:r w:rsidRPr="00C641F8">
        <w:rPr>
          <w:rFonts w:ascii="Garamond" w:hAnsi="Garamond" w:cs="Times New Roman"/>
          <w:i/>
        </w:rPr>
        <w:t>“ndërmarrje”</w:t>
      </w:r>
      <w:r w:rsidRPr="00C641F8">
        <w:rPr>
          <w:rFonts w:ascii="Garamond" w:hAnsi="Garamond" w:cs="Times New Roman"/>
        </w:rPr>
        <w:t>.</w:t>
      </w:r>
    </w:p>
  </w:footnote>
  <w:footnote w:id="30">
    <w:p w14:paraId="49AD3957" w14:textId="44419C2B"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Shih nënkapitullin 6.2.2 të kësaj metodologjie në lidhje me termin </w:t>
      </w:r>
      <w:r w:rsidRPr="00C641F8">
        <w:rPr>
          <w:rFonts w:ascii="Garamond" w:hAnsi="Garamond" w:cs="Times New Roman"/>
          <w:i/>
        </w:rPr>
        <w:t>“xhiro”</w:t>
      </w:r>
      <w:r w:rsidRPr="00C641F8">
        <w:rPr>
          <w:rFonts w:ascii="Garamond" w:hAnsi="Garamond" w:cs="Times New Roman"/>
        </w:rPr>
        <w:t>.</w:t>
      </w:r>
    </w:p>
  </w:footnote>
  <w:footnote w:id="31">
    <w:p w14:paraId="157DA15D" w14:textId="77777777" w:rsidR="00B77B37" w:rsidRPr="00C641F8" w:rsidRDefault="00B77B37" w:rsidP="00373EAB">
      <w:pPr>
        <w:pStyle w:val="FootnoteText"/>
        <w:jc w:val="both"/>
        <w:rPr>
          <w:rFonts w:ascii="Garamond" w:hAnsi="Garamond"/>
        </w:rPr>
      </w:pPr>
      <w:r w:rsidRPr="00C641F8">
        <w:rPr>
          <w:rStyle w:val="FootnoteReference"/>
          <w:rFonts w:ascii="Garamond" w:hAnsi="Garamond" w:cs="Times New Roman"/>
        </w:rPr>
        <w:footnoteRef/>
      </w:r>
      <w:r w:rsidRPr="00C641F8">
        <w:rPr>
          <w:rFonts w:ascii="Garamond" w:hAnsi="Garamond" w:cs="Times New Roman"/>
        </w:rPr>
        <w:t xml:space="preserve"> Në rastin e një xhiroje vjetore të barabartë me 50 000 000 000 lekë, tavani ligjor statik maksimal (2 000 000 000 lekë) i nenit 94 të ligjit është i barabartë me tavanin ligjor dinamik (4% e xhiros globale) të këtij neni.</w:t>
      </w:r>
    </w:p>
  </w:footnote>
  <w:footnote w:id="32">
    <w:p w14:paraId="0FA42FB3" w14:textId="58922222"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rPr>
        <w:t xml:space="preserve"> </w:t>
      </w:r>
      <w:r w:rsidRPr="00C641F8">
        <w:rPr>
          <w:rFonts w:ascii="Garamond" w:hAnsi="Garamond" w:cs="Times New Roman"/>
        </w:rPr>
        <w:t xml:space="preserve">Shih jurisprudencën e </w:t>
      </w:r>
      <w:r w:rsidRPr="00C641F8">
        <w:rPr>
          <w:rFonts w:ascii="Garamond" w:hAnsi="Garamond" w:cs="Times New Roman"/>
        </w:rPr>
        <w:t xml:space="preserve">BE-së; çështja C-41/90, </w:t>
      </w:r>
      <w:r w:rsidRPr="00C641F8">
        <w:rPr>
          <w:rFonts w:ascii="Garamond" w:hAnsi="Garamond" w:cs="Times New Roman"/>
          <w:i/>
          <w:iCs/>
        </w:rPr>
        <w:t>Höfner dhe Elser kundër Macrotron GmbH</w:t>
      </w:r>
      <w:r w:rsidRPr="00C641F8">
        <w:rPr>
          <w:rFonts w:ascii="Garamond" w:hAnsi="Garamond" w:cs="Times New Roman"/>
        </w:rPr>
        <w:t>, paragarafi 21: çështjet e përbashkëta (</w:t>
      </w:r>
      <w:r w:rsidRPr="00C641F8">
        <w:rPr>
          <w:rFonts w:ascii="Garamond" w:hAnsi="Garamond" w:cs="Times New Roman"/>
          <w:i/>
          <w:iCs/>
        </w:rPr>
        <w:t>joined cases</w:t>
      </w:r>
      <w:r w:rsidRPr="00C641F8">
        <w:rPr>
          <w:rFonts w:ascii="Garamond" w:hAnsi="Garamond" w:cs="Times New Roman"/>
        </w:rPr>
        <w:t xml:space="preserve">) C-159 dhe 160/91, </w:t>
      </w:r>
      <w:r w:rsidRPr="00C641F8">
        <w:rPr>
          <w:rFonts w:ascii="Garamond" w:hAnsi="Garamond" w:cs="Times New Roman"/>
          <w:i/>
          <w:iCs/>
        </w:rPr>
        <w:t>Poucet dhe Pistre kundër Assurances Générales de France</w:t>
      </w:r>
      <w:r w:rsidRPr="00C641F8">
        <w:rPr>
          <w:rFonts w:ascii="Garamond" w:hAnsi="Garamond" w:cs="Times New Roman"/>
        </w:rPr>
        <w:t xml:space="preserve">, paragrafi 17; çështja 364/92, </w:t>
      </w:r>
      <w:r w:rsidRPr="00C641F8">
        <w:rPr>
          <w:rFonts w:ascii="Garamond" w:hAnsi="Garamond" w:cs="Times New Roman"/>
          <w:i/>
          <w:iCs/>
        </w:rPr>
        <w:t>SAT Fluggesellschaft mbH kundër Eurocontrol</w:t>
      </w:r>
      <w:r w:rsidRPr="00C641F8">
        <w:rPr>
          <w:rFonts w:ascii="Garamond" w:hAnsi="Garamond" w:cs="Times New Roman"/>
        </w:rPr>
        <w:t>, paragrafi 18; çështjet e përbashkëta (</w:t>
      </w:r>
      <w:r w:rsidRPr="00C641F8">
        <w:rPr>
          <w:rFonts w:ascii="Garamond" w:hAnsi="Garamond" w:cs="Times New Roman"/>
          <w:i/>
          <w:iCs/>
        </w:rPr>
        <w:t>joined cases</w:t>
      </w:r>
      <w:r w:rsidRPr="00C641F8">
        <w:rPr>
          <w:rFonts w:ascii="Garamond" w:hAnsi="Garamond" w:cs="Times New Roman"/>
        </w:rPr>
        <w:t xml:space="preserve">) C-180-184/98, </w:t>
      </w:r>
      <w:r w:rsidRPr="00C641F8">
        <w:rPr>
          <w:rFonts w:ascii="Garamond" w:hAnsi="Garamond" w:cs="Times New Roman"/>
          <w:i/>
          <w:iCs/>
        </w:rPr>
        <w:t>Pavlov dhe të tjerët</w:t>
      </w:r>
      <w:r w:rsidRPr="00C641F8">
        <w:rPr>
          <w:rFonts w:ascii="Garamond" w:hAnsi="Garamond" w:cs="Times New Roman"/>
        </w:rPr>
        <w:t xml:space="preserve">, paragrafi 74; çështja C-138/11, </w:t>
      </w:r>
      <w:r w:rsidRPr="00C641F8">
        <w:rPr>
          <w:rFonts w:ascii="Garamond" w:hAnsi="Garamond" w:cs="Times New Roman"/>
          <w:i/>
          <w:iCs/>
        </w:rPr>
        <w:t>Compass-Datenbank GmbH kundër Republikës së Austrisë</w:t>
      </w:r>
      <w:r w:rsidRPr="00C641F8">
        <w:rPr>
          <w:rFonts w:ascii="Garamond" w:hAnsi="Garamond" w:cs="Times New Roman"/>
        </w:rPr>
        <w:t>, paragrafi 35.</w:t>
      </w:r>
    </w:p>
  </w:footnote>
  <w:footnote w:id="33">
    <w:p w14:paraId="28C6A15F" w14:textId="77777777"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w:t>
      </w:r>
      <w:r w:rsidRPr="00C641F8">
        <w:rPr>
          <w:rFonts w:ascii="Garamond" w:hAnsi="Garamond" w:cs="Times New Roman"/>
        </w:rPr>
        <w:t xml:space="preserve">Çështja C-90/09 P, </w:t>
      </w:r>
      <w:r w:rsidRPr="00C641F8">
        <w:rPr>
          <w:rFonts w:ascii="Garamond" w:hAnsi="Garamond" w:cs="Times New Roman"/>
          <w:i/>
          <w:iCs/>
        </w:rPr>
        <w:t>General Química and Others kundër Komisionit</w:t>
      </w:r>
      <w:r w:rsidRPr="00C641F8">
        <w:rPr>
          <w:rFonts w:ascii="Garamond" w:hAnsi="Garamond" w:cs="Times New Roman"/>
        </w:rPr>
        <w:t>.</w:t>
      </w:r>
    </w:p>
  </w:footnote>
  <w:footnote w:id="34">
    <w:p w14:paraId="67298DF4" w14:textId="0A439501" w:rsidR="00B77B37" w:rsidRPr="00C641F8" w:rsidRDefault="00B77B37" w:rsidP="00373EAB">
      <w:pPr>
        <w:pStyle w:val="FootnoteText"/>
        <w:jc w:val="both"/>
        <w:rPr>
          <w:rFonts w:ascii="Garamond" w:hAnsi="Garamond" w:cs="Times New Roman"/>
        </w:rPr>
      </w:pPr>
      <w:r w:rsidRPr="00C641F8">
        <w:rPr>
          <w:rStyle w:val="FootnoteReference"/>
          <w:rFonts w:ascii="Garamond" w:hAnsi="Garamond" w:cs="Times New Roman"/>
        </w:rPr>
        <w:footnoteRef/>
      </w:r>
      <w:r w:rsidRPr="00C641F8">
        <w:rPr>
          <w:rFonts w:ascii="Garamond" w:hAnsi="Garamond" w:cs="Times New Roman"/>
        </w:rPr>
        <w:t xml:space="preserve"> Shih jurisprudencën e BE-së, ndër të tjera, në çështjet </w:t>
      </w:r>
      <w:r w:rsidRPr="00C641F8">
        <w:rPr>
          <w:rFonts w:ascii="Garamond" w:hAnsi="Garamond" w:cs="Times New Roman"/>
        </w:rPr>
        <w:t>e përbashkëta (</w:t>
      </w:r>
      <w:r w:rsidRPr="00C641F8">
        <w:rPr>
          <w:rFonts w:ascii="Garamond" w:hAnsi="Garamond" w:cs="Times New Roman"/>
          <w:i/>
          <w:iCs/>
        </w:rPr>
        <w:t>joined cases</w:t>
      </w:r>
      <w:r w:rsidRPr="00C641F8">
        <w:rPr>
          <w:rFonts w:ascii="Garamond" w:hAnsi="Garamond" w:cs="Times New Roman"/>
        </w:rPr>
        <w:t xml:space="preserve">) C-189/02 P, C-202/02 P, C-205/02 P deri C-208/02 P dhe C-213/02 P, </w:t>
      </w:r>
      <w:r w:rsidRPr="00C641F8">
        <w:rPr>
          <w:rFonts w:ascii="Garamond" w:hAnsi="Garamond" w:cs="Times New Roman"/>
          <w:i/>
          <w:iCs/>
        </w:rPr>
        <w:t>Dansk Rørindustri dhe të tjerët kundër Komisionit</w:t>
      </w:r>
      <w:r w:rsidRPr="00C641F8">
        <w:rPr>
          <w:rFonts w:ascii="Garamond" w:hAnsi="Garamond"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D1802"/>
    <w:multiLevelType w:val="hybridMultilevel"/>
    <w:tmpl w:val="6082CE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7C7630"/>
    <w:multiLevelType w:val="hybridMultilevel"/>
    <w:tmpl w:val="9DC88E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EC1A0F"/>
    <w:multiLevelType w:val="hybridMultilevel"/>
    <w:tmpl w:val="9E965A8C"/>
    <w:lvl w:ilvl="0" w:tplc="3E70AB5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7223FB"/>
    <w:multiLevelType w:val="hybridMultilevel"/>
    <w:tmpl w:val="6CF42926"/>
    <w:lvl w:ilvl="0" w:tplc="F6444FFE">
      <w:start w:val="1"/>
      <w:numFmt w:val="decimal"/>
      <w:lvlText w:val="%1."/>
      <w:lvlJc w:val="left"/>
      <w:pPr>
        <w:ind w:left="360" w:hanging="360"/>
      </w:pPr>
      <w:rPr>
        <w:rFonts w:ascii="Times New Roman" w:hAnsi="Times New Roman" w:cs="Times New Roman" w:hint="default"/>
        <w:b w:val="0"/>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B40553A"/>
    <w:multiLevelType w:val="multilevel"/>
    <w:tmpl w:val="9FE0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805505"/>
    <w:multiLevelType w:val="hybridMultilevel"/>
    <w:tmpl w:val="A0566D06"/>
    <w:lvl w:ilvl="0" w:tplc="70DC0736">
      <w:start w:val="1"/>
      <w:numFmt w:val="decimal"/>
      <w:lvlText w:val="%1."/>
      <w:lvlJc w:val="left"/>
      <w:pPr>
        <w:ind w:left="720" w:hanging="360"/>
      </w:pPr>
      <w:rPr>
        <w:b w:val="0"/>
      </w:rPr>
    </w:lvl>
    <w:lvl w:ilvl="1" w:tplc="B58C6034">
      <w:numFmt w:val="bullet"/>
      <w:lvlText w:val="-"/>
      <w:lvlJc w:val="left"/>
      <w:pPr>
        <w:ind w:left="1440" w:hanging="360"/>
      </w:pPr>
      <w:rPr>
        <w:rFonts w:ascii="Times New Roman" w:eastAsia="Bookman Old Style" w:hAnsi="Times New Roman" w:cs="Times New Roman" w:hint="default"/>
      </w:rPr>
    </w:lvl>
    <w:lvl w:ilvl="2" w:tplc="025A6DBE">
      <w:start w:val="1"/>
      <w:numFmt w:val="upperRoman"/>
      <w:lvlText w:val="%3."/>
      <w:lvlJc w:val="left"/>
      <w:pPr>
        <w:ind w:left="2700" w:hanging="720"/>
      </w:pPr>
      <w:rPr>
        <w:rFonts w:hint="default"/>
      </w:rPr>
    </w:lvl>
    <w:lvl w:ilvl="3" w:tplc="04100013">
      <w:start w:val="1"/>
      <w:numFmt w:val="upperRoman"/>
      <w:lvlText w:val="%4."/>
      <w:lvlJc w:val="right"/>
      <w:pPr>
        <w:ind w:left="2880" w:hanging="360"/>
      </w:pPr>
      <w:rPr>
        <w:rFonts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9C7"/>
    <w:rsid w:val="000632BC"/>
    <w:rsid w:val="00066541"/>
    <w:rsid w:val="00071A2D"/>
    <w:rsid w:val="0008704A"/>
    <w:rsid w:val="0009725B"/>
    <w:rsid w:val="000F74B6"/>
    <w:rsid w:val="00101A0C"/>
    <w:rsid w:val="00111DD2"/>
    <w:rsid w:val="00133485"/>
    <w:rsid w:val="00144892"/>
    <w:rsid w:val="001620BD"/>
    <w:rsid w:val="0018175F"/>
    <w:rsid w:val="00207C7D"/>
    <w:rsid w:val="00237302"/>
    <w:rsid w:val="00243D14"/>
    <w:rsid w:val="002D67E3"/>
    <w:rsid w:val="003021D9"/>
    <w:rsid w:val="00317782"/>
    <w:rsid w:val="003357A1"/>
    <w:rsid w:val="00373EAB"/>
    <w:rsid w:val="003C642D"/>
    <w:rsid w:val="00410CCF"/>
    <w:rsid w:val="00420FCC"/>
    <w:rsid w:val="0042762F"/>
    <w:rsid w:val="00443ADB"/>
    <w:rsid w:val="00467EA3"/>
    <w:rsid w:val="00495544"/>
    <w:rsid w:val="004A5F82"/>
    <w:rsid w:val="004B4AEB"/>
    <w:rsid w:val="004C63F3"/>
    <w:rsid w:val="004F3966"/>
    <w:rsid w:val="00505FB4"/>
    <w:rsid w:val="00521B30"/>
    <w:rsid w:val="0054483A"/>
    <w:rsid w:val="0057046C"/>
    <w:rsid w:val="005B5F43"/>
    <w:rsid w:val="005D7045"/>
    <w:rsid w:val="005F1B9B"/>
    <w:rsid w:val="005F2A01"/>
    <w:rsid w:val="005F71A5"/>
    <w:rsid w:val="0060740E"/>
    <w:rsid w:val="0061636A"/>
    <w:rsid w:val="00636CD6"/>
    <w:rsid w:val="00642C12"/>
    <w:rsid w:val="00643547"/>
    <w:rsid w:val="00660E97"/>
    <w:rsid w:val="006B2EC8"/>
    <w:rsid w:val="006E25C9"/>
    <w:rsid w:val="006E4F2F"/>
    <w:rsid w:val="0073223B"/>
    <w:rsid w:val="00743BAA"/>
    <w:rsid w:val="007478B4"/>
    <w:rsid w:val="007869C7"/>
    <w:rsid w:val="007A461B"/>
    <w:rsid w:val="007B484B"/>
    <w:rsid w:val="007B7326"/>
    <w:rsid w:val="007E1BEE"/>
    <w:rsid w:val="00820E39"/>
    <w:rsid w:val="008440FF"/>
    <w:rsid w:val="0086367E"/>
    <w:rsid w:val="008743B5"/>
    <w:rsid w:val="008C10BF"/>
    <w:rsid w:val="008C7EE7"/>
    <w:rsid w:val="008F4F62"/>
    <w:rsid w:val="009009E7"/>
    <w:rsid w:val="00901AA5"/>
    <w:rsid w:val="0090601F"/>
    <w:rsid w:val="00974C77"/>
    <w:rsid w:val="00997B7B"/>
    <w:rsid w:val="009B64FE"/>
    <w:rsid w:val="009C749D"/>
    <w:rsid w:val="00A063CE"/>
    <w:rsid w:val="00A22060"/>
    <w:rsid w:val="00A86DDA"/>
    <w:rsid w:val="00AB1B89"/>
    <w:rsid w:val="00AB1E2D"/>
    <w:rsid w:val="00AC3CAA"/>
    <w:rsid w:val="00AD6F91"/>
    <w:rsid w:val="00AD71C3"/>
    <w:rsid w:val="00B021C6"/>
    <w:rsid w:val="00B2427D"/>
    <w:rsid w:val="00B653A3"/>
    <w:rsid w:val="00B77B37"/>
    <w:rsid w:val="00C641F8"/>
    <w:rsid w:val="00C762BF"/>
    <w:rsid w:val="00CB4501"/>
    <w:rsid w:val="00CC0D9C"/>
    <w:rsid w:val="00CE42A7"/>
    <w:rsid w:val="00D21457"/>
    <w:rsid w:val="00D33473"/>
    <w:rsid w:val="00D56948"/>
    <w:rsid w:val="00D75708"/>
    <w:rsid w:val="00DA0272"/>
    <w:rsid w:val="00DA1908"/>
    <w:rsid w:val="00E83B0C"/>
    <w:rsid w:val="00EB67C1"/>
    <w:rsid w:val="00EC3F60"/>
    <w:rsid w:val="00F23FBB"/>
    <w:rsid w:val="00F46AC5"/>
    <w:rsid w:val="00F756DC"/>
    <w:rsid w:val="00F93296"/>
    <w:rsid w:val="00F97D44"/>
    <w:rsid w:val="00FA1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659B6"/>
  <w15:chartTrackingRefBased/>
  <w15:docId w15:val="{55A7A087-6CB4-4A86-BC41-254A97D4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4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6B2EC8"/>
    <w:pPr>
      <w:spacing w:before="100" w:beforeAutospacing="1" w:after="100" w:afterAutospacing="1" w:line="240" w:lineRule="auto"/>
      <w:outlineLvl w:val="1"/>
    </w:pPr>
    <w:rPr>
      <w:rFonts w:ascii="Times New Roman" w:eastAsia="Times New Roman" w:hAnsi="Times New Roman" w:cs="Times New Roman"/>
      <w:b/>
      <w:bCs/>
      <w:sz w:val="24"/>
      <w:szCs w:val="36"/>
      <w:lang w:val="sq-AL"/>
    </w:rPr>
  </w:style>
  <w:style w:type="paragraph" w:styleId="Heading3">
    <w:name w:val="heading 3"/>
    <w:basedOn w:val="Normal"/>
    <w:next w:val="Normal"/>
    <w:link w:val="Heading3Char"/>
    <w:uiPriority w:val="9"/>
    <w:unhideWhenUsed/>
    <w:qFormat/>
    <w:rsid w:val="001334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uiPriority w:val="39"/>
    <w:rsid w:val="009C749D"/>
    <w:pPr>
      <w:autoSpaceDE w:val="0"/>
      <w:autoSpaceDN w:val="0"/>
      <w:adjustRightInd w:val="0"/>
      <w:spacing w:after="100" w:line="284" w:lineRule="atLeast"/>
      <w:ind w:left="440"/>
    </w:pPr>
    <w:rPr>
      <w:rFonts w:ascii="Calibri" w:hAnsi="Calibri" w:cs="Calibri"/>
      <w:color w:val="000000"/>
      <w:lang w:val="sq-AL"/>
    </w:rPr>
  </w:style>
  <w:style w:type="paragraph" w:styleId="TOC2">
    <w:name w:val="toc 2"/>
    <w:basedOn w:val="Normal"/>
    <w:next w:val="Normal"/>
    <w:uiPriority w:val="39"/>
    <w:rsid w:val="009C749D"/>
    <w:pPr>
      <w:autoSpaceDE w:val="0"/>
      <w:autoSpaceDN w:val="0"/>
      <w:adjustRightInd w:val="0"/>
      <w:spacing w:after="100" w:line="284" w:lineRule="atLeast"/>
      <w:ind w:left="220"/>
    </w:pPr>
    <w:rPr>
      <w:rFonts w:ascii="Calibri" w:hAnsi="Calibri" w:cs="Calibri"/>
      <w:color w:val="000000"/>
      <w:lang w:val="sq-AL"/>
    </w:rPr>
  </w:style>
  <w:style w:type="paragraph" w:styleId="TOC1">
    <w:name w:val="toc 1"/>
    <w:basedOn w:val="Normal"/>
    <w:next w:val="Normal"/>
    <w:uiPriority w:val="39"/>
    <w:rsid w:val="009C749D"/>
    <w:pPr>
      <w:tabs>
        <w:tab w:val="right" w:leader="dot" w:pos="9340"/>
      </w:tabs>
      <w:autoSpaceDE w:val="0"/>
      <w:autoSpaceDN w:val="0"/>
      <w:adjustRightInd w:val="0"/>
      <w:spacing w:after="100" w:line="284" w:lineRule="atLeast"/>
    </w:pPr>
    <w:rPr>
      <w:rFonts w:ascii="Calibri" w:hAnsi="Calibri" w:cs="Calibri"/>
      <w:b/>
      <w:bCs/>
      <w:color w:val="000000"/>
      <w:lang w:val="sq-AL"/>
    </w:rPr>
  </w:style>
  <w:style w:type="character" w:customStyle="1" w:styleId="Heading1Char">
    <w:name w:val="Heading 1 Char"/>
    <w:basedOn w:val="DefaultParagraphFont"/>
    <w:link w:val="Heading1"/>
    <w:uiPriority w:val="9"/>
    <w:rsid w:val="009C749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qFormat/>
    <w:rsid w:val="009C749D"/>
    <w:pPr>
      <w:autoSpaceDE w:val="0"/>
      <w:autoSpaceDN w:val="0"/>
      <w:adjustRightInd w:val="0"/>
      <w:spacing w:after="160" w:line="414" w:lineRule="atLeast"/>
      <w:outlineLvl w:val="9"/>
    </w:pPr>
    <w:rPr>
      <w:rFonts w:ascii="Times New Roman" w:eastAsiaTheme="minorHAnsi" w:hAnsi="Times New Roman" w:cs="Times New Roman"/>
      <w:color w:val="auto"/>
      <w:lang w:val="sq-AL"/>
    </w:rPr>
  </w:style>
  <w:style w:type="paragraph" w:styleId="ListParagraph">
    <w:name w:val="List Paragraph"/>
    <w:basedOn w:val="Normal"/>
    <w:link w:val="ListParagraphChar"/>
    <w:uiPriority w:val="34"/>
    <w:qFormat/>
    <w:rsid w:val="009C749D"/>
    <w:pPr>
      <w:autoSpaceDE w:val="0"/>
      <w:autoSpaceDN w:val="0"/>
      <w:adjustRightInd w:val="0"/>
      <w:spacing w:line="284" w:lineRule="atLeast"/>
      <w:ind w:left="720"/>
    </w:pPr>
    <w:rPr>
      <w:rFonts w:ascii="Calibri" w:hAnsi="Calibri" w:cs="Calibri"/>
      <w:color w:val="000000"/>
      <w:lang w:val="sq-AL"/>
    </w:rPr>
  </w:style>
  <w:style w:type="paragraph" w:styleId="NoSpacing">
    <w:name w:val="No Spacing"/>
    <w:link w:val="NoSpacingChar"/>
    <w:uiPriority w:val="1"/>
    <w:qFormat/>
    <w:rsid w:val="009C749D"/>
    <w:pPr>
      <w:autoSpaceDE w:val="0"/>
      <w:autoSpaceDN w:val="0"/>
      <w:adjustRightInd w:val="0"/>
      <w:spacing w:after="0" w:line="240" w:lineRule="auto"/>
    </w:pPr>
    <w:rPr>
      <w:rFonts w:ascii="Calibri" w:hAnsi="Calibri" w:cs="Calibri"/>
      <w:color w:val="000000"/>
      <w:lang w:val="sq-AL"/>
    </w:rPr>
  </w:style>
  <w:style w:type="paragraph" w:customStyle="1" w:styleId="TEKSTIIIII">
    <w:name w:val="TEKSTIIIII"/>
    <w:basedOn w:val="Normal"/>
    <w:qFormat/>
    <w:rsid w:val="007B484B"/>
    <w:pPr>
      <w:widowControl w:val="0"/>
      <w:autoSpaceDE w:val="0"/>
      <w:autoSpaceDN w:val="0"/>
      <w:adjustRightInd w:val="0"/>
      <w:spacing w:after="0" w:line="240" w:lineRule="auto"/>
      <w:ind w:firstLine="284"/>
      <w:jc w:val="both"/>
    </w:pPr>
    <w:rPr>
      <w:rFonts w:ascii="Garamond" w:hAnsi="Garamond" w:cs="Times New Roman"/>
      <w:color w:val="000000"/>
      <w:sz w:val="24"/>
      <w:szCs w:val="24"/>
      <w:lang w:val="sq-AL"/>
    </w:rPr>
  </w:style>
  <w:style w:type="character" w:customStyle="1" w:styleId="Heading2Char">
    <w:name w:val="Heading 2 Char"/>
    <w:basedOn w:val="DefaultParagraphFont"/>
    <w:link w:val="Heading2"/>
    <w:uiPriority w:val="9"/>
    <w:rsid w:val="006B2EC8"/>
    <w:rPr>
      <w:rFonts w:ascii="Times New Roman" w:eastAsia="Times New Roman" w:hAnsi="Times New Roman" w:cs="Times New Roman"/>
      <w:b/>
      <w:bCs/>
      <w:sz w:val="24"/>
      <w:szCs w:val="36"/>
      <w:lang w:val="sq-AL"/>
    </w:rPr>
  </w:style>
  <w:style w:type="table" w:styleId="TableGrid">
    <w:name w:val="Table Grid"/>
    <w:basedOn w:val="TableNormal"/>
    <w:uiPriority w:val="39"/>
    <w:rsid w:val="006B2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B2EC8"/>
    <w:pPr>
      <w:spacing w:after="0" w:line="240" w:lineRule="auto"/>
    </w:pPr>
    <w:rPr>
      <w:sz w:val="20"/>
      <w:szCs w:val="20"/>
      <w:lang w:val="sq-AL"/>
    </w:rPr>
  </w:style>
  <w:style w:type="character" w:customStyle="1" w:styleId="FootnoteTextChar">
    <w:name w:val="Footnote Text Char"/>
    <w:basedOn w:val="DefaultParagraphFont"/>
    <w:link w:val="FootnoteText"/>
    <w:uiPriority w:val="99"/>
    <w:semiHidden/>
    <w:rsid w:val="006B2EC8"/>
    <w:rPr>
      <w:sz w:val="20"/>
      <w:szCs w:val="20"/>
      <w:lang w:val="sq-AL"/>
    </w:rPr>
  </w:style>
  <w:style w:type="character" w:styleId="FootnoteReference">
    <w:name w:val="footnote reference"/>
    <w:basedOn w:val="DefaultParagraphFont"/>
    <w:uiPriority w:val="99"/>
    <w:semiHidden/>
    <w:unhideWhenUsed/>
    <w:rsid w:val="006B2EC8"/>
    <w:rPr>
      <w:vertAlign w:val="superscript"/>
    </w:rPr>
  </w:style>
  <w:style w:type="character" w:customStyle="1" w:styleId="ListParagraphChar">
    <w:name w:val="List Paragraph Char"/>
    <w:link w:val="ListParagraph"/>
    <w:uiPriority w:val="34"/>
    <w:locked/>
    <w:rsid w:val="006B2EC8"/>
    <w:rPr>
      <w:rFonts w:ascii="Calibri" w:hAnsi="Calibri" w:cs="Calibri"/>
      <w:color w:val="000000"/>
      <w:lang w:val="sq-AL"/>
    </w:rPr>
  </w:style>
  <w:style w:type="character" w:customStyle="1" w:styleId="Heading3Char">
    <w:name w:val="Heading 3 Char"/>
    <w:basedOn w:val="DefaultParagraphFont"/>
    <w:link w:val="Heading3"/>
    <w:uiPriority w:val="9"/>
    <w:rsid w:val="00133485"/>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133485"/>
    <w:pPr>
      <w:tabs>
        <w:tab w:val="center" w:pos="4680"/>
        <w:tab w:val="right" w:pos="9360"/>
      </w:tabs>
      <w:spacing w:after="0" w:line="240" w:lineRule="auto"/>
    </w:pPr>
    <w:rPr>
      <w:lang w:val="sq-AL"/>
    </w:rPr>
  </w:style>
  <w:style w:type="character" w:customStyle="1" w:styleId="HeaderChar">
    <w:name w:val="Header Char"/>
    <w:basedOn w:val="DefaultParagraphFont"/>
    <w:link w:val="Header"/>
    <w:uiPriority w:val="99"/>
    <w:rsid w:val="00133485"/>
    <w:rPr>
      <w:lang w:val="sq-AL"/>
    </w:rPr>
  </w:style>
  <w:style w:type="paragraph" w:styleId="Footer">
    <w:name w:val="footer"/>
    <w:basedOn w:val="Normal"/>
    <w:link w:val="FooterChar"/>
    <w:uiPriority w:val="99"/>
    <w:unhideWhenUsed/>
    <w:rsid w:val="00133485"/>
    <w:pPr>
      <w:tabs>
        <w:tab w:val="center" w:pos="4680"/>
        <w:tab w:val="right" w:pos="9360"/>
      </w:tabs>
      <w:spacing w:after="0" w:line="240" w:lineRule="auto"/>
    </w:pPr>
    <w:rPr>
      <w:lang w:val="sq-AL"/>
    </w:rPr>
  </w:style>
  <w:style w:type="character" w:customStyle="1" w:styleId="FooterChar">
    <w:name w:val="Footer Char"/>
    <w:basedOn w:val="DefaultParagraphFont"/>
    <w:link w:val="Footer"/>
    <w:uiPriority w:val="99"/>
    <w:rsid w:val="00133485"/>
    <w:rPr>
      <w:lang w:val="sq-AL"/>
    </w:rPr>
  </w:style>
  <w:style w:type="character" w:styleId="CommentReference">
    <w:name w:val="annotation reference"/>
    <w:basedOn w:val="DefaultParagraphFont"/>
    <w:uiPriority w:val="99"/>
    <w:semiHidden/>
    <w:unhideWhenUsed/>
    <w:rsid w:val="00133485"/>
    <w:rPr>
      <w:sz w:val="16"/>
      <w:szCs w:val="16"/>
    </w:rPr>
  </w:style>
  <w:style w:type="paragraph" w:styleId="CommentText">
    <w:name w:val="annotation text"/>
    <w:basedOn w:val="Normal"/>
    <w:link w:val="CommentTextChar"/>
    <w:uiPriority w:val="99"/>
    <w:unhideWhenUsed/>
    <w:rsid w:val="00133485"/>
    <w:pPr>
      <w:spacing w:line="240" w:lineRule="auto"/>
    </w:pPr>
    <w:rPr>
      <w:sz w:val="20"/>
      <w:szCs w:val="20"/>
      <w:lang w:val="sq-AL"/>
    </w:rPr>
  </w:style>
  <w:style w:type="character" w:customStyle="1" w:styleId="CommentTextChar">
    <w:name w:val="Comment Text Char"/>
    <w:basedOn w:val="DefaultParagraphFont"/>
    <w:link w:val="CommentText"/>
    <w:uiPriority w:val="99"/>
    <w:rsid w:val="00133485"/>
    <w:rPr>
      <w:sz w:val="20"/>
      <w:szCs w:val="20"/>
      <w:lang w:val="sq-AL"/>
    </w:rPr>
  </w:style>
  <w:style w:type="paragraph" w:styleId="CommentSubject">
    <w:name w:val="annotation subject"/>
    <w:basedOn w:val="CommentText"/>
    <w:next w:val="CommentText"/>
    <w:link w:val="CommentSubjectChar"/>
    <w:uiPriority w:val="99"/>
    <w:semiHidden/>
    <w:unhideWhenUsed/>
    <w:rsid w:val="00133485"/>
    <w:rPr>
      <w:b/>
      <w:bCs/>
    </w:rPr>
  </w:style>
  <w:style w:type="character" w:customStyle="1" w:styleId="CommentSubjectChar">
    <w:name w:val="Comment Subject Char"/>
    <w:basedOn w:val="CommentTextChar"/>
    <w:link w:val="CommentSubject"/>
    <w:uiPriority w:val="99"/>
    <w:semiHidden/>
    <w:rsid w:val="00133485"/>
    <w:rPr>
      <w:b/>
      <w:bCs/>
      <w:sz w:val="20"/>
      <w:szCs w:val="20"/>
      <w:lang w:val="sq-AL"/>
    </w:rPr>
  </w:style>
  <w:style w:type="character" w:customStyle="1" w:styleId="ztplmc">
    <w:name w:val="ztplmc"/>
    <w:basedOn w:val="DefaultParagraphFont"/>
    <w:rsid w:val="00133485"/>
  </w:style>
  <w:style w:type="character" w:customStyle="1" w:styleId="material-icons-extended">
    <w:name w:val="material-icons-extended"/>
    <w:basedOn w:val="DefaultParagraphFont"/>
    <w:rsid w:val="00133485"/>
  </w:style>
  <w:style w:type="character" w:customStyle="1" w:styleId="hwtze">
    <w:name w:val="hwtze"/>
    <w:basedOn w:val="DefaultParagraphFont"/>
    <w:rsid w:val="00133485"/>
  </w:style>
  <w:style w:type="character" w:customStyle="1" w:styleId="rynqvb">
    <w:name w:val="rynqvb"/>
    <w:basedOn w:val="DefaultParagraphFont"/>
    <w:rsid w:val="00133485"/>
  </w:style>
  <w:style w:type="paragraph" w:customStyle="1" w:styleId="Default">
    <w:name w:val="Default"/>
    <w:rsid w:val="00133485"/>
    <w:pPr>
      <w:autoSpaceDE w:val="0"/>
      <w:autoSpaceDN w:val="0"/>
      <w:adjustRightInd w:val="0"/>
      <w:spacing w:after="0" w:line="240" w:lineRule="auto"/>
    </w:pPr>
    <w:rPr>
      <w:rFonts w:ascii="EUAlbertina" w:hAnsi="EUAlbertina" w:cs="EUAlbertina"/>
      <w:color w:val="000000"/>
      <w:sz w:val="24"/>
      <w:szCs w:val="24"/>
    </w:rPr>
  </w:style>
  <w:style w:type="paragraph" w:styleId="BalloonText">
    <w:name w:val="Balloon Text"/>
    <w:basedOn w:val="Normal"/>
    <w:link w:val="BalloonTextChar"/>
    <w:uiPriority w:val="99"/>
    <w:semiHidden/>
    <w:unhideWhenUsed/>
    <w:rsid w:val="00133485"/>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133485"/>
    <w:rPr>
      <w:rFonts w:ascii="Segoe UI" w:hAnsi="Segoe UI" w:cs="Segoe UI"/>
      <w:sz w:val="18"/>
      <w:szCs w:val="18"/>
      <w:lang w:val="sq-AL"/>
    </w:rPr>
  </w:style>
  <w:style w:type="paragraph" w:styleId="Revision">
    <w:name w:val="Revision"/>
    <w:hidden/>
    <w:uiPriority w:val="99"/>
    <w:semiHidden/>
    <w:rsid w:val="00133485"/>
    <w:pPr>
      <w:spacing w:after="0" w:line="240" w:lineRule="auto"/>
    </w:pPr>
  </w:style>
  <w:style w:type="paragraph" w:styleId="HTMLPreformatted">
    <w:name w:val="HTML Preformatted"/>
    <w:basedOn w:val="Normal"/>
    <w:link w:val="HTMLPreformattedChar"/>
    <w:uiPriority w:val="99"/>
    <w:semiHidden/>
    <w:unhideWhenUsed/>
    <w:rsid w:val="00133485"/>
    <w:pPr>
      <w:spacing w:after="0" w:line="240" w:lineRule="auto"/>
    </w:pPr>
    <w:rPr>
      <w:rFonts w:ascii="Consolas" w:hAnsi="Consolas" w:cs="Consolas"/>
      <w:sz w:val="20"/>
      <w:szCs w:val="20"/>
      <w:lang w:val="sq-AL"/>
    </w:rPr>
  </w:style>
  <w:style w:type="character" w:customStyle="1" w:styleId="HTMLPreformattedChar">
    <w:name w:val="HTML Preformatted Char"/>
    <w:basedOn w:val="DefaultParagraphFont"/>
    <w:link w:val="HTMLPreformatted"/>
    <w:uiPriority w:val="99"/>
    <w:semiHidden/>
    <w:rsid w:val="00133485"/>
    <w:rPr>
      <w:rFonts w:ascii="Consolas" w:hAnsi="Consolas" w:cs="Consolas"/>
      <w:sz w:val="20"/>
      <w:szCs w:val="20"/>
      <w:lang w:val="sq-AL"/>
    </w:rPr>
  </w:style>
  <w:style w:type="paragraph" w:styleId="NormalWeb">
    <w:name w:val="Normal (Web)"/>
    <w:basedOn w:val="Normal"/>
    <w:uiPriority w:val="99"/>
    <w:semiHidden/>
    <w:unhideWhenUsed/>
    <w:rsid w:val="00133485"/>
    <w:rPr>
      <w:rFonts w:ascii="Times New Roman" w:hAnsi="Times New Roman" w:cs="Times New Roman"/>
      <w:sz w:val="24"/>
      <w:szCs w:val="24"/>
      <w:lang w:val="sq-AL"/>
    </w:rPr>
  </w:style>
  <w:style w:type="paragraph" w:customStyle="1" w:styleId="Style1">
    <w:name w:val="Style1"/>
    <w:basedOn w:val="Normal"/>
    <w:next w:val="Heading1"/>
    <w:link w:val="Style1Char"/>
    <w:rsid w:val="00133485"/>
    <w:pPr>
      <w:jc w:val="both"/>
    </w:pPr>
    <w:rPr>
      <w:rFonts w:ascii="Times New Roman" w:hAnsi="Times New Roman" w:cs="Times New Roman"/>
      <w:b/>
      <w:bCs/>
      <w:sz w:val="24"/>
      <w:szCs w:val="24"/>
      <w:lang w:val="sq-AL"/>
    </w:rPr>
  </w:style>
  <w:style w:type="paragraph" w:customStyle="1" w:styleId="Style2">
    <w:name w:val="Style2"/>
    <w:basedOn w:val="Heading1"/>
    <w:link w:val="Style2Char"/>
    <w:rsid w:val="00133485"/>
    <w:pPr>
      <w:spacing w:before="360" w:after="240"/>
    </w:pPr>
    <w:rPr>
      <w:rFonts w:ascii="Times New Roman" w:hAnsi="Times New Roman" w:cs="Times New Roman"/>
      <w:color w:val="000000" w:themeColor="text1"/>
      <w:sz w:val="24"/>
      <w:lang w:val="sq-AL"/>
    </w:rPr>
  </w:style>
  <w:style w:type="character" w:customStyle="1" w:styleId="Style1Char">
    <w:name w:val="Style1 Char"/>
    <w:basedOn w:val="DefaultParagraphFont"/>
    <w:link w:val="Style1"/>
    <w:rsid w:val="00133485"/>
    <w:rPr>
      <w:rFonts w:ascii="Times New Roman" w:hAnsi="Times New Roman" w:cs="Times New Roman"/>
      <w:b/>
      <w:bCs/>
      <w:sz w:val="24"/>
      <w:szCs w:val="24"/>
      <w:lang w:val="sq-AL"/>
    </w:rPr>
  </w:style>
  <w:style w:type="character" w:customStyle="1" w:styleId="Style2Char">
    <w:name w:val="Style2 Char"/>
    <w:basedOn w:val="Heading1Char"/>
    <w:link w:val="Style2"/>
    <w:rsid w:val="00133485"/>
    <w:rPr>
      <w:rFonts w:ascii="Times New Roman" w:eastAsiaTheme="majorEastAsia" w:hAnsi="Times New Roman" w:cs="Times New Roman"/>
      <w:color w:val="000000" w:themeColor="text1"/>
      <w:sz w:val="24"/>
      <w:szCs w:val="32"/>
      <w:lang w:val="sq-AL"/>
    </w:rPr>
  </w:style>
  <w:style w:type="character" w:styleId="Hyperlink">
    <w:name w:val="Hyperlink"/>
    <w:basedOn w:val="DefaultParagraphFont"/>
    <w:uiPriority w:val="99"/>
    <w:unhideWhenUsed/>
    <w:rsid w:val="00133485"/>
    <w:rPr>
      <w:color w:val="0563C1" w:themeColor="hyperlink"/>
      <w:u w:val="single"/>
    </w:rPr>
  </w:style>
  <w:style w:type="character" w:customStyle="1" w:styleId="NoSpacingChar">
    <w:name w:val="No Spacing Char"/>
    <w:basedOn w:val="DefaultParagraphFont"/>
    <w:link w:val="NoSpacing"/>
    <w:uiPriority w:val="1"/>
    <w:locked/>
    <w:rsid w:val="00133485"/>
    <w:rPr>
      <w:rFonts w:ascii="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8C6A61B044D4D698D09E15F8234C0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2025-07-21T10:48:54Z</Data_x0020_e_x0020_Krijimit>
    <URL xmlns="0e656187-b300-4fb0-8bf4-3a50f872073c" xsi:nil="true"/>
    <Institucion_x0020_Pergjegjes xmlns="0e656187-b300-4fb0-8bf4-3a50f872073c">http://qbz.gov.al/resource/authority/legal-institution/47|komisioneri-per-mbrojtjen-e-te-dhenave-personale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2025-07-18T00:00:00Z</Date_x0020_protokolli>
    <Titulli xmlns="0e656187-b300-4fb0-8bf4-3a50f872073c">Për miratimin e metodologjisë për përllogaritjen e masës së sanksioneve administrative</Titulli>
    <Modifikuesi xmlns="0e656187-b300-4fb0-8bf4-3a50f872073c">jorina.kryeziu</Modifikuesi>
    <Nr_x002e__x0020_prot_x0020_QBZ xmlns="0e656187-b300-4fb0-8bf4-3a50f872073c">1202/2</Nr_x002e__x0020_prot_x0020_QBZ>
    <Data_x0020_e_x0020_Modifikimit xmlns="0e656187-b300-4fb0-8bf4-3a50f872073c">2025-07-23T08:04:21Z</Data_x0020_e_x0020_Modifikimit>
    <Dekretuar xmlns="0e656187-b300-4fb0-8bf4-3a50f872073c">false</Dekretuar>
    <Data xmlns="0e656187-b300-4fb0-8bf4-3a50f872073c">2025-07-16T00:00:00Z</Data>
    <Nr_x002e__x0020_protokolli_x0020_i_x0020_aktit xmlns="0e656187-b300-4fb0-8bf4-3a50f872073c">1840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D8C6A61B044D4D698D09E15F8234C0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65A702-21DE-4991-859C-D841AC5CE59F}">
  <ds:schemaRefs>
    <ds:schemaRef ds:uri="http://schemas.microsoft.com/sharepoint/v3/contenttype/forms"/>
  </ds:schemaRefs>
</ds:datastoreItem>
</file>

<file path=customXml/itemProps2.xml><?xml version="1.0" encoding="utf-8"?>
<ds:datastoreItem xmlns:ds="http://schemas.openxmlformats.org/officeDocument/2006/customXml" ds:itemID="{E58FFE09-F18D-4FA8-9A72-DC066D78C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374CE14-4C42-4836-A0C7-FA665E74C805}">
  <ds:schemaRefs>
    <ds:schemaRef ds:uri="http://purl.org/dc/dcmitype/"/>
    <ds:schemaRef ds:uri="http://www.w3.org/XML/1998/namespace"/>
    <ds:schemaRef ds:uri="http://schemas.microsoft.com/office/2006/metadata/properties"/>
    <ds:schemaRef ds:uri="http://purl.org/dc/terms/"/>
    <ds:schemaRef ds:uri="http://purl.org/dc/elements/1.1/"/>
    <ds:schemaRef ds:uri="http://schemas.microsoft.com/office/2006/documentManagement/type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D1B0077C-EB3E-4756-B679-01DDEF78B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45EB82C-CE56-409F-A029-B6999451A2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30</Pages>
  <Words>16600</Words>
  <Characters>94620</Characters>
  <Application>Microsoft Office Word</Application>
  <DocSecurity>0</DocSecurity>
  <Lines>788</Lines>
  <Paragraphs>221</Paragraphs>
  <ScaleCrop>false</ScaleCrop>
  <HeadingPairs>
    <vt:vector size="2" baseType="variant">
      <vt:variant>
        <vt:lpstr>Title</vt:lpstr>
      </vt:variant>
      <vt:variant>
        <vt:i4>1</vt:i4>
      </vt:variant>
    </vt:vector>
  </HeadingPairs>
  <TitlesOfParts>
    <vt:vector size="1" baseType="lpstr">
      <vt:lpstr>Për miratimin e metodologjisë për përllogaritjen e masës së sanksioneve administrative</vt:lpstr>
    </vt:vector>
  </TitlesOfParts>
  <Company/>
  <LinksUpToDate>false</LinksUpToDate>
  <CharactersWithSpaces>110999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metodologjisë për përllogaritjen e masës së sanksioneve administrative</dc:title>
  <dc:creator>Entela Suli</dc:creator>
  <cp:lastModifiedBy>Valeta Kaftalli</cp:lastModifiedBy>
  <cp:revision>86</cp:revision>
  <dcterms:created xsi:type="dcterms:W3CDTF">2025-07-21T09:47:00Z</dcterms:created>
  <dcterms:modified xsi:type="dcterms:W3CDTF">2025-07-23T08:48:00Z</dcterms:modified>
</cp:coreProperties>
</file>