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AAA" w:rsidRPr="00F3798C" w:rsidRDefault="00A00AAA" w:rsidP="00A00AAA">
      <w:pPr>
        <w:pStyle w:val="Titulli"/>
      </w:pPr>
      <w:bookmarkStart w:id="0" w:name="_GoBack"/>
      <w:bookmarkEnd w:id="0"/>
      <w:r w:rsidRPr="00F3798C">
        <w:t>UDHËZIM</w:t>
      </w:r>
    </w:p>
    <w:p w:rsidR="00A00AAA" w:rsidRPr="00F3798C" w:rsidRDefault="00A00AAA" w:rsidP="00A00AAA">
      <w:pPr>
        <w:pStyle w:val="NumriData"/>
      </w:pPr>
      <w:r>
        <w:t>Nr.16, datë 10.10.</w:t>
      </w:r>
      <w:r w:rsidRPr="00F3798C">
        <w:t>2003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Titulli"/>
      </w:pPr>
      <w:r>
        <w:t>MBI PROC</w:t>
      </w:r>
      <w:r w:rsidRPr="00F3798C">
        <w:t>EDURËN E VOTIMIT TË ZGJEDHËSVE TË VEÇANTË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BazLigjPropozues"/>
      </w:pPr>
      <w:r w:rsidRPr="00F3798C">
        <w:t>Në mbështetje të nenit 29</w:t>
      </w:r>
      <w:r>
        <w:t xml:space="preserve"> pika 1, nenit 61 të ligjit nr.</w:t>
      </w:r>
      <w:r w:rsidRPr="00F3798C">
        <w:t xml:space="preserve">9087, datë 19.6.2003 “Kodi Zgjedhor i Republikës së Shqipërisë”, Komisioni Qendror i Zgjedhjeve, </w:t>
      </w:r>
    </w:p>
    <w:p w:rsidR="00A00AAA" w:rsidRPr="00F3798C" w:rsidRDefault="00A00AAA" w:rsidP="00A00AAA">
      <w:pPr>
        <w:pStyle w:val="Paragrafi"/>
      </w:pPr>
    </w:p>
    <w:p w:rsidR="00A00AAA" w:rsidRDefault="00A00AAA" w:rsidP="00A00AAA">
      <w:pPr>
        <w:pStyle w:val="VENDOSI"/>
      </w:pPr>
      <w:r w:rsidRPr="00F3798C">
        <w:t>Udhëzon:</w:t>
      </w:r>
    </w:p>
    <w:p w:rsidR="00A00AAA" w:rsidRPr="00D52A9B" w:rsidRDefault="00A00AAA" w:rsidP="00A00AAA">
      <w:pPr>
        <w:rPr>
          <w:lang w:val="en-GB"/>
        </w:rPr>
      </w:pPr>
    </w:p>
    <w:p w:rsidR="00A00AAA" w:rsidRPr="00F3798C" w:rsidRDefault="00A00AAA" w:rsidP="00A00AAA">
      <w:pPr>
        <w:pStyle w:val="NeniNr"/>
      </w:pPr>
      <w:r w:rsidRPr="00F3798C">
        <w:t>Neni 1</w:t>
      </w:r>
    </w:p>
    <w:p w:rsidR="00A00AAA" w:rsidRPr="00F3798C" w:rsidRDefault="00A00AAA" w:rsidP="00A00AAA">
      <w:pPr>
        <w:pStyle w:val="NeniTitull"/>
      </w:pPr>
      <w:r w:rsidRPr="00F3798C">
        <w:t>Qëllimi i këtij udhëzimi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Paragrafi"/>
      </w:pPr>
      <w:r w:rsidRPr="00F3798C">
        <w:t xml:space="preserve">Ky udhëzim ka për qëllim </w:t>
      </w:r>
      <w:r>
        <w:t>përcaktimin e kritereve dhe proc</w:t>
      </w:r>
      <w:r w:rsidRPr="00F3798C">
        <w:t>edurave të votimit të zgj</w:t>
      </w:r>
      <w:r>
        <w:t>edhësve të veçantë, anëtarë të komisioneve të qendrave të v</w:t>
      </w:r>
      <w:r w:rsidRPr="00F3798C">
        <w:t xml:space="preserve">otimit, që janë të regjistruar në një </w:t>
      </w:r>
      <w:r>
        <w:t>q</w:t>
      </w:r>
      <w:r w:rsidRPr="00F3798C">
        <w:t>endër votimi të ndryshme nga ajo ku kanë vendbanimin ose vendqëndrimin brenda njësisë zgjedhore përkatëse.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NeniNr"/>
      </w:pPr>
      <w:r w:rsidRPr="00F3798C">
        <w:t>Neni 2</w:t>
      </w:r>
    </w:p>
    <w:p w:rsidR="00A00AAA" w:rsidRPr="00F3798C" w:rsidRDefault="00A00AAA" w:rsidP="00A00AAA">
      <w:pPr>
        <w:pStyle w:val="NeniTitull"/>
      </w:pPr>
      <w:r w:rsidRPr="00F3798C">
        <w:t>Procedura e votimit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Paragrafi"/>
      </w:pPr>
      <w:r w:rsidRPr="00F3798C">
        <w:t>Të gjithë zgjedhësit</w:t>
      </w:r>
      <w:r>
        <w:t xml:space="preserve"> që janë caktuar si anëtarë të komisioneve të qendrave të v</w:t>
      </w:r>
      <w:r w:rsidRPr="00F3798C">
        <w:t>otimit, në qendra votimi të ndryshme prej atyre ku ata kanë vendbanimin ose vendqëndrimin brenda njësisë zgjedhore përkatëse, evidentohen dhe regjistrohen prej KZQV-ve respektive në një listë të posaçme.</w:t>
      </w:r>
    </w:p>
    <w:p w:rsidR="00A00AAA" w:rsidRPr="00F3798C" w:rsidRDefault="00A00AAA" w:rsidP="00A00AAA">
      <w:pPr>
        <w:pStyle w:val="Paragrafi"/>
      </w:pPr>
      <w:r>
        <w:t>Kjo listë përmban të dhënat pe</w:t>
      </w:r>
      <w:r w:rsidRPr="00F3798C">
        <w:t>rsonale të secilit prej tyre, numrin e qendrës së votimit ku zgjedhësi i veçantë është regjistruar</w:t>
      </w:r>
      <w:r>
        <w:t>,</w:t>
      </w:r>
      <w:r w:rsidRPr="00F3798C">
        <w:t xml:space="preserve"> si dhe atë ku a</w:t>
      </w:r>
      <w:r>
        <w:t>i është caktuar si anëtar i kom</w:t>
      </w:r>
      <w:r w:rsidRPr="00F3798C">
        <w:t>isionit të qendrës së votimit.</w:t>
      </w:r>
    </w:p>
    <w:p w:rsidR="00A00AAA" w:rsidRPr="00F3798C" w:rsidRDefault="00A00AAA" w:rsidP="00A00AAA">
      <w:pPr>
        <w:pStyle w:val="Paragrafi"/>
      </w:pPr>
      <w:r w:rsidRPr="00F3798C">
        <w:t>Bazuar në këtë listë, KZQV-ja merr vendim për lejimin e zgjedhësit të veçantë për të votuar në qendrën e votimit ku ai është anëtar i KQV</w:t>
      </w:r>
      <w:r>
        <w:t>-së,</w:t>
      </w:r>
      <w:r w:rsidRPr="00F3798C">
        <w:t xml:space="preserve"> dhe për të mos e lejuar atë të votojë në qendrën e votimit ku ai ndodhet i regjistruar në listën përfundimtare të zgjedhësve.</w:t>
      </w:r>
    </w:p>
    <w:p w:rsidR="00A00AAA" w:rsidRPr="00F3798C" w:rsidRDefault="00A00AAA" w:rsidP="00A00AAA">
      <w:pPr>
        <w:pStyle w:val="Paragrafi"/>
      </w:pPr>
      <w:r w:rsidRPr="00F3798C">
        <w:t>Një</w:t>
      </w:r>
      <w:r w:rsidRPr="0085212C">
        <w:rPr>
          <w:sz w:val="18"/>
        </w:rPr>
        <w:t xml:space="preserve"> </w:t>
      </w:r>
      <w:r w:rsidRPr="00F3798C">
        <w:t>kopje</w:t>
      </w:r>
      <w:r w:rsidRPr="0085212C">
        <w:rPr>
          <w:sz w:val="18"/>
        </w:rPr>
        <w:t xml:space="preserve"> </w:t>
      </w:r>
      <w:r w:rsidRPr="00F3798C">
        <w:t>e</w:t>
      </w:r>
      <w:r w:rsidRPr="0085212C">
        <w:rPr>
          <w:sz w:val="18"/>
        </w:rPr>
        <w:t xml:space="preserve"> </w:t>
      </w:r>
      <w:r w:rsidRPr="00F3798C">
        <w:t>vendimit</w:t>
      </w:r>
      <w:r w:rsidRPr="0085212C">
        <w:rPr>
          <w:sz w:val="18"/>
        </w:rPr>
        <w:t xml:space="preserve"> </w:t>
      </w:r>
      <w:r w:rsidRPr="00F3798C">
        <w:t>i</w:t>
      </w:r>
      <w:r w:rsidRPr="0085212C">
        <w:rPr>
          <w:sz w:val="18"/>
        </w:rPr>
        <w:t xml:space="preserve"> </w:t>
      </w:r>
      <w:r w:rsidRPr="00F3798C">
        <w:t>dërgohet</w:t>
      </w:r>
      <w:r w:rsidRPr="0085212C">
        <w:rPr>
          <w:sz w:val="16"/>
        </w:rPr>
        <w:t xml:space="preserve"> </w:t>
      </w:r>
      <w:r w:rsidRPr="00F3798C">
        <w:t>KQV-së</w:t>
      </w:r>
      <w:r w:rsidRPr="0085212C">
        <w:rPr>
          <w:sz w:val="14"/>
        </w:rPr>
        <w:t xml:space="preserve"> </w:t>
      </w:r>
      <w:r w:rsidRPr="00F3798C">
        <w:t>ku zgjedhësi</w:t>
      </w:r>
      <w:r w:rsidRPr="0085212C">
        <w:rPr>
          <w:sz w:val="18"/>
        </w:rPr>
        <w:t xml:space="preserve"> </w:t>
      </w:r>
      <w:r w:rsidRPr="00F3798C">
        <w:t>është anëtar</w:t>
      </w:r>
      <w:r w:rsidRPr="0085212C">
        <w:rPr>
          <w:sz w:val="18"/>
        </w:rPr>
        <w:t xml:space="preserve"> </w:t>
      </w:r>
      <w:r w:rsidRPr="00F3798C">
        <w:t>dhe</w:t>
      </w:r>
      <w:r w:rsidRPr="0085212C">
        <w:rPr>
          <w:sz w:val="18"/>
        </w:rPr>
        <w:t xml:space="preserve"> </w:t>
      </w:r>
      <w:r w:rsidRPr="00F3798C">
        <w:t>një</w:t>
      </w:r>
      <w:r w:rsidRPr="0085212C">
        <w:rPr>
          <w:sz w:val="18"/>
        </w:rPr>
        <w:t xml:space="preserve"> </w:t>
      </w:r>
      <w:r w:rsidRPr="00F3798C">
        <w:t>kopje</w:t>
      </w:r>
      <w:r w:rsidRPr="0085212C">
        <w:rPr>
          <w:sz w:val="18"/>
        </w:rPr>
        <w:t xml:space="preserve"> </w:t>
      </w:r>
      <w:r w:rsidRPr="00F3798C">
        <w:t>tjetër</w:t>
      </w:r>
      <w:r w:rsidRPr="0085212C">
        <w:rPr>
          <w:sz w:val="18"/>
        </w:rPr>
        <w:t xml:space="preserve"> </w:t>
      </w:r>
      <w:r w:rsidRPr="00F3798C">
        <w:t>KQV</w:t>
      </w:r>
      <w:r>
        <w:t>-së</w:t>
      </w:r>
      <w:r w:rsidRPr="00F3798C">
        <w:t xml:space="preserve"> ku zgjedhësi është regjistruar në listën e zgjedhësve.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NeniNr"/>
      </w:pPr>
      <w:r w:rsidRPr="00F3798C">
        <w:t>Neni 3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Paragrafi"/>
      </w:pPr>
      <w:r w:rsidRPr="00F3798C">
        <w:t>Anëtarët e KQV-së do të votojnë në fund të votimit, kur të mos ketë më zgjedhës që presin të votojnë.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NeniNr"/>
      </w:pPr>
      <w:r w:rsidRPr="00F3798C">
        <w:t>Neni 4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Paragrafi"/>
      </w:pPr>
      <w:r w:rsidRPr="00F3798C">
        <w:t>Modeli i vendimit të KQZ</w:t>
      </w:r>
      <w:r>
        <w:t>-së</w:t>
      </w:r>
      <w:r w:rsidRPr="00F3798C">
        <w:t xml:space="preserve"> që lejon zgjedhësin e veçantë për të votuar në qendrën e votimit ku ai është anëtar i KQV-së, miratohet me vendim të KQZ-së.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NeniNr"/>
      </w:pPr>
      <w:r w:rsidRPr="00F3798C">
        <w:t>Neni 5</w:t>
      </w:r>
    </w:p>
    <w:p w:rsidR="00A00AAA" w:rsidRPr="00F3798C" w:rsidRDefault="00A00AAA" w:rsidP="00A00AAA">
      <w:pPr>
        <w:pStyle w:val="Paragrafi"/>
      </w:pPr>
    </w:p>
    <w:p w:rsidR="00A00AAA" w:rsidRPr="00F3798C" w:rsidRDefault="00A00AAA" w:rsidP="00A00AAA">
      <w:pPr>
        <w:pStyle w:val="Paragrafi"/>
      </w:pPr>
      <w:r w:rsidRPr="00F3798C">
        <w:t>Ky udhëzim hyn në fuqi menjëherë.</w:t>
      </w:r>
    </w:p>
    <w:p w:rsidR="00A00AAA" w:rsidRPr="00F3798C" w:rsidRDefault="00A00AAA" w:rsidP="00A00AAA">
      <w:pPr>
        <w:pStyle w:val="Paragrafi"/>
      </w:pPr>
    </w:p>
    <w:p w:rsidR="00A00AAA" w:rsidRDefault="00A00AAA" w:rsidP="00A00AA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1DF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0AAA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40D17F-760D-410A-86DA-63C183E2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AA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A00AA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00AAA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A00AA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00AA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00AA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