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2F3" w:rsidRPr="009A1523" w:rsidRDefault="008F12F3" w:rsidP="008F12F3">
      <w:pPr>
        <w:pStyle w:val="Akti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UDHËZIM</w:t>
      </w:r>
    </w:p>
    <w:p w:rsidR="008F12F3" w:rsidRPr="009A1523" w:rsidRDefault="008F12F3" w:rsidP="008F12F3">
      <w:pPr>
        <w:pStyle w:val="NumriData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 xml:space="preserve">Nr.4, </w:t>
      </w:r>
      <w:proofErr w:type="spellStart"/>
      <w:r w:rsidRPr="009A1523">
        <w:rPr>
          <w:rFonts w:ascii="Garamond" w:hAnsi="Garamond"/>
          <w:sz w:val="24"/>
          <w:szCs w:val="24"/>
        </w:rPr>
        <w:t>datë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23.3.2005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Titulli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PËR CAKTIMIN E VENDIT TË NUMËRIMIT TË VOTAVE, PËRGATITJES SË TYRE DHE MËNYRËN E NGRITJES SË GRUPEVE TË NUMËRIMIT</w:t>
      </w:r>
    </w:p>
    <w:p w:rsidR="008F12F3" w:rsidRPr="009A1523" w:rsidRDefault="00507024" w:rsidP="00507024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  <w:r w:rsidRPr="009A1523">
        <w:rPr>
          <w:rFonts w:ascii="Garamond" w:hAnsi="Garamond"/>
          <w:i/>
          <w:sz w:val="24"/>
          <w:szCs w:val="24"/>
          <w:lang w:val="it-IT"/>
        </w:rPr>
        <w:t>(Ndryshuar me udhëzimin nr.14, datë 28.5.2005</w:t>
      </w:r>
      <w:r w:rsidR="009A1523" w:rsidRPr="009A1523">
        <w:rPr>
          <w:rFonts w:ascii="Garamond" w:hAnsi="Garamond"/>
          <w:i/>
          <w:sz w:val="24"/>
          <w:szCs w:val="24"/>
          <w:lang w:val="it-IT"/>
        </w:rPr>
        <w:t>;</w:t>
      </w:r>
      <w:r w:rsidR="00E41BF0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9A1523" w:rsidRPr="009A1523">
        <w:rPr>
          <w:rFonts w:ascii="Garamond" w:hAnsi="Garamond"/>
          <w:i/>
          <w:sz w:val="24"/>
          <w:szCs w:val="24"/>
          <w:lang w:val="it-IT"/>
        </w:rPr>
        <w:t>nr.</w:t>
      </w:r>
      <w:r w:rsidR="00E41BF0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9A1523" w:rsidRPr="009A1523">
        <w:rPr>
          <w:rFonts w:ascii="Garamond" w:hAnsi="Garamond"/>
          <w:i/>
          <w:sz w:val="24"/>
          <w:szCs w:val="24"/>
          <w:lang w:val="it-IT"/>
        </w:rPr>
        <w:t>21, datë 30.6.2005</w:t>
      </w:r>
      <w:r w:rsidRPr="009A1523">
        <w:rPr>
          <w:rFonts w:ascii="Garamond" w:hAnsi="Garamond"/>
          <w:i/>
          <w:sz w:val="24"/>
          <w:szCs w:val="24"/>
          <w:lang w:val="it-IT"/>
        </w:rPr>
        <w:t>)</w:t>
      </w:r>
    </w:p>
    <w:p w:rsidR="00507024" w:rsidRPr="009A1523" w:rsidRDefault="00507024" w:rsidP="0050702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9A1523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507024" w:rsidRPr="009A1523" w:rsidRDefault="00507024" w:rsidP="0050702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</w:p>
    <w:p w:rsidR="008F12F3" w:rsidRPr="009A1523" w:rsidRDefault="008F12F3" w:rsidP="008F12F3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Komisioni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Qendror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Zgjedhjeve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mbështetje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29 </w:t>
      </w:r>
      <w:proofErr w:type="spellStart"/>
      <w:r w:rsidRPr="009A1523">
        <w:rPr>
          <w:rFonts w:ascii="Garamond" w:hAnsi="Garamond"/>
          <w:sz w:val="24"/>
          <w:szCs w:val="24"/>
        </w:rPr>
        <w:t>pika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1,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95,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95/1,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95/</w:t>
      </w:r>
      <w:proofErr w:type="gramStart"/>
      <w:r w:rsidRPr="009A1523">
        <w:rPr>
          <w:rFonts w:ascii="Garamond" w:hAnsi="Garamond"/>
          <w:sz w:val="24"/>
          <w:szCs w:val="24"/>
        </w:rPr>
        <w:t>2 ,</w:t>
      </w:r>
      <w:proofErr w:type="gram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109/3,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109/4,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109/5 </w:t>
      </w:r>
      <w:proofErr w:type="spellStart"/>
      <w:r w:rsidRPr="009A1523">
        <w:rPr>
          <w:rFonts w:ascii="Garamond" w:hAnsi="Garamond"/>
          <w:sz w:val="24"/>
          <w:szCs w:val="24"/>
        </w:rPr>
        <w:t>dhe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nenit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109/6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ligjit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nr.9087, </w:t>
      </w:r>
      <w:proofErr w:type="spellStart"/>
      <w:r w:rsidRPr="009A1523">
        <w:rPr>
          <w:rFonts w:ascii="Garamond" w:hAnsi="Garamond"/>
          <w:sz w:val="24"/>
          <w:szCs w:val="24"/>
        </w:rPr>
        <w:t>datë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19.6.2003 “</w:t>
      </w:r>
      <w:proofErr w:type="spellStart"/>
      <w:r w:rsidRPr="009A1523">
        <w:rPr>
          <w:rFonts w:ascii="Garamond" w:hAnsi="Garamond"/>
          <w:sz w:val="24"/>
          <w:szCs w:val="24"/>
        </w:rPr>
        <w:t>Kodi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Zgjedhor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Republikës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së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Shqipërisë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ndryshuar</w:t>
      </w:r>
      <w:proofErr w:type="spellEnd"/>
      <w:r w:rsidRPr="009A1523">
        <w:rPr>
          <w:rFonts w:ascii="Garamond" w:hAnsi="Garamond"/>
          <w:sz w:val="24"/>
          <w:szCs w:val="24"/>
        </w:rPr>
        <w:t xml:space="preserve">, </w:t>
      </w:r>
    </w:p>
    <w:p w:rsidR="008F12F3" w:rsidRPr="009A1523" w:rsidRDefault="008F12F3" w:rsidP="008F12F3">
      <w:pPr>
        <w:pStyle w:val="BazLigjPropozues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VENDOSI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UDHËZON:</w:t>
      </w:r>
    </w:p>
    <w:p w:rsidR="008F12F3" w:rsidRPr="009A1523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PJESA I</w:t>
      </w:r>
    </w:p>
    <w:p w:rsidR="008F12F3" w:rsidRPr="009A1523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TË PËRGJITHSHME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Qëllimi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Ky udhëzim ka për qëllim të përcaktojë rregullat për caktimin e vendndodhjes së vendit të numërimit të votave (VNV), përgatitjen e tyre, si dhe të rregullojë mënyrën e ngritjes së grupeve të numërimit (GN).</w:t>
      </w:r>
    </w:p>
    <w:p w:rsidR="008F12F3" w:rsidRPr="009A1523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Parime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përgjithshme</w:t>
      </w:r>
      <w:proofErr w:type="spellEnd"/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2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Grupi i numërimit është përgjegjës për numërimin dhe vlerësimin e votave, si dhe për plotësimin e tabelave të rezultateve për çdo qendër  votimi.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2. Grupet e numërimit ngrihen me vendim të KZZ-së. Çdo grup numërimi përbëhet nga shtatë anëtarë dhe sekretari. Propozimet për anëtarët e GN-së bëhen nga partitë politike, që kanë propozuar anëtarët e KZZ-ve. Anëtarët e GN-së caktohen nga KZZ-ja, sipas modelit tip të vendimit të miratuar nga KQZ-ja.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3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Vendi i numërimit të votave caktohet si rregull në ndërtesa publike, si: pallat sporti, pallat kulture, qendër kulturore e fëmijëve, palestra sportive, salla kinemaje etj.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2. Vendi i numërimit të votave mund të caktohet në ndërtesa private vetëm me vendim të veçantë të KQZ-së.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PJESA II</w:t>
      </w:r>
    </w:p>
    <w:p w:rsidR="008F12F3" w:rsidRPr="009A1523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CAKTIMI I VENDNDODHJES SË VENDIT TË NUMËRIMIT TË VOTAVE (VNV)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4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Vendndodhja</w:t>
      </w:r>
      <w:proofErr w:type="spellEnd"/>
      <w:r w:rsidRPr="009A1523">
        <w:rPr>
          <w:rFonts w:ascii="Garamond" w:hAnsi="Garamond"/>
          <w:sz w:val="24"/>
          <w:szCs w:val="24"/>
        </w:rPr>
        <w:t xml:space="preserve"> e VNV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Vendndodhja e VNV-së caktohet me vendim të KQZ-së, mbi bazë të propozimit të paraqitur nga Komisioni i Zonës Zgjedhore përkatëse, sipas modelit të miratuar nga KQZ, bashkëlidhur këtij udhëzimi.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2. Vendndodhja e vendit të numërimit të votave caktohet në njësinë vendore, ku është </w:t>
      </w:r>
      <w:r w:rsidRPr="009A1523">
        <w:rPr>
          <w:rFonts w:ascii="Garamond" w:hAnsi="Garamond"/>
          <w:sz w:val="24"/>
          <w:szCs w:val="24"/>
          <w:lang w:val="it-IT"/>
        </w:rPr>
        <w:lastRenderedPageBreak/>
        <w:t xml:space="preserve">ngritur zyra e KZZ-së. </w:t>
      </w:r>
    </w:p>
    <w:p w:rsidR="008F12F3" w:rsidRPr="009A1523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5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Kritere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teknike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VNV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Vendi i numërimit të votave, i përzgjedhur nga Komisioni i Zonës Zgjedhore, duhet të plotësojë të paktën kriteret e mëposhtme teknike: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a) sipërfaqja e ambientit të VNV-së, si rregull, duhet të jetë jo më e vogël se 200 m</w:t>
      </w:r>
      <w:r w:rsidRPr="009A1523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9A1523">
        <w:rPr>
          <w:rFonts w:ascii="Garamond" w:hAnsi="Garamond"/>
          <w:sz w:val="24"/>
          <w:szCs w:val="24"/>
          <w:lang w:val="it-IT"/>
        </w:rPr>
        <w:t>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b) të ketë sistem të siguruar ndriçimi, të mjaftueshëm dhe të pandërprerë, si në mjediset e brendshme ashtu edhe përreth godinës;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c) për aq sa është e mundur të ketë më shumë se një derë komunikuese me mjedisin e jashtëm;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ç)  të jetë e pajisur me mjete të mbrojtjes kundër zjarrit, si dhe të ndihmës së shpejtë.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2. Propozimi duhet të shoqërohet me skicën përkatëse të ambientit.</w:t>
      </w:r>
    </w:p>
    <w:p w:rsidR="008F12F3" w:rsidRPr="009A1523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6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Organizimi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vendit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numërimit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votave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1. KZZ-ja organizon dhe përgatit VNV-në, në mënyrë të tillë që të garantojë zhvillimin normal të punës për numërimin e votave. 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2. KZZ-ja organizon hapësirën e VNV-së në mënyrë të tillë, që të jetë e ndarë në mënyrë të qartë nga hapësira për vëzhguesit, kandidatët, publikun dhe mediat, por në çdo rast pa cenuar mundësinë e ndjekjes nga afër të procesit të numërimit. 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3. Organizimi fizik i hapësirës në dispozicion të GN-së duhet të bëhet në mënyrë të tillë, që të pengojë ndërhyrjen e personave të tjerë të paautorizuar.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4. Në çdo rast, KZZ-ja në bashkëpunim me organet e qeverisjes vendore, jo më vonë se pesë ditë para ditës së zgjedhjeve, bën rregullimin e VNV-së sipas planvendosjes tip bashkëlidhur këtij udhëzimi,  si edhe vendos pajisjet logjistike të nevojshme për kryerjen e procesit të numërimit, si më poshtë: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a) Tavolina pune dhe tetë karrige për KZZ-në;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b) Deri në 5 dyshe tavolinash (vendosen në formë T-je sipas shpjegimit në skemën tip) me nga tetë karrige për çdo grup të numërimit të votave;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c) Strukturën ndarëse të hapësirës për publikun me hapësirën për numërimin e votave;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ç) Tabelat treguese të dërguara nga KQZ (ndalim duhani etj.);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d) Tabelat treguese për drejtimin e lëvizjes në mjediset e brendshme të VNV-së.</w:t>
      </w:r>
    </w:p>
    <w:p w:rsidR="008F12F3" w:rsidRPr="009A1523" w:rsidRDefault="008F12F3" w:rsidP="008F12F3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Pjesa III</w:t>
      </w:r>
    </w:p>
    <w:p w:rsidR="008F12F3" w:rsidRPr="009A1523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NGRITJA E GRUPEVE TË NUMËRIMIT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7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Caktimi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numrit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grupeve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Çdo KZZ cakton me vendim deri në pesë grupe numërimi. Çdo GN numëron votat e të paktën tri qendrave të votimit, sipas procedurës së parashikuar në ligj.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2. KZZ-të që kanë më shumë se 40 qendra votimi detyrimisht caktojnë pesë GN.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 </w:t>
      </w: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8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Emërimi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anëtarëve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grupeve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1. Jo më vonë se 5 ditë përpara datës së zgjedhjeve, KZZ-ja merr vendim për numrin e GN-ve që do të ngrejë. KZZ-ja ua dërgon menjëherë këtë vendim partive politike që kanë të drejtë </w:t>
      </w:r>
      <w:r w:rsidRPr="009A1523">
        <w:rPr>
          <w:rFonts w:ascii="Garamond" w:hAnsi="Garamond"/>
          <w:sz w:val="24"/>
          <w:szCs w:val="24"/>
          <w:lang w:val="it-IT"/>
        </w:rPr>
        <w:lastRenderedPageBreak/>
        <w:t xml:space="preserve">të paraqesin propozime për anëtarë të grupeve të numërimit. 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2. Propozimi për emrat e anëtarëve të GN-ve i paraqitet KZZ-së nga personi i autorizuar nga kryetari i partisë që ka të drejtë të bëjë propozimin. 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3. Partia politike, e cila ka propozuar zëvendëskryetarin e KZZ-së, ka të drejtën të paraqesë propozime për dy anëtarë të grupit të parë të numërimit, njëri prej të cilëve caktohet nga KZZ-ja, kryetar i këtij grupi numërimi.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4. Partia politike, e cila ka propozuar kryetarin e KZZ-së, ka të drejtën të paraqesë propozime për dy anëtarë të grupit të dytë të numërimit, njëri prej të cilëve caktohet nga KZZ-ja, kryetar i këtij grupi numërimi. Me këtë radhë vazhdohet me grupet e tjera të numërimit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9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Zëvendësimi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anëtarëve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grupit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1. Në rast se një parti politike nuk paraqet propozim brenda afatit kohor të përcaktuar në nenin 95/2 pika 1 të Kodit Zgjedhor, KZZ-ja me vendim cakton anëtarin zëvendësues. 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2. Zëvendësuesi caktohet me short ndërmjet anëtarëve të KQV-ve të zonës zgjedhore, të emëruar me propozim të së njëjtës parti politike.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3. Procedura e shortit është si më poshtë: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a) Sekretari i KZZ-së përgatit dhe vendos në një enë, një numër të barabartë shiritash letre me numrin e qendrave të votimit në zonën zgjedhore. Secili nga shiritat e letrës ka të shënuar numrin e një qendre votimi.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b) Kryetari i KZZ-së tërheq njërin nga shiritat e letrës dhe lexon numrin e qendrës së votimit të shënuar në të.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c) Anëtari i kësaj KQV-je, i emëruar me propozim të partisë politike për të cilën hidhet shorti, caktohet anëtar i grupit të numërimit.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d) Kryetari i KZZ-së tërheq shirita letre në numër të barabartë me numrin e grupeve të numërimit që do të ngrihen.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e) Në rastet kur shorti hidhet si pasojë e mosparaqitjes së propozimeve nga një parti politike, e cila ka paraqitur propozime për emërimin e dy anëtarëve të KQV-së, atëherë pas çdo tërheqje shiriti letre me numrin e QV-së, kryetari i KZZ-së hedh short me monedhë, për të caktuar se cili nga dy anëtarët e KQV-së do të caktohet në grupin e numërimit. Procedura vazhdon e njëjtë derisa të caktohen të gjithë grupet e numërimit.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4. Në rastet kur vendi i një anëtari të grupit të numërimit mbetet vakant gjatë procesit të numërimit të votave, partia politike e cila kishte propozuar anëtarin paraqet menjëherë propozimin e ri.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5. Nëse partia politike nuk paraqet propozimin për plotësimin e vakancës brenda 1 ore, KZZ-ja zbaton procedurën e shortit sipas pikës 3 të këtij neni.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jesaNr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Pjesa IV</w:t>
      </w:r>
    </w:p>
    <w:p w:rsidR="008F12F3" w:rsidRPr="009A1523" w:rsidRDefault="008F12F3" w:rsidP="008F12F3">
      <w:pPr>
        <w:pStyle w:val="PjesaTitull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sz w:val="24"/>
          <w:szCs w:val="24"/>
        </w:rPr>
        <w:t>GRUPI I NUMËRIMIT TË VOTAVE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10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Kryetari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dhe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r w:rsidRPr="009A1523">
        <w:rPr>
          <w:rFonts w:ascii="Garamond" w:hAnsi="Garamond"/>
          <w:sz w:val="24"/>
          <w:szCs w:val="24"/>
          <w:lang w:val="it-IT"/>
        </w:rPr>
        <w:t>zëvendës</w:t>
      </w:r>
      <w:proofErr w:type="spellStart"/>
      <w:r w:rsidRPr="009A1523">
        <w:rPr>
          <w:rFonts w:ascii="Garamond" w:hAnsi="Garamond"/>
          <w:sz w:val="24"/>
          <w:szCs w:val="24"/>
        </w:rPr>
        <w:t>kryetari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grupit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Kryetari i GN-së është përgjegjës për drejtimin e procedurave për numërimin dhe vlerësimin e votave, si dhe për hartimin e tabelave të rezultateve të qendrës së votimit.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2. Kryetar i grupit të numërimit me numër tek, caktohet personi i propozuar nga Partia politike, e cila ka propozuar zëvendëskryetarin e KZZ-së.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 xml:space="preserve">3. Kryetar i grupit të numërimit me numër çift caktohet personi i propozuar nga partia politike, e cila ka propozuar kryetarin e KZZ-së. Me këtë radhë vazhdohet me grupet e tjera. 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lastRenderedPageBreak/>
        <w:t>4. Zëvendëskryetari i grupit të numërimit i përket partisë politike më të madhe të spektrit të kundërt me kryetarin.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11</w:t>
      </w:r>
    </w:p>
    <w:p w:rsidR="008F12F3" w:rsidRPr="009A1523" w:rsidRDefault="008F12F3" w:rsidP="008F12F3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Sekretari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grupit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të</w:t>
      </w:r>
      <w:proofErr w:type="spellEnd"/>
      <w:r w:rsidRPr="009A1523">
        <w:rPr>
          <w:rFonts w:ascii="Garamond" w:hAnsi="Garamond"/>
          <w:sz w:val="24"/>
          <w:szCs w:val="24"/>
        </w:rPr>
        <w:t xml:space="preserve"> </w:t>
      </w:r>
      <w:proofErr w:type="spellStart"/>
      <w:r w:rsidRPr="009A1523">
        <w:rPr>
          <w:rFonts w:ascii="Garamond" w:hAnsi="Garamond"/>
          <w:sz w:val="24"/>
          <w:szCs w:val="24"/>
        </w:rPr>
        <w:t>numërimit</w:t>
      </w:r>
      <w:proofErr w:type="spellEnd"/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1. Sekretari i GN-së caktohet nga KZZ-ja me propozim të subjektit politik që ka paraqitur edhe propozimin për caktimin e zëvendëskryetarit të të njëjtit GN.</w:t>
      </w:r>
    </w:p>
    <w:p w:rsidR="009A1523" w:rsidRPr="009A1523" w:rsidRDefault="009A1523" w:rsidP="009A152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1523" w:rsidRPr="009A1523" w:rsidRDefault="009A1523" w:rsidP="009A152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A1523" w:rsidRPr="009A1523" w:rsidRDefault="009A1523" w:rsidP="009A152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1523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Neni 11/a</w:t>
      </w:r>
    </w:p>
    <w:p w:rsidR="009A1523" w:rsidRDefault="009A1523" w:rsidP="009A152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A1523">
        <w:rPr>
          <w:rFonts w:ascii="Garamond" w:hAnsi="Garamond"/>
          <w:i/>
          <w:sz w:val="24"/>
          <w:szCs w:val="24"/>
          <w:lang w:val="sq-AL"/>
        </w:rPr>
        <w:t>(Shtuar me udhëzimin nr.21, datë 30.6.2005)</w:t>
      </w:r>
    </w:p>
    <w:p w:rsidR="00E41BF0" w:rsidRPr="009A1523" w:rsidRDefault="00E41BF0" w:rsidP="009A1523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</w:p>
    <w:p w:rsidR="009A1523" w:rsidRPr="009A1523" w:rsidRDefault="009A1523" w:rsidP="009A152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1523">
        <w:rPr>
          <w:rFonts w:ascii="Garamond" w:hAnsi="Garamond"/>
          <w:sz w:val="24"/>
          <w:szCs w:val="24"/>
          <w:lang w:val="sq-AL"/>
        </w:rPr>
        <w:t xml:space="preserve">Për mbajtjen e rregullit dhe qetësisë në VNV, si dhe kontrollin e hyrje-daljeve të personave në </w:t>
      </w:r>
      <w:proofErr w:type="spellStart"/>
      <w:r w:rsidRPr="009A1523">
        <w:rPr>
          <w:rFonts w:ascii="Garamond" w:hAnsi="Garamond"/>
          <w:sz w:val="24"/>
          <w:szCs w:val="24"/>
          <w:lang w:val="sq-AL"/>
        </w:rPr>
        <w:t>ambjentet</w:t>
      </w:r>
      <w:proofErr w:type="spellEnd"/>
      <w:r w:rsidRPr="009A1523">
        <w:rPr>
          <w:rFonts w:ascii="Garamond" w:hAnsi="Garamond"/>
          <w:sz w:val="24"/>
          <w:szCs w:val="24"/>
          <w:lang w:val="sq-AL"/>
        </w:rPr>
        <w:t xml:space="preserve"> e VNV-së, caktohen dy punonjës shërbimi.</w:t>
      </w:r>
    </w:p>
    <w:p w:rsidR="009A1523" w:rsidRPr="009A1523" w:rsidRDefault="009A1523" w:rsidP="009A152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1523">
        <w:rPr>
          <w:rFonts w:ascii="Garamond" w:hAnsi="Garamond"/>
          <w:sz w:val="24"/>
          <w:szCs w:val="24"/>
          <w:lang w:val="sq-AL"/>
        </w:rPr>
        <w:t>Punonjësit e shërbimit caktohen me vendim të përbashkët të kryetarit dhe nënkryetarit të KZZ-së për periudhën deri në shpalljen e rezultatit nga KZZ-ja. Vendimi për caktimin e punonjësve të shërbimit pasqyrohet në librin e protokollit të mbledhjeve të KZZ-së.</w:t>
      </w:r>
    </w:p>
    <w:p w:rsidR="009A1523" w:rsidRPr="009A1523" w:rsidRDefault="009A1523" w:rsidP="009A152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1523">
        <w:rPr>
          <w:rFonts w:ascii="Garamond" w:hAnsi="Garamond"/>
          <w:sz w:val="24"/>
          <w:szCs w:val="24"/>
          <w:lang w:val="sq-AL"/>
        </w:rPr>
        <w:t>Punonjësit e shërbimit veprojnë në bazë të urdhrave të kryetarit të KZZ-së.</w:t>
      </w:r>
    </w:p>
    <w:p w:rsidR="009A1523" w:rsidRPr="009A1523" w:rsidRDefault="009A1523" w:rsidP="009A1523">
      <w:pPr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9A1523">
        <w:rPr>
          <w:rFonts w:ascii="Garamond" w:hAnsi="Garamond"/>
          <w:sz w:val="24"/>
          <w:szCs w:val="24"/>
        </w:rPr>
        <w:t>Neni</w:t>
      </w:r>
      <w:proofErr w:type="spellEnd"/>
      <w:r w:rsidRPr="009A1523">
        <w:rPr>
          <w:rFonts w:ascii="Garamond" w:hAnsi="Garamond"/>
          <w:sz w:val="24"/>
          <w:szCs w:val="24"/>
        </w:rPr>
        <w:t xml:space="preserve"> 12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A1523">
        <w:rPr>
          <w:rFonts w:ascii="Garamond" w:hAnsi="Garamond"/>
          <w:sz w:val="24"/>
          <w:szCs w:val="24"/>
          <w:lang w:val="it-IT"/>
        </w:rPr>
        <w:t>Ky udhëzim hyn në fuqi menjëherë.</w:t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8324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817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7820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76E91" w:rsidP="008F12F3">
      <w:pPr>
        <w:pStyle w:val="Figure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6172200" cy="7829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Figure"/>
        <w:rPr>
          <w:rFonts w:ascii="Garamond" w:hAnsi="Garamond"/>
          <w:sz w:val="24"/>
          <w:szCs w:val="24"/>
        </w:rPr>
      </w:pPr>
    </w:p>
    <w:p w:rsidR="008F12F3" w:rsidRPr="009A1523" w:rsidRDefault="008F12F3" w:rsidP="008F12F3">
      <w:pPr>
        <w:pStyle w:val="Paragrafi"/>
        <w:rPr>
          <w:rFonts w:ascii="Garamond" w:hAnsi="Garamond"/>
          <w:sz w:val="24"/>
          <w:szCs w:val="24"/>
        </w:rPr>
      </w:pPr>
    </w:p>
    <w:p w:rsidR="00507024" w:rsidRPr="009A1523" w:rsidRDefault="00507024" w:rsidP="0050702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A1523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9A1523">
        <w:rPr>
          <w:rFonts w:ascii="Garamond" w:hAnsi="Garamond"/>
          <w:i/>
          <w:sz w:val="24"/>
          <w:szCs w:val="24"/>
        </w:rPr>
        <w:t>Ndryshuar</w:t>
      </w:r>
      <w:proofErr w:type="spellEnd"/>
      <w:r w:rsidRPr="009A152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A1523">
        <w:rPr>
          <w:rFonts w:ascii="Garamond" w:hAnsi="Garamond"/>
          <w:i/>
          <w:sz w:val="24"/>
          <w:szCs w:val="24"/>
        </w:rPr>
        <w:t>udhëzimin</w:t>
      </w:r>
      <w:proofErr w:type="spellEnd"/>
      <w:r w:rsidRPr="009A1523">
        <w:rPr>
          <w:rFonts w:ascii="Garamond" w:hAnsi="Garamond"/>
          <w:i/>
          <w:sz w:val="24"/>
          <w:szCs w:val="24"/>
        </w:rPr>
        <w:t xml:space="preserve"> nr.14, </w:t>
      </w:r>
      <w:proofErr w:type="spellStart"/>
      <w:r w:rsidRPr="009A1523">
        <w:rPr>
          <w:rFonts w:ascii="Garamond" w:hAnsi="Garamond"/>
          <w:i/>
          <w:sz w:val="24"/>
          <w:szCs w:val="24"/>
        </w:rPr>
        <w:t>datë</w:t>
      </w:r>
      <w:proofErr w:type="spellEnd"/>
      <w:r w:rsidRPr="009A1523">
        <w:rPr>
          <w:rFonts w:ascii="Garamond" w:hAnsi="Garamond"/>
          <w:i/>
          <w:sz w:val="24"/>
          <w:szCs w:val="24"/>
        </w:rPr>
        <w:t xml:space="preserve"> 28.5.2005)</w:t>
      </w:r>
    </w:p>
    <w:p w:rsidR="008F12F3" w:rsidRPr="009A1523" w:rsidRDefault="00507024" w:rsidP="008F12F3">
      <w:pPr>
        <w:pStyle w:val="Paragrafi"/>
        <w:rPr>
          <w:rFonts w:ascii="Garamond" w:hAnsi="Garamond"/>
          <w:sz w:val="24"/>
          <w:szCs w:val="24"/>
        </w:rPr>
      </w:pPr>
      <w:r w:rsidRPr="009A1523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 wp14:anchorId="07B426AE" wp14:editId="253C97B0">
            <wp:extent cx="5486400" cy="8343900"/>
            <wp:effectExtent l="0" t="0" r="0" b="0"/>
            <wp:docPr id="6" name="Picture 6" descr="050528- DL - Skema e vendit te numerimit_ndryshu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50528- DL - Skema e vendit te numerimit_ndryshu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12F3" w:rsidRPr="009A152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024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6E91"/>
    <w:rsid w:val="00877240"/>
    <w:rsid w:val="00881600"/>
    <w:rsid w:val="008F12F3"/>
    <w:rsid w:val="009164C8"/>
    <w:rsid w:val="009564F9"/>
    <w:rsid w:val="0099468E"/>
    <w:rsid w:val="009A152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1BF0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FD9359"/>
  <w15:chartTrackingRefBased/>
  <w15:docId w15:val="{3CE58B4C-4A6D-4A0F-A342-51DDDBE03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8F12F3"/>
    <w:rPr>
      <w:rFonts w:ascii="CG Times" w:hAnsi="CG Times"/>
      <w:sz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8F12F3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2025-12-05T08:52:00Z</dcterms:created>
  <dcterms:modified xsi:type="dcterms:W3CDTF">2025-12-05T08:52:00Z</dcterms:modified>
</cp:coreProperties>
</file>