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29C" w:rsidRDefault="00B3629C" w:rsidP="00B3629C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UDHË</w:t>
      </w:r>
      <w:r w:rsidRPr="00820598">
        <w:rPr>
          <w:lang w:val="it-IT"/>
        </w:rPr>
        <w:t>ZIM</w:t>
      </w:r>
    </w:p>
    <w:p w:rsidR="00B3629C" w:rsidRDefault="00B3629C" w:rsidP="00B3629C">
      <w:pPr>
        <w:pStyle w:val="NumriData"/>
      </w:pPr>
      <w:r>
        <w:t>Nr.11, datë 16.5.2005</w:t>
      </w:r>
    </w:p>
    <w:p w:rsidR="00B3629C" w:rsidRPr="00820598" w:rsidRDefault="00B3629C" w:rsidP="00B3629C">
      <w:pPr>
        <w:pStyle w:val="Akti"/>
        <w:keepNext w:val="0"/>
        <w:rPr>
          <w:lang w:val="it-IT"/>
        </w:rPr>
      </w:pPr>
    </w:p>
    <w:p w:rsidR="00B3629C" w:rsidRPr="00820598" w:rsidRDefault="00B3629C" w:rsidP="00B3629C">
      <w:pPr>
        <w:pStyle w:val="Titulli"/>
        <w:keepNext w:val="0"/>
        <w:rPr>
          <w:lang w:val="it-IT"/>
        </w:rPr>
      </w:pPr>
      <w:r>
        <w:rPr>
          <w:lang w:val="it-IT"/>
        </w:rPr>
        <w:t>PË</w:t>
      </w:r>
      <w:r w:rsidRPr="00820598">
        <w:rPr>
          <w:lang w:val="it-IT"/>
        </w:rPr>
        <w:t>R PROCEDUR</w:t>
      </w:r>
      <w:r>
        <w:rPr>
          <w:lang w:val="it-IT"/>
        </w:rPr>
        <w:t>AT DHE KRITERET E AKREDITIMIT TË VË</w:t>
      </w:r>
      <w:r w:rsidRPr="00820598">
        <w:rPr>
          <w:lang w:val="it-IT"/>
        </w:rPr>
        <w:t>ZHGU</w:t>
      </w:r>
      <w:r>
        <w:rPr>
          <w:lang w:val="it-IT"/>
        </w:rPr>
        <w:t xml:space="preserve">ESVE TË SUBJEKTEVE </w:t>
      </w:r>
      <w:r w:rsidRPr="00820598">
        <w:rPr>
          <w:lang w:val="it-IT"/>
        </w:rPr>
        <w:t xml:space="preserve"> </w:t>
      </w:r>
      <w:r>
        <w:rPr>
          <w:lang w:val="it-IT"/>
        </w:rPr>
        <w:t>ZGjEDHORE NË</w:t>
      </w:r>
      <w:r w:rsidRPr="00820598">
        <w:rPr>
          <w:lang w:val="it-IT"/>
        </w:rPr>
        <w:t xml:space="preserve"> </w:t>
      </w:r>
      <w:r>
        <w:rPr>
          <w:lang w:val="it-IT"/>
        </w:rPr>
        <w:t>KZZ, KQV DHE VNV, NGA KZZ-ja, PËR ZGJEDHJET PËR KUVENDIN E SHQIPËRISË TË</w:t>
      </w:r>
      <w:r w:rsidRPr="00820598">
        <w:rPr>
          <w:lang w:val="it-IT"/>
        </w:rPr>
        <w:t xml:space="preserve"> VITIT 2005</w:t>
      </w:r>
    </w:p>
    <w:p w:rsidR="00B3629C" w:rsidRPr="00820598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  <w:r w:rsidRPr="00820598">
        <w:rPr>
          <w:lang w:val="it-IT"/>
        </w:rPr>
        <w:t>Komisioni Qendror i Zgjedhjeve, në mbledhjen e tij të datës 16.5.2005, me pjesëmarrjen e:</w:t>
      </w:r>
    </w:p>
    <w:p w:rsidR="00B3629C" w:rsidRPr="00820598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</w:pPr>
      <w:r>
        <w:t>Ilirjan</w:t>
      </w:r>
      <w:r>
        <w:tab/>
        <w:t>Celibashi</w:t>
      </w:r>
      <w:r>
        <w:tab/>
        <w:t>Kryetar</w:t>
      </w:r>
    </w:p>
    <w:p w:rsidR="00B3629C" w:rsidRDefault="00B3629C" w:rsidP="00B3629C">
      <w:pPr>
        <w:pStyle w:val="Paragrafi"/>
      </w:pPr>
      <w:r>
        <w:t>Tomor</w:t>
      </w:r>
      <w:r>
        <w:tab/>
        <w:t>Malaj</w:t>
      </w:r>
      <w:r>
        <w:tab/>
      </w:r>
      <w:r>
        <w:tab/>
        <w:t>Anëtar</w:t>
      </w:r>
    </w:p>
    <w:p w:rsidR="00B3629C" w:rsidRPr="00D668C4" w:rsidRDefault="00B3629C" w:rsidP="00B3629C">
      <w:pPr>
        <w:pStyle w:val="Paragrafi"/>
      </w:pPr>
      <w:r>
        <w:t>Klement Zguri</w:t>
      </w:r>
      <w:r w:rsidRPr="00D668C4">
        <w:tab/>
      </w:r>
      <w:r w:rsidRPr="00D668C4">
        <w:tab/>
        <w:t>Anëtar</w:t>
      </w:r>
    </w:p>
    <w:p w:rsidR="00B3629C" w:rsidRPr="00D668C4" w:rsidRDefault="00B3629C" w:rsidP="00B3629C">
      <w:pPr>
        <w:pStyle w:val="Paragrafi"/>
        <w:rPr>
          <w:lang w:val="it-IT"/>
        </w:rPr>
      </w:pPr>
      <w:r w:rsidRPr="00D668C4">
        <w:rPr>
          <w:lang w:val="it-IT"/>
        </w:rPr>
        <w:t>Dësh</w:t>
      </w:r>
      <w:r>
        <w:rPr>
          <w:lang w:val="it-IT"/>
        </w:rPr>
        <w:t>ira Subashi</w:t>
      </w:r>
      <w:r>
        <w:tab/>
      </w:r>
      <w:r w:rsidRPr="00D668C4">
        <w:rPr>
          <w:lang w:val="it-IT"/>
        </w:rPr>
        <w:t>Anëtar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Pandeli</w:t>
      </w:r>
      <w:r>
        <w:rPr>
          <w:lang w:val="it-IT"/>
        </w:rPr>
        <w:tab/>
        <w:t>Varfi</w:t>
      </w:r>
      <w:r>
        <w:rPr>
          <w:lang w:val="it-IT"/>
        </w:rPr>
        <w:tab/>
      </w:r>
      <w:r>
        <w:rPr>
          <w:lang w:val="it-IT"/>
        </w:rPr>
        <w:tab/>
        <w:t>Anëtar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Çlirim</w:t>
      </w:r>
      <w:r>
        <w:rPr>
          <w:lang w:val="it-IT"/>
        </w:rPr>
        <w:tab/>
        <w:t>Gjata</w:t>
      </w:r>
      <w:r>
        <w:rPr>
          <w:lang w:val="it-IT"/>
        </w:rPr>
        <w:tab/>
      </w:r>
      <w:r>
        <w:rPr>
          <w:lang w:val="it-IT"/>
        </w:rPr>
        <w:tab/>
        <w:t>Anëtar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Dodë Prenga</w:t>
      </w:r>
      <w:r>
        <w:rPr>
          <w:lang w:val="it-IT"/>
        </w:rPr>
        <w:tab/>
      </w:r>
      <w:r>
        <w:rPr>
          <w:lang w:val="it-IT"/>
        </w:rPr>
        <w:tab/>
        <w:t>Anëtar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Në mbështetje të nenit 18 pika 2, 3, 4, 5 dhe 6, dhe të nenit 29 pika 1 të ligjit nr.9087, datë 19.6.2003 “Kodi Zgjedhor i Republikës së Shqipërisë”, i ndryshuar, Komisioni Qendror i Zgjedhjeve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VENDOSI"/>
        <w:keepNext w:val="0"/>
        <w:rPr>
          <w:lang w:val="it-IT"/>
        </w:rPr>
      </w:pPr>
      <w:r>
        <w:rPr>
          <w:lang w:val="it-IT"/>
        </w:rPr>
        <w:t>Udhëzon: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NeniNr"/>
        <w:keepNext w:val="0"/>
        <w:rPr>
          <w:lang w:val="it-IT"/>
        </w:rPr>
      </w:pPr>
      <w:r>
        <w:rPr>
          <w:lang w:val="it-IT"/>
        </w:rPr>
        <w:t>Neni 1</w:t>
      </w:r>
    </w:p>
    <w:p w:rsidR="00B3629C" w:rsidRDefault="00B3629C" w:rsidP="00B3629C">
      <w:pPr>
        <w:pStyle w:val="NeniTitull"/>
        <w:keepNext w:val="0"/>
        <w:rPr>
          <w:lang w:val="it-IT"/>
        </w:rPr>
      </w:pPr>
      <w:r>
        <w:rPr>
          <w:lang w:val="it-IT"/>
        </w:rPr>
        <w:t>Qëllimi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Ky udhëzim ka për qëllim të përcaktojë procedurat dhe kriteret e akreditimit të vëzhguesve të subjekteve zgjedhore në KZZ, KQV dhe në vendin e numërimit të votave, nga KZZ për zgjedhjet për Kuvendin e Shqipërisë të vitit 2005.</w:t>
      </w:r>
    </w:p>
    <w:p w:rsidR="00B3629C" w:rsidRDefault="00B3629C" w:rsidP="00B3629C">
      <w:pPr>
        <w:pStyle w:val="NeniNr"/>
        <w:keepNext w:val="0"/>
        <w:rPr>
          <w:lang w:val="it-IT"/>
        </w:rPr>
      </w:pPr>
      <w:r>
        <w:rPr>
          <w:lang w:val="it-IT"/>
        </w:rPr>
        <w:t>Neni 2</w:t>
      </w:r>
    </w:p>
    <w:p w:rsidR="00B3629C" w:rsidRDefault="00B3629C" w:rsidP="00B3629C">
      <w:pPr>
        <w:pStyle w:val="NeniTitull"/>
        <w:keepNext w:val="0"/>
        <w:rPr>
          <w:lang w:val="it-IT"/>
        </w:rPr>
      </w:pPr>
      <w:r>
        <w:rPr>
          <w:lang w:val="it-IT"/>
        </w:rPr>
        <w:t>E drejta për të caktuar vëzhgues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1. Çdo parti politike/koalicion i regjistruar në KQZ, si subjekt zgjedhor, ka të drejtë të caktojë nga një vëzhgues në KZZ, KQV dhe në vendin e numërimit të votave, pas regjistrimit të një kandidati për njësinë zgjedhore përkatëse ose pasi ka paraqitur listë shumemërore.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2. Për partitë politike që paraqiten në zgjedhje si koalicion, të drejtën për të caktuar vëzhgues e ka vetëm koalicioni.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3. Kandidatët e partive politike dhe koalicioneve nuk kanë të drejtë të caktojnë vëzhgues.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4. Kandidatët e pavarur në zonat e tyre përkatëse kanë të drejtë të caktojnë nga një vëzhgues në KZZ, KQV dhe në vendin e numërimit të votave.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NeniNr"/>
        <w:keepNext w:val="0"/>
        <w:rPr>
          <w:lang w:val="it-IT"/>
        </w:rPr>
      </w:pPr>
      <w:r>
        <w:rPr>
          <w:lang w:val="it-IT"/>
        </w:rPr>
        <w:t>Neni 3</w:t>
      </w:r>
    </w:p>
    <w:p w:rsidR="00B3629C" w:rsidRDefault="00B3629C" w:rsidP="00B3629C">
      <w:pPr>
        <w:pStyle w:val="NeniTitull"/>
        <w:keepNext w:val="0"/>
        <w:rPr>
          <w:lang w:val="it-IT"/>
        </w:rPr>
      </w:pPr>
      <w:r>
        <w:rPr>
          <w:lang w:val="it-IT"/>
        </w:rPr>
        <w:t>Akreditimi i vëzhguesve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1. KZZ-ja bën akreditimin e vëzhguesve të subjekteve zgjedhore të parashikuara në nenin 2 të këtij udhëzimi, vetëm për ambientet zgjedhore që përfshihen në zonën zgjedhore.</w:t>
      </w:r>
    </w:p>
    <w:p w:rsidR="00B3629C" w:rsidRPr="00820598" w:rsidRDefault="00B3629C" w:rsidP="00B3629C">
      <w:pPr>
        <w:pStyle w:val="Paragrafi"/>
        <w:rPr>
          <w:lang w:val="it-IT"/>
        </w:rPr>
      </w:pPr>
      <w:r>
        <w:rPr>
          <w:lang w:val="it-IT"/>
        </w:rPr>
        <w:t>2. Çdo subjekt zgjedhor mund të kërkojë akreditimin vetëm të një vëzhguesi në KZZ, KQV dhe VNV. Vë</w:t>
      </w:r>
      <w:r w:rsidRPr="00820598">
        <w:rPr>
          <w:lang w:val="it-IT"/>
        </w:rPr>
        <w:t xml:space="preserve">zhguesi </w:t>
      </w:r>
      <w:r>
        <w:rPr>
          <w:lang w:val="it-IT"/>
        </w:rPr>
        <w:t>i subjektit zgjedhor, i akredituar në</w:t>
      </w:r>
      <w:r w:rsidRPr="00820598">
        <w:rPr>
          <w:lang w:val="it-IT"/>
        </w:rPr>
        <w:t xml:space="preserve"> KZZ, mund të vëz</w:t>
      </w:r>
      <w:r>
        <w:rPr>
          <w:lang w:val="it-IT"/>
        </w:rPr>
        <w:t>hgojë procesin zgjedhor dhe në qendrat e votimit të zonës z</w:t>
      </w:r>
      <w:r w:rsidRPr="00820598">
        <w:rPr>
          <w:lang w:val="it-IT"/>
        </w:rPr>
        <w:t>gjedhore.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3. Akreditimi i vëzhguesit në qendrën e v</w:t>
      </w:r>
      <w:r w:rsidRPr="00820598">
        <w:rPr>
          <w:lang w:val="it-IT"/>
        </w:rPr>
        <w:t>otimit mund të përfshijë një ose</w:t>
      </w:r>
      <w:r>
        <w:rPr>
          <w:lang w:val="it-IT"/>
        </w:rPr>
        <w:t xml:space="preserve"> më shumë QV. Në asnjë rast, një</w:t>
      </w:r>
      <w:r w:rsidRPr="00820598">
        <w:rPr>
          <w:lang w:val="it-IT"/>
        </w:rPr>
        <w:t xml:space="preserve"> parti politike, koalicion ose kandidat i pavarur, nuk mund të ketë më shumë se dy vëzhgues të pranishëm në një qendër votimi.</w:t>
      </w:r>
    </w:p>
    <w:p w:rsidR="00B3629C" w:rsidRPr="00820598" w:rsidRDefault="00B3629C" w:rsidP="00B3629C">
      <w:pPr>
        <w:pStyle w:val="Paragrafi"/>
        <w:rPr>
          <w:lang w:val="it-IT"/>
        </w:rPr>
      </w:pPr>
    </w:p>
    <w:p w:rsidR="00B3629C" w:rsidRPr="00820598" w:rsidRDefault="00B3629C" w:rsidP="00B3629C">
      <w:pPr>
        <w:pStyle w:val="Paragrafi"/>
        <w:rPr>
          <w:lang w:val="it-IT"/>
        </w:rPr>
      </w:pPr>
      <w:r>
        <w:rPr>
          <w:lang w:val="it-IT"/>
        </w:rPr>
        <w:t>4. Akreditimi i vezhguesit në vendin e numërimit të v</w:t>
      </w:r>
      <w:r w:rsidRPr="00820598">
        <w:rPr>
          <w:lang w:val="it-IT"/>
        </w:rPr>
        <w:t>otave, nuk mund të p</w:t>
      </w:r>
      <w:r>
        <w:rPr>
          <w:lang w:val="it-IT"/>
        </w:rPr>
        <w:t>ërfshijë më shumë se një VNV. Vëzhguesi i KZZ-së mund të jetë vë</w:t>
      </w:r>
      <w:r w:rsidRPr="00820598">
        <w:rPr>
          <w:lang w:val="it-IT"/>
        </w:rPr>
        <w:t>zhgues dhe në VNV.</w:t>
      </w:r>
    </w:p>
    <w:p w:rsidR="00B3629C" w:rsidRPr="00820598" w:rsidRDefault="00B3629C" w:rsidP="00B3629C">
      <w:pPr>
        <w:pStyle w:val="Paragrafi"/>
        <w:rPr>
          <w:lang w:val="it-IT"/>
        </w:rPr>
      </w:pPr>
      <w:r w:rsidRPr="00820598">
        <w:rPr>
          <w:lang w:val="it-IT"/>
        </w:rPr>
        <w:t>5. Në çdo rast një subjekt zgjedhor nuk mund të ketë më shum</w:t>
      </w:r>
      <w:r>
        <w:rPr>
          <w:lang w:val="it-IT"/>
        </w:rPr>
        <w:t xml:space="preserve">ë se një vëzhgues në VNV </w:t>
      </w:r>
      <w:r>
        <w:rPr>
          <w:lang w:val="it-IT"/>
        </w:rPr>
        <w:lastRenderedPageBreak/>
        <w:t>njëkohë</w:t>
      </w:r>
      <w:r w:rsidRPr="00820598">
        <w:rPr>
          <w:lang w:val="it-IT"/>
        </w:rPr>
        <w:t>sisht.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Pr="00820598" w:rsidRDefault="00B3629C" w:rsidP="00B3629C">
      <w:pPr>
        <w:pStyle w:val="NeniNr"/>
        <w:keepNext w:val="0"/>
        <w:rPr>
          <w:lang w:val="it-IT"/>
        </w:rPr>
      </w:pPr>
      <w:r w:rsidRPr="00820598">
        <w:rPr>
          <w:lang w:val="it-IT"/>
        </w:rPr>
        <w:t>Neni 4</w:t>
      </w:r>
    </w:p>
    <w:p w:rsidR="00B3629C" w:rsidRDefault="00B3629C" w:rsidP="00B3629C">
      <w:pPr>
        <w:pStyle w:val="NeniTitull"/>
        <w:keepNext w:val="0"/>
        <w:rPr>
          <w:lang w:val="it-IT"/>
        </w:rPr>
      </w:pPr>
      <w:r w:rsidRPr="00820598">
        <w:rPr>
          <w:lang w:val="it-IT"/>
        </w:rPr>
        <w:t>Kushtet për të qenë vëzhgues</w:t>
      </w:r>
    </w:p>
    <w:p w:rsidR="00B3629C" w:rsidRPr="00820598" w:rsidRDefault="00B3629C" w:rsidP="00B3629C">
      <w:pPr>
        <w:pStyle w:val="Paragrafi"/>
        <w:rPr>
          <w:lang w:val="it-IT"/>
        </w:rPr>
      </w:pPr>
    </w:p>
    <w:p w:rsidR="00B3629C" w:rsidRPr="00820598" w:rsidRDefault="00B3629C" w:rsidP="00B3629C">
      <w:pPr>
        <w:pStyle w:val="Paragrafi"/>
        <w:rPr>
          <w:lang w:val="it-IT"/>
        </w:rPr>
      </w:pPr>
      <w:r>
        <w:rPr>
          <w:lang w:val="it-IT"/>
        </w:rPr>
        <w:t>1. Vë</w:t>
      </w:r>
      <w:r w:rsidRPr="00820598">
        <w:rPr>
          <w:lang w:val="it-IT"/>
        </w:rPr>
        <w:t>zhgues mund të jetë çdo shtetas shqiptar që plotëson kushtet e mëposhtme:</w:t>
      </w:r>
    </w:p>
    <w:p w:rsidR="00B3629C" w:rsidRPr="00820598" w:rsidRDefault="00B3629C" w:rsidP="00B3629C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20598">
        <w:rPr>
          <w:lang w:val="it-IT"/>
        </w:rPr>
        <w:t>të jetë mbi 18 vjeç;</w:t>
      </w:r>
    </w:p>
    <w:p w:rsidR="00B3629C" w:rsidRPr="00820598" w:rsidRDefault="00B3629C" w:rsidP="00B3629C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20598">
        <w:rPr>
          <w:lang w:val="it-IT"/>
        </w:rPr>
        <w:t xml:space="preserve">të </w:t>
      </w:r>
      <w:r>
        <w:rPr>
          <w:lang w:val="it-IT"/>
        </w:rPr>
        <w:t>ketë zotësi të plotë juridike pë</w:t>
      </w:r>
      <w:r w:rsidRPr="00820598">
        <w:rPr>
          <w:lang w:val="it-IT"/>
        </w:rPr>
        <w:t>r të vepruar.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NeniNr"/>
        <w:keepNext w:val="0"/>
        <w:rPr>
          <w:lang w:val="it-IT"/>
        </w:rPr>
      </w:pPr>
      <w:r>
        <w:rPr>
          <w:lang w:val="it-IT"/>
        </w:rPr>
        <w:t>Neni 5</w:t>
      </w:r>
    </w:p>
    <w:p w:rsidR="00B3629C" w:rsidRDefault="00B3629C" w:rsidP="00B3629C">
      <w:pPr>
        <w:pStyle w:val="NeniTitull"/>
        <w:keepNext w:val="0"/>
        <w:rPr>
          <w:lang w:val="it-IT"/>
        </w:rPr>
      </w:pPr>
      <w:r>
        <w:rPr>
          <w:lang w:val="it-IT"/>
        </w:rPr>
        <w:t>Kërkesa për të caktuar vëzhgues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1. Kërkesa e subjekteve zgjedhore e parashikuar në nenin 2 të këtij udhëzimi, për akreditimin e vëzhguesve në KZZ, KQV dhe VNV, i paraqitet KZZ-së përkatëse.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2. Kërkesa duhet të ketë bashkëngjitur: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a) listën e vëzhguesve që kërkohet të akreditohen pranë KZZ/KQV/VNV të nënshkruar</w:t>
      </w:r>
      <w:r>
        <w:rPr>
          <w:lang w:val="it-IT"/>
        </w:rPr>
        <w:tab/>
        <w:t>në çdo faqe nga kryetari i partisë/përfaqësuesi i koalicionit/kandidati i pavarur ose personi i autorizuar prej tyre, sipas modelit bashkëngjitur këtij udhëzimi;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b) vërtetimin që partia/koalicioni është e regjistruar në KQZ.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NeniNr"/>
        <w:keepNext w:val="0"/>
        <w:rPr>
          <w:lang w:val="it-IT"/>
        </w:rPr>
      </w:pPr>
      <w:r>
        <w:rPr>
          <w:lang w:val="it-IT"/>
        </w:rPr>
        <w:t>Neni 6</w:t>
      </w:r>
    </w:p>
    <w:p w:rsidR="00B3629C" w:rsidRDefault="00B3629C" w:rsidP="00B3629C">
      <w:pPr>
        <w:pStyle w:val="NeniTitull"/>
        <w:keepNext w:val="0"/>
        <w:rPr>
          <w:lang w:val="it-IT"/>
        </w:rPr>
      </w:pPr>
      <w:r>
        <w:rPr>
          <w:lang w:val="it-IT"/>
        </w:rPr>
        <w:t>Personat që bëjnë kërkesën për akreditimin e vëzhguesve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Kërkesa për akreditimin e vëzhguesve dhe dokumentacioni përkatës mund të paraqiten nga personat e autorizuar nga organi drejtues i partisë/përfaqësues i koalicionit/kandidati i pavarur. Akti i autorizimit depozitohet në KZZ.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NeniNr"/>
        <w:keepNext w:val="0"/>
        <w:rPr>
          <w:lang w:val="it-IT"/>
        </w:rPr>
      </w:pPr>
      <w:r>
        <w:rPr>
          <w:lang w:val="it-IT"/>
        </w:rPr>
        <w:t>Neni 7</w:t>
      </w:r>
    </w:p>
    <w:p w:rsidR="00B3629C" w:rsidRDefault="00B3629C" w:rsidP="00B3629C">
      <w:pPr>
        <w:pStyle w:val="NeniTitull"/>
        <w:keepNext w:val="0"/>
        <w:rPr>
          <w:lang w:val="it-IT"/>
        </w:rPr>
      </w:pPr>
      <w:r>
        <w:rPr>
          <w:lang w:val="it-IT"/>
        </w:rPr>
        <w:t>Afatet e kërkesave për akreditim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1. Kërkesat e subjekteve zgjedhore per akreditimin e vëzhguesve i paraqiten KZZ-së jo më herët se 45 ditë dhe jo më vonë se 15 ditë para datës së zgjedhjeve.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2. KZZ, brenda 24 orëve nga paraqitja e kërkesës, bën verifikim paraprak të dokumentacionit përkatës dhe në rast të mungesave, në përmbajtje ose në formë, në dokumentacion, vendos kthimin e tyre për plotësim.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3. Dokumentacioni i plotësuar ridepozitohet brenda 24 orëve nga shpallja e vendimit të kthimit. Verifikimi i dytë i dokumentacionit bëhet brenda 24 orëve nga ridepozitimi i tij.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4. KZZ-ja merr vendim për miratimin ose jo të kërkesave jo më vonë se 5 ditë nga paraqitja e tyre.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5. Ndaj refuzimit të kërkesës për akreditim mund të bëhet ankim sipas nenit 146 pika 2 të Kodit Zgjedhor.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NeniNr"/>
        <w:keepNext w:val="0"/>
        <w:rPr>
          <w:lang w:val="it-IT"/>
        </w:rPr>
      </w:pPr>
      <w:r>
        <w:rPr>
          <w:lang w:val="it-IT"/>
        </w:rPr>
        <w:t>Neni 8</w:t>
      </w:r>
    </w:p>
    <w:p w:rsidR="00B3629C" w:rsidRDefault="00B3629C" w:rsidP="00B3629C">
      <w:pPr>
        <w:pStyle w:val="NeniTitull"/>
        <w:keepNext w:val="0"/>
        <w:rPr>
          <w:lang w:val="it-IT"/>
        </w:rPr>
      </w:pPr>
      <w:r>
        <w:rPr>
          <w:lang w:val="it-IT"/>
        </w:rPr>
        <w:t>Autorizimi dhe mandati i vëzhguesve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1. Vëzhguesit e miratuar me vendim nga KZZ-ja përkatëse, regjistrohen nga sekretari i KZZ-së në librin e protokollit të KZZ-së dhe pajisen nga ai me autorizimin përkatës, sipas modelit, bashkëlidhur këtij udhëzimi.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2. Autorizimi i lëshuar nga KZZ-ja është i vlefshëm për çdo qendër votimi dhe vend numërimi të votave që përfshin akreditimi dhe i jep vezhguesit të drejtën të hyjë dhe të qëndrojë në komisionet zgjedhore, në qendrat e votimit dhe në vendet e numërimit të votave. Vëzhguesit mund të kryejnë vëzhgime vetëm sipas përcaktimeve të bëra në autorizimin e KZZ-së.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3. Në autorizimin e lëshuar nga KZZ-ja duhet të përcaktohet: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lastRenderedPageBreak/>
        <w:t>a) emri, mbiemri i vëzhguesit;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b) emri i subjektit zgjedhor që e cakton si vëzhgues;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c) qendra e votimit/zona zgjedhore/vendi i numërimit të votave që përfshin akreditimi i vezhguesit.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4. Autorizimi mban vulën e KZZ-së dhe është i firmosur nga kryetari dhe nënkryetari i KZZ-së.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NeniNr"/>
        <w:keepNext w:val="0"/>
        <w:rPr>
          <w:lang w:val="it-IT"/>
        </w:rPr>
      </w:pPr>
      <w:r>
        <w:rPr>
          <w:lang w:val="it-IT"/>
        </w:rPr>
        <w:t>Neni 9</w:t>
      </w:r>
    </w:p>
    <w:p w:rsidR="00B3629C" w:rsidRDefault="00B3629C" w:rsidP="00B3629C">
      <w:pPr>
        <w:pStyle w:val="NeniTitull"/>
        <w:keepNext w:val="0"/>
        <w:rPr>
          <w:lang w:val="it-IT"/>
        </w:rPr>
      </w:pPr>
      <w:r>
        <w:rPr>
          <w:lang w:val="it-IT"/>
        </w:rPr>
        <w:t>Të drejtat dhe detyrimet e vëzhguesve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1. Vëzhguesit kanë këto të drejta: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a) të vëzhgojnë pa pengesë të gjitha aspektet e përgatitjes dhe zhvillimit të zgjedhjeve;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b) të paraqesin vërejtje me shkrim para komisioneve të zgjedhjeve për çdo lloj parregullsie që vërejnë;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c) të shohin ose të kqyrin dokumentacionin ose materialet e procesit zgjedhor.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2. Vëzhguesit kanë këto detyra: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a) të respektojnë kërkesat e këtij Kodi dhe udhëzimet e KQZ për vëzhgimin e zgjedhjeve, si dhe vendimet dhe urdhërimet e KZZ-së ku është akredituar;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b) të mos bëjnë propagandë për asnjë kandidat, parti ose koalicion në qendrat e votimit ose në vende të tjera të ndaluara sipas Kodit Zgjedhor;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c) të paraqiten para komisioneve të zgjedhjeve me autorizimin e lëshuar nga KZZ-ja, të shoqëruar me një nga dokumentet e identifikimit personal siç janë: pasaportë, certifikatë personale me fotografi ose letërnjoftim;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ç) të mos mbajnë shenja dalluese që shërbejnë si propagandë ose që mund të ndikojnë mbi vullnetin e zgjedhësit;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d) të mos dhunojnë të drejtën e votuesit për të votuar në fshehtësi dhe të mos pengojnë procesin e votimit dhe numërimit të votave;</w:t>
      </w: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e) të respektojnë rregullat e etikës në marrëdhëniet me Komisionin e Zgjedhjeve dhe vëzhguesit e tjerë, të mos komentojnë me zë dhe të mos debatojnë lidhur me zhvillimin e procesit të votimit.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NeniNr"/>
        <w:keepNext w:val="0"/>
        <w:rPr>
          <w:lang w:val="it-IT"/>
        </w:rPr>
      </w:pPr>
      <w:r>
        <w:rPr>
          <w:lang w:val="it-IT"/>
        </w:rPr>
        <w:t>Neni 10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  <w:r>
        <w:rPr>
          <w:lang w:val="it-IT"/>
        </w:rPr>
        <w:t>Ky udhëzim hyn në fuqi menjëherë.</w:t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Pr="001F3A0A" w:rsidRDefault="00663DE4" w:rsidP="00B3629C">
      <w:pPr>
        <w:pStyle w:val="Figure"/>
      </w:pPr>
      <w:r w:rsidRPr="00F25F66">
        <w:rPr>
          <w:noProof/>
          <w:lang w:val="en-GB" w:eastAsia="en-GB"/>
        </w:rPr>
        <w:lastRenderedPageBreak/>
        <w:drawing>
          <wp:inline distT="0" distB="0" distL="0" distR="0">
            <wp:extent cx="3762375" cy="4914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3" t="2739" b="2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663DE4" w:rsidP="00B3629C">
      <w:pPr>
        <w:pStyle w:val="Figure"/>
      </w:pPr>
      <w:r w:rsidRPr="0090251B">
        <w:rPr>
          <w:noProof/>
          <w:lang w:val="en-GB" w:eastAsia="en-GB"/>
        </w:rPr>
        <w:lastRenderedPageBreak/>
        <w:drawing>
          <wp:inline distT="0" distB="0" distL="0" distR="0">
            <wp:extent cx="3924300" cy="5248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  <w:rPr>
          <w:lang w:val="it-IT"/>
        </w:rPr>
      </w:pPr>
    </w:p>
    <w:p w:rsidR="00B3629C" w:rsidRPr="00683854" w:rsidRDefault="00B3629C" w:rsidP="00B3629C">
      <w:pPr>
        <w:pStyle w:val="Paragrafi"/>
        <w:rPr>
          <w:lang w:val="it-IT"/>
        </w:rPr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Paragrafi"/>
      </w:pPr>
    </w:p>
    <w:p w:rsidR="00B3629C" w:rsidRDefault="00B3629C" w:rsidP="00B3629C">
      <w:pPr>
        <w:pStyle w:val="Akti"/>
      </w:pPr>
      <w:r>
        <w:lastRenderedPageBreak/>
        <w:t xml:space="preserve">LISTA E VËZHGUESVE PËR QENDRAT </w:t>
      </w:r>
      <w:smartTag w:uri="urn:schemas-microsoft-com:office:smarttags" w:element="place">
        <w:r>
          <w:t>E VOTIMIT</w:t>
        </w:r>
      </w:smartTag>
    </w:p>
    <w:p w:rsidR="00B3629C" w:rsidRDefault="00B3629C" w:rsidP="00B3629C">
      <w:pPr>
        <w:pStyle w:val="Akti"/>
      </w:pPr>
    </w:p>
    <w:tbl>
      <w:tblPr>
        <w:tblStyle w:val="TableGrid"/>
        <w:tblW w:w="9468" w:type="dxa"/>
        <w:tblLook w:val="01E0" w:firstRow="1" w:lastRow="1" w:firstColumn="1" w:lastColumn="1" w:noHBand="0" w:noVBand="0"/>
      </w:tblPr>
      <w:tblGrid>
        <w:gridCol w:w="648"/>
        <w:gridCol w:w="1260"/>
        <w:gridCol w:w="1440"/>
        <w:gridCol w:w="1800"/>
        <w:gridCol w:w="1620"/>
        <w:gridCol w:w="2700"/>
      </w:tblGrid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 w:rsidRPr="00FC62F3">
              <w:t>Nr.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  <w:r w:rsidRPr="00FC62F3">
              <w:t>EMRI</w:t>
            </w: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  <w:r w:rsidRPr="00FC62F3">
              <w:t>MBIEMRI</w:t>
            </w: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  <w:r w:rsidRPr="00FC62F3">
              <w:t>DATËLINDJA</w:t>
            </w: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  <w:r w:rsidRPr="00FC62F3">
              <w:t>NR.I DOK.ID</w:t>
            </w: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  <w:r w:rsidRPr="00FC62F3">
              <w:t xml:space="preserve">QENDRA (T) </w:t>
            </w:r>
            <w:smartTag w:uri="urn:schemas-microsoft-com:office:smarttags" w:element="place">
              <w:r w:rsidRPr="00FC62F3">
                <w:t>E VOTIMIT</w:t>
              </w:r>
            </w:smartTag>
            <w:r w:rsidRPr="00FC62F3">
              <w:t xml:space="preserve"> QË PËRFSHIN AKREDITIMI</w:t>
            </w: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 w:rsidRPr="00FC62F3">
              <w:t>1.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 w:rsidRPr="00FC62F3">
              <w:t>2.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3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4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5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6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7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8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9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10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11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12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13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14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15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16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17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18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19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20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21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22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23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24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25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26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27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28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29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30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  <w:tr w:rsidR="00B3629C" w:rsidRPr="00FC62F3">
        <w:tc>
          <w:tcPr>
            <w:tcW w:w="648" w:type="dxa"/>
          </w:tcPr>
          <w:p w:rsidR="00B3629C" w:rsidRPr="00FC62F3" w:rsidRDefault="00B3629C" w:rsidP="00B3629C">
            <w:pPr>
              <w:pStyle w:val="Tabele"/>
            </w:pPr>
            <w:r>
              <w:t>31</w:t>
            </w:r>
          </w:p>
        </w:tc>
        <w:tc>
          <w:tcPr>
            <w:tcW w:w="126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44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80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1620" w:type="dxa"/>
          </w:tcPr>
          <w:p w:rsidR="00B3629C" w:rsidRPr="00FC62F3" w:rsidRDefault="00B3629C" w:rsidP="00B3629C">
            <w:pPr>
              <w:pStyle w:val="Tabele"/>
            </w:pPr>
          </w:p>
        </w:tc>
        <w:tc>
          <w:tcPr>
            <w:tcW w:w="2700" w:type="dxa"/>
          </w:tcPr>
          <w:p w:rsidR="00B3629C" w:rsidRPr="00FC62F3" w:rsidRDefault="00B3629C" w:rsidP="00B3629C">
            <w:pPr>
              <w:pStyle w:val="Tabele"/>
            </w:pPr>
          </w:p>
        </w:tc>
      </w:tr>
    </w:tbl>
    <w:p w:rsidR="00B3629C" w:rsidRDefault="00B3629C" w:rsidP="00B3629C">
      <w:pPr>
        <w:pStyle w:val="Paragrafi"/>
      </w:pPr>
    </w:p>
    <w:p w:rsidR="00B3629C" w:rsidRDefault="00B3629C" w:rsidP="00B3629C">
      <w:pPr>
        <w:pStyle w:val="Akti"/>
      </w:pPr>
    </w:p>
    <w:p w:rsidR="00B3629C" w:rsidRDefault="00B3629C" w:rsidP="00B3629C">
      <w:pPr>
        <w:pStyle w:val="Akti"/>
      </w:pPr>
    </w:p>
    <w:p w:rsidR="00B3629C" w:rsidRDefault="00B3629C" w:rsidP="00B3629C">
      <w:pPr>
        <w:pStyle w:val="Akti"/>
      </w:pPr>
    </w:p>
    <w:p w:rsidR="00B3629C" w:rsidRDefault="00B3629C" w:rsidP="00B3629C">
      <w:pPr>
        <w:pStyle w:val="Akti"/>
      </w:pPr>
    </w:p>
    <w:p w:rsidR="00B3629C" w:rsidRPr="00524C6A" w:rsidRDefault="00B3629C" w:rsidP="00B3629C"/>
    <w:p w:rsidR="00A0784B" w:rsidRPr="003941D1" w:rsidRDefault="00A0784B" w:rsidP="003941D1">
      <w:pPr>
        <w:pStyle w:val="Paragrafi"/>
      </w:pPr>
    </w:p>
    <w:sectPr w:rsidR="00A0784B" w:rsidRPr="003941D1" w:rsidSect="00B3629C">
      <w:footerReference w:type="even" r:id="rId8"/>
      <w:footerReference w:type="default" r:id="rId9"/>
      <w:pgSz w:w="11906" w:h="16838" w:code="9"/>
      <w:pgMar w:top="1418" w:right="1418" w:bottom="1418" w:left="1418" w:header="0" w:footer="1134" w:gutter="0"/>
      <w:pgNumType w:start="137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63DE4">
      <w:r>
        <w:separator/>
      </w:r>
    </w:p>
  </w:endnote>
  <w:endnote w:type="continuationSeparator" w:id="0">
    <w:p w:rsidR="00000000" w:rsidRDefault="00663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629C" w:rsidRDefault="00B3629C" w:rsidP="00B3629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629C" w:rsidRDefault="00B3629C" w:rsidP="00B362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629C" w:rsidRDefault="00B3629C" w:rsidP="00B3629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3DE4">
      <w:rPr>
        <w:rStyle w:val="PageNumber"/>
      </w:rPr>
      <w:t>1383</w:t>
    </w:r>
    <w:r>
      <w:rPr>
        <w:rStyle w:val="PageNumber"/>
      </w:rPr>
      <w:fldChar w:fldCharType="end"/>
    </w:r>
  </w:p>
  <w:p w:rsidR="00B3629C" w:rsidRDefault="00B3629C" w:rsidP="00B3629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63DE4">
      <w:r>
        <w:separator/>
      </w:r>
    </w:p>
  </w:footnote>
  <w:footnote w:type="continuationSeparator" w:id="0">
    <w:p w:rsidR="00000000" w:rsidRDefault="00663D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3DE4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3629C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DA3033-DBCA-4EAF-9F43-30A17F5A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29C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3629C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B3629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3629C"/>
  </w:style>
  <w:style w:type="table" w:styleId="TableGrid">
    <w:name w:val="Table Grid"/>
    <w:basedOn w:val="TableNormal"/>
    <w:rsid w:val="00B3629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