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29C" w:rsidRPr="00BF681E" w:rsidRDefault="00B3629C" w:rsidP="00B3629C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UDHËZIM</w:t>
      </w:r>
    </w:p>
    <w:p w:rsidR="00B3629C" w:rsidRPr="00BF681E" w:rsidRDefault="00B3629C" w:rsidP="00B3629C">
      <w:pPr>
        <w:pStyle w:val="NumriData"/>
        <w:rPr>
          <w:rFonts w:ascii="Garamond" w:hAnsi="Garamond"/>
          <w:sz w:val="24"/>
          <w:szCs w:val="24"/>
        </w:rPr>
      </w:pPr>
      <w:r w:rsidRPr="00BF681E">
        <w:rPr>
          <w:rFonts w:ascii="Garamond" w:hAnsi="Garamond"/>
          <w:sz w:val="24"/>
          <w:szCs w:val="24"/>
        </w:rPr>
        <w:t xml:space="preserve">Nr.11, </w:t>
      </w:r>
      <w:proofErr w:type="spellStart"/>
      <w:r w:rsidRPr="00BF681E">
        <w:rPr>
          <w:rFonts w:ascii="Garamond" w:hAnsi="Garamond"/>
          <w:sz w:val="24"/>
          <w:szCs w:val="24"/>
        </w:rPr>
        <w:t>datë</w:t>
      </w:r>
      <w:proofErr w:type="spellEnd"/>
      <w:r w:rsidRPr="00BF681E">
        <w:rPr>
          <w:rFonts w:ascii="Garamond" w:hAnsi="Garamond"/>
          <w:sz w:val="24"/>
          <w:szCs w:val="24"/>
        </w:rPr>
        <w:t xml:space="preserve"> 16.5.2005</w:t>
      </w:r>
    </w:p>
    <w:p w:rsidR="00B3629C" w:rsidRPr="00BF681E" w:rsidRDefault="00B3629C" w:rsidP="00B3629C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PËR PROCEDURAT DHE KRITERET E AKREDITIMIT TË VËZHGUESVE TË SUBJEKTEVE  ZGjEDHORE NË KZZ, KQV DHE VNV, NGA KZZ-ja, PËR ZGJEDHJET PËR KUVENDIN E SHQIPËRISË TË VITIT 2005</w:t>
      </w:r>
    </w:p>
    <w:p w:rsidR="00B3629C" w:rsidRPr="00BF681E" w:rsidRDefault="00BF681E" w:rsidP="00BF681E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F681E">
        <w:rPr>
          <w:rFonts w:ascii="Garamond" w:hAnsi="Garamond"/>
          <w:i/>
          <w:sz w:val="24"/>
          <w:szCs w:val="24"/>
          <w:lang w:val="it-IT"/>
        </w:rPr>
        <w:t>(Ndryshuar me udhëzimin nr.</w:t>
      </w:r>
      <w:r w:rsidR="0044564B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BF681E">
        <w:rPr>
          <w:rFonts w:ascii="Garamond" w:hAnsi="Garamond"/>
          <w:i/>
          <w:sz w:val="24"/>
          <w:szCs w:val="24"/>
          <w:lang w:val="it-IT"/>
        </w:rPr>
        <w:t>25, datë 15.8.2005)</w:t>
      </w:r>
    </w:p>
    <w:p w:rsidR="00BF681E" w:rsidRPr="00BF681E" w:rsidRDefault="00BF681E" w:rsidP="00BF681E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BF681E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Komisioni Qendror i Zgjedhjeve, në mbledhjen e tij të datës 16.5.2005, me pjesëmarrjen e: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681E">
        <w:rPr>
          <w:rFonts w:ascii="Garamond" w:hAnsi="Garamond"/>
          <w:sz w:val="24"/>
          <w:szCs w:val="24"/>
        </w:rPr>
        <w:t>Ilirjan</w:t>
      </w:r>
      <w:proofErr w:type="spellEnd"/>
      <w:r w:rsidRPr="00BF681E">
        <w:rPr>
          <w:rFonts w:ascii="Garamond" w:hAnsi="Garamond"/>
          <w:sz w:val="24"/>
          <w:szCs w:val="24"/>
        </w:rPr>
        <w:tab/>
      </w:r>
      <w:proofErr w:type="spellStart"/>
      <w:r w:rsidRPr="00BF681E">
        <w:rPr>
          <w:rFonts w:ascii="Garamond" w:hAnsi="Garamond"/>
          <w:sz w:val="24"/>
          <w:szCs w:val="24"/>
        </w:rPr>
        <w:t>Celibashi</w:t>
      </w:r>
      <w:proofErr w:type="spellEnd"/>
      <w:r w:rsidRPr="00BF681E">
        <w:rPr>
          <w:rFonts w:ascii="Garamond" w:hAnsi="Garamond"/>
          <w:sz w:val="24"/>
          <w:szCs w:val="24"/>
        </w:rPr>
        <w:tab/>
      </w:r>
      <w:proofErr w:type="spellStart"/>
      <w:r w:rsidRPr="00BF681E">
        <w:rPr>
          <w:rFonts w:ascii="Garamond" w:hAnsi="Garamond"/>
          <w:sz w:val="24"/>
          <w:szCs w:val="24"/>
        </w:rPr>
        <w:t>Kryetar</w:t>
      </w:r>
      <w:proofErr w:type="spellEnd"/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681E">
        <w:rPr>
          <w:rFonts w:ascii="Garamond" w:hAnsi="Garamond"/>
          <w:sz w:val="24"/>
          <w:szCs w:val="24"/>
        </w:rPr>
        <w:t>Tomor</w:t>
      </w:r>
      <w:proofErr w:type="spellEnd"/>
      <w:r w:rsidRPr="00BF681E">
        <w:rPr>
          <w:rFonts w:ascii="Garamond" w:hAnsi="Garamond"/>
          <w:sz w:val="24"/>
          <w:szCs w:val="24"/>
        </w:rPr>
        <w:tab/>
      </w:r>
      <w:proofErr w:type="spellStart"/>
      <w:r w:rsidRPr="00BF681E">
        <w:rPr>
          <w:rFonts w:ascii="Garamond" w:hAnsi="Garamond"/>
          <w:sz w:val="24"/>
          <w:szCs w:val="24"/>
        </w:rPr>
        <w:t>Malaj</w:t>
      </w:r>
      <w:proofErr w:type="spellEnd"/>
      <w:r w:rsidRPr="00BF681E">
        <w:rPr>
          <w:rFonts w:ascii="Garamond" w:hAnsi="Garamond"/>
          <w:sz w:val="24"/>
          <w:szCs w:val="24"/>
        </w:rPr>
        <w:tab/>
      </w:r>
      <w:r w:rsidRPr="00BF681E">
        <w:rPr>
          <w:rFonts w:ascii="Garamond" w:hAnsi="Garamond"/>
          <w:sz w:val="24"/>
          <w:szCs w:val="24"/>
        </w:rPr>
        <w:tab/>
      </w:r>
      <w:proofErr w:type="spellStart"/>
      <w:r w:rsidRPr="00BF681E">
        <w:rPr>
          <w:rFonts w:ascii="Garamond" w:hAnsi="Garamond"/>
          <w:sz w:val="24"/>
          <w:szCs w:val="24"/>
        </w:rPr>
        <w:t>Anëtar</w:t>
      </w:r>
      <w:proofErr w:type="spellEnd"/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F681E">
        <w:rPr>
          <w:rFonts w:ascii="Garamond" w:hAnsi="Garamond"/>
          <w:sz w:val="24"/>
          <w:szCs w:val="24"/>
        </w:rPr>
        <w:t>Klement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Zguri</w:t>
      </w:r>
      <w:proofErr w:type="spellEnd"/>
      <w:r w:rsidRPr="00BF681E">
        <w:rPr>
          <w:rFonts w:ascii="Garamond" w:hAnsi="Garamond"/>
          <w:sz w:val="24"/>
          <w:szCs w:val="24"/>
        </w:rPr>
        <w:tab/>
      </w:r>
      <w:r w:rsidRPr="00BF681E">
        <w:rPr>
          <w:rFonts w:ascii="Garamond" w:hAnsi="Garamond"/>
          <w:sz w:val="24"/>
          <w:szCs w:val="24"/>
        </w:rPr>
        <w:tab/>
      </w:r>
      <w:proofErr w:type="spellStart"/>
      <w:r w:rsidRPr="00BF681E">
        <w:rPr>
          <w:rFonts w:ascii="Garamond" w:hAnsi="Garamond"/>
          <w:sz w:val="24"/>
          <w:szCs w:val="24"/>
        </w:rPr>
        <w:t>Anëtar</w:t>
      </w:r>
      <w:proofErr w:type="spellEnd"/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Dëshira Subashi</w:t>
      </w:r>
      <w:r w:rsidRPr="00BF681E">
        <w:rPr>
          <w:rFonts w:ascii="Garamond" w:hAnsi="Garamond"/>
          <w:sz w:val="24"/>
          <w:szCs w:val="24"/>
        </w:rPr>
        <w:tab/>
      </w:r>
      <w:r w:rsidRPr="00BF681E">
        <w:rPr>
          <w:rFonts w:ascii="Garamond" w:hAnsi="Garamond"/>
          <w:sz w:val="24"/>
          <w:szCs w:val="24"/>
          <w:lang w:val="it-IT"/>
        </w:rPr>
        <w:t>Anëtar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Pandeli</w:t>
      </w:r>
      <w:r w:rsidRPr="00BF681E">
        <w:rPr>
          <w:rFonts w:ascii="Garamond" w:hAnsi="Garamond"/>
          <w:sz w:val="24"/>
          <w:szCs w:val="24"/>
          <w:lang w:val="it-IT"/>
        </w:rPr>
        <w:tab/>
        <w:t>Varfi</w:t>
      </w:r>
      <w:r w:rsidRPr="00BF681E">
        <w:rPr>
          <w:rFonts w:ascii="Garamond" w:hAnsi="Garamond"/>
          <w:sz w:val="24"/>
          <w:szCs w:val="24"/>
          <w:lang w:val="it-IT"/>
        </w:rPr>
        <w:tab/>
      </w:r>
      <w:r w:rsidRPr="00BF681E">
        <w:rPr>
          <w:rFonts w:ascii="Garamond" w:hAnsi="Garamond"/>
          <w:sz w:val="24"/>
          <w:szCs w:val="24"/>
          <w:lang w:val="it-IT"/>
        </w:rPr>
        <w:tab/>
        <w:t>Anëtar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Çlirim</w:t>
      </w:r>
      <w:r w:rsidRPr="00BF681E">
        <w:rPr>
          <w:rFonts w:ascii="Garamond" w:hAnsi="Garamond"/>
          <w:sz w:val="24"/>
          <w:szCs w:val="24"/>
          <w:lang w:val="it-IT"/>
        </w:rPr>
        <w:tab/>
        <w:t>Gjata</w:t>
      </w:r>
      <w:r w:rsidRPr="00BF681E">
        <w:rPr>
          <w:rFonts w:ascii="Garamond" w:hAnsi="Garamond"/>
          <w:sz w:val="24"/>
          <w:szCs w:val="24"/>
          <w:lang w:val="it-IT"/>
        </w:rPr>
        <w:tab/>
      </w:r>
      <w:r w:rsidRPr="00BF681E">
        <w:rPr>
          <w:rFonts w:ascii="Garamond" w:hAnsi="Garamond"/>
          <w:sz w:val="24"/>
          <w:szCs w:val="24"/>
          <w:lang w:val="it-IT"/>
        </w:rPr>
        <w:tab/>
        <w:t>Anëtar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Dodë Prenga</w:t>
      </w:r>
      <w:r w:rsidRPr="00BF681E">
        <w:rPr>
          <w:rFonts w:ascii="Garamond" w:hAnsi="Garamond"/>
          <w:sz w:val="24"/>
          <w:szCs w:val="24"/>
          <w:lang w:val="it-IT"/>
        </w:rPr>
        <w:tab/>
      </w:r>
      <w:r w:rsidRPr="00BF681E">
        <w:rPr>
          <w:rFonts w:ascii="Garamond" w:hAnsi="Garamond"/>
          <w:sz w:val="24"/>
          <w:szCs w:val="24"/>
          <w:lang w:val="it-IT"/>
        </w:rPr>
        <w:tab/>
        <w:t>Anëtar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Në mbështetje të nenit 18 pika 2, 3, 4, 5 dhe 6, dhe të nenit 29 pika 1 të ligjit nr.9087, datë 19.6.2003 “Kodi Zgjedhor i Republikës së Shqipërisë”, i ndryshuar, Komisioni Qendror i Zgjedhjeve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Udhëzon: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1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Qëllimi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Ky udhëzim ka për qëllim të përcaktojë procedurat dhe kriteret e akreditimit të vëzhguesve të subjekteve zgjedhore në KZZ, KQV dhe në vendin e numërimit të votave, nga KZZ për zgjedhjet për Kuvendin e Shqipërisë të vitit 2005.</w:t>
      </w: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2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E drejta për të caktuar vëzhgues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1. Çdo parti politike/koalicion i regjistruar në KQZ, si subjekt zgjedhor, ka të drejtë të caktojë nga një vëzhgues në KZZ, KQV dhe në vendin e numërimit të votave, pas regjistrimit të një kandidati për njësinë zgjedhore përkatëse ose pasi ka paraqitur listë shumemërore.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2. Për partitë politike që paraqiten në zgjedhje si koalicion, të drejtën për të caktuar vëzhgues e ka vetëm koalicioni.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3. Kandidatët e partive politike dhe koalicioneve nuk kanë të drejtë të caktojnë vëzhgues.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4. Kandidatët e pavarur në zonat e tyre përkatëse kanë të drejtë të caktojnë nga një vëzhgues në KZZ, KQV dhe në vendin e numërimit të votave.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3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Akreditimi i vëzhguesve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1. KZZ-ja bën akreditimin e vëzhguesve të subjekteve zgjedhore të parashikuara në nenin 2 të këtij udhëzimi, vetëm për ambientet zgjedhore që përfshihen në zonën zgjedhore.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2. Çdo subjekt zgjedhor mund të kërkojë akreditimin vetëm të një vëzhguesi në KZZ, KQV dhe VNV. Vëzhguesi i subjektit zgjedhor, i akredituar në KZZ, mund të vëzhgojë procesin zgjedhor dhe në qendrat e votimit të zonës zgjedhore.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 xml:space="preserve">3. Akreditimi i vëzhguesit në qendrën e votimit mund të përfshijë një ose më shumë QV. </w:t>
      </w:r>
      <w:r w:rsidRPr="00BF681E">
        <w:rPr>
          <w:rFonts w:ascii="Garamond" w:hAnsi="Garamond"/>
          <w:sz w:val="24"/>
          <w:szCs w:val="24"/>
          <w:lang w:val="it-IT"/>
        </w:rPr>
        <w:lastRenderedPageBreak/>
        <w:t>Në asnjë rast, një parti politike, koalicion ose kandidat i pavarur, nuk mund të ketë më shumë se dy vëzhgues të pranishëm në një qendër votimi.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4. Akreditimi i vezhguesit në vendin e numërimit të votave, nuk mund të përfshijë më shumë se një VNV. Vëzhguesi i KZZ-së mund të jetë vëzhgues dhe në VNV.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5. Në çdo rast një subjekt zgjedhor nuk mund të ketë më shumë se një vëzhgues në VNV njëkohësisht.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4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Kushtet për të qenë vëzhgues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1. Vëzhgues mund të jetë çdo shtetas shqiptar që plotëson kushtet e mëposhtme: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- të jetë mbi 18 vjeç;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- të ketë zotësi të plotë juridike për të vepruar.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5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Kërkesa për të caktuar vëzhgues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1. Kërkesa e subjekteve zgjedhore e parashikuar në nenin 2 të këtij udhëzimi, për akreditimin e vëzhguesve në KZZ, KQV dhe VNV, i paraqitet KZZ-së përkatëse.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2. Kërkesa duhet të ketë bashkëngjitur: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a) listën e vëzhguesve që kërkohet të akreditohen pranë KZZ/KQV/VNV të nënshkruar</w:t>
      </w:r>
      <w:r w:rsidRPr="00BF681E">
        <w:rPr>
          <w:rFonts w:ascii="Garamond" w:hAnsi="Garamond"/>
          <w:sz w:val="24"/>
          <w:szCs w:val="24"/>
          <w:lang w:val="it-IT"/>
        </w:rPr>
        <w:tab/>
        <w:t>në çdo faqe nga kryetari i partisë/përfaqësuesi i koalicionit/kandidati i pavarur ose personi i autorizuar prej tyre, sipas modelit bashkëngjitur këtij udhëzimi;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b) vërtetimin që partia/koalicioni është e regjistruar në KQZ.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6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Personat që bëjnë kërkesën për akreditimin e vëzhguesve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Kërkesa për akreditimin e vëzhguesve dhe dokumentacioni përkatës mund të paraqiten nga personat e autorizuar nga organi drejtues i partisë/përfaqësues i koalicionit/kandidati i pavarur. Akti i autorizimit depozitohet në KZZ.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7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Afatet e kërkesave për akreditim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1. Kërkesat e subjekteve zgjedhore per akreditimin e vëzhguesve i paraqiten KZZ-së jo më herët se 45 ditë dhe jo më vonë se 15 ditë para datës së zgjedhjeve.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2. KZZ, brenda 24 orëve nga paraqitja e kërkesës, bën verifikim paraprak të dokumentacionit përkatës dhe në rast të mungesave, në përmbajtje ose në formë, në dokumentacion, vendos kthimin e tyre për plotësim.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3. Dokumentacioni i plotësuar ridepozitohet brenda 24 orëve nga shpallja e vendimit të kthimit. Verifikimi i dytë i dokumentacionit bëhet brenda 24 orëve nga ridepozitimi i tij.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4. KZZ-ja merr vendim për miratimin ose jo të kërkesave jo më vonë se 5 ditë nga paraqitja e tyre.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5. Ndaj refuzimit të kërkesës për akreditim mund të bëhet ankim sipas nenit 146 pika 2 të Kodit Zgjedhor.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8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Autorizimi dhe mandati i vëzhguesve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lastRenderedPageBreak/>
        <w:t>1. Vëzhguesit e miratuar me vendim nga KZZ-ja përkatëse, regjistrohen nga sekretari i KZZ-së në librin e protokollit të KZZ-së dhe pajisen nga ai me autorizimin përkatës, sipas modelit, bashkëlidhur këtij udhëzimi.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2. Autorizimi i lëshuar nga KZZ-ja është i vlefshëm për çdo qendër votimi dhe vend numërimi të votave që përfshin akreditimi dhe i jep vezhguesit të drejtën të hyjë dhe të qëndrojë në komisionet zgjedhore, në qendrat e votimit dhe në vendet e numërimit të votave. Vëzhguesit mund të kryejnë vëzhgime vetëm sipas përcaktimeve të bëra në autorizimin e KZZ-së.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3. Në autorizimin e lëshuar nga KZZ-ja duhet të përcaktohet: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a) emri, mbiemri i vëzhguesit;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b) emri i subjektit zgjedhor që e cakton si vëzhgues;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c) qendra e votimit/zona zgjedhore/vendi i numërimit të votave që përfshin akreditimi i vezhguesit.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4. Autorizimi mban vulën e KZZ-së dhe është i firmosur nga kryetari dhe nënkryetari i KZZ-së.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9</w:t>
      </w:r>
    </w:p>
    <w:p w:rsidR="00B3629C" w:rsidRPr="00BF681E" w:rsidRDefault="00B3629C" w:rsidP="00B3629C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Të drejtat dhe detyrimet e vëzhguesve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1. Vëzhguesit kanë këto të drejta: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a) të vëzhgojnë pa pengesë të gjitha aspektet e përgatitjes dhe zhvillimit të zgjedhjeve;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b) të paraqesin vërejtje me shkrim para komisioneve të zgjedhjeve për çdo lloj parregullsie që vërejnë;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c) të shohin ose të kqyrin dokumentacionin ose materialet e procesit zgjedhor.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2. Vëzhguesit kanë këto detyra: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a) të respektojnë kërkesat e këtij Kodi dhe udhëzimet e KQZ për vëzhgimin e zgjedhjeve, si dhe vendimet dhe urdhërimet e KZZ-së ku është akredituar;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b) të mos bëjnë propagandë për asnjë kandidat, parti ose koalicion në qendrat e votimit ose në vende të tjera të ndaluara sipas Kodit Zgjedhor;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c) të paraqiten para komisioneve të zgjedhjeve me autorizimin e lëshuar nga KZZ-ja, të shoqëruar me një nga dokumentet e identifikimit personal siç janë: pasaportë, certifikatë personale me fotografi ose letërnjoftim;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ç) të mos mbajnë shenja dalluese që shërbejnë si propagandë ose që mund të ndikojnë mbi vullnetin e zgjedhësit;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d) të mos dhunojnë të drejtën e votuesit për të votuar në fshehtësi dhe të mos pengojnë procesin e votimit dhe numërimit të votave;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e) të respektojnë rregullat e etikës në marrëdhëniet me Komisionin e Zgjedhjeve dhe vëzhguesit e tjerë, të mos komentojnë me zë dhe të mos debatojnë lidhur me zhvillimin e procesit të votimit.</w:t>
      </w:r>
    </w:p>
    <w:p w:rsidR="00B3629C" w:rsidRPr="00BF681E" w:rsidRDefault="00BF681E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 xml:space="preserve">                                                               Neni 9/1</w:t>
      </w:r>
    </w:p>
    <w:p w:rsidR="00BF681E" w:rsidRPr="00BF681E" w:rsidRDefault="00BF681E" w:rsidP="00BF681E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F681E">
        <w:rPr>
          <w:rFonts w:ascii="Garamond" w:hAnsi="Garamond"/>
          <w:i/>
          <w:sz w:val="24"/>
          <w:szCs w:val="24"/>
          <w:lang w:val="it-IT"/>
        </w:rPr>
        <w:t>(Shtuar me udhëzimin nr.</w:t>
      </w:r>
      <w:r w:rsidR="0044564B">
        <w:rPr>
          <w:rFonts w:ascii="Garamond" w:hAnsi="Garamond"/>
          <w:i/>
          <w:sz w:val="24"/>
          <w:szCs w:val="24"/>
          <w:lang w:val="it-IT"/>
        </w:rPr>
        <w:t xml:space="preserve"> </w:t>
      </w:r>
      <w:bookmarkStart w:id="0" w:name="_GoBack"/>
      <w:bookmarkEnd w:id="0"/>
      <w:r w:rsidRPr="00BF681E">
        <w:rPr>
          <w:rFonts w:ascii="Garamond" w:hAnsi="Garamond"/>
          <w:i/>
          <w:sz w:val="24"/>
          <w:szCs w:val="24"/>
          <w:lang w:val="it-IT"/>
        </w:rPr>
        <w:t>25, datë 15.8.2005)</w:t>
      </w:r>
    </w:p>
    <w:p w:rsidR="00BF681E" w:rsidRPr="00BF681E" w:rsidRDefault="00BF681E" w:rsidP="00BF681E">
      <w:pPr>
        <w:pStyle w:val="Paragrafi"/>
        <w:jc w:val="left"/>
        <w:rPr>
          <w:rFonts w:ascii="Garamond" w:hAnsi="Garamond"/>
          <w:sz w:val="24"/>
          <w:szCs w:val="24"/>
        </w:rPr>
      </w:pPr>
      <w:proofErr w:type="spellStart"/>
      <w:r w:rsidRPr="00BF681E">
        <w:rPr>
          <w:rFonts w:ascii="Garamond" w:hAnsi="Garamond"/>
          <w:sz w:val="24"/>
          <w:szCs w:val="24"/>
        </w:rPr>
        <w:t>Dispozitat</w:t>
      </w:r>
      <w:proofErr w:type="spellEnd"/>
      <w:r w:rsidRPr="00BF681E">
        <w:rPr>
          <w:rFonts w:ascii="Garamond" w:hAnsi="Garamond"/>
          <w:sz w:val="24"/>
          <w:szCs w:val="24"/>
        </w:rPr>
        <w:t xml:space="preserve"> e </w:t>
      </w:r>
      <w:proofErr w:type="spellStart"/>
      <w:r w:rsidRPr="00BF681E">
        <w:rPr>
          <w:rFonts w:ascii="Garamond" w:hAnsi="Garamond"/>
          <w:sz w:val="24"/>
          <w:szCs w:val="24"/>
        </w:rPr>
        <w:t>mësipërme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zbatohen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edhe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në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rastin</w:t>
      </w:r>
      <w:proofErr w:type="spellEnd"/>
      <w:r w:rsidRPr="00BF681E">
        <w:rPr>
          <w:rFonts w:ascii="Garamond" w:hAnsi="Garamond"/>
          <w:sz w:val="24"/>
          <w:szCs w:val="24"/>
        </w:rPr>
        <w:t xml:space="preserve"> e </w:t>
      </w:r>
      <w:proofErr w:type="spellStart"/>
      <w:r w:rsidRPr="00BF681E">
        <w:rPr>
          <w:rFonts w:ascii="Garamond" w:hAnsi="Garamond"/>
          <w:sz w:val="24"/>
          <w:szCs w:val="24"/>
        </w:rPr>
        <w:t>zgjedhjeve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për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organet</w:t>
      </w:r>
      <w:proofErr w:type="spellEnd"/>
      <w:r w:rsidRPr="00BF681E">
        <w:rPr>
          <w:rFonts w:ascii="Garamond" w:hAnsi="Garamond"/>
          <w:sz w:val="24"/>
          <w:szCs w:val="24"/>
        </w:rPr>
        <w:t xml:space="preserve"> e </w:t>
      </w:r>
      <w:proofErr w:type="spellStart"/>
      <w:r w:rsidRPr="00BF681E">
        <w:rPr>
          <w:rFonts w:ascii="Garamond" w:hAnsi="Garamond"/>
          <w:sz w:val="24"/>
          <w:szCs w:val="24"/>
        </w:rPr>
        <w:t>qeverisjes</w:t>
      </w:r>
      <w:proofErr w:type="spellEnd"/>
      <w:r w:rsidRPr="00BF681E">
        <w:rPr>
          <w:rFonts w:ascii="Garamond" w:hAnsi="Garamond"/>
          <w:sz w:val="24"/>
          <w:szCs w:val="24"/>
        </w:rPr>
        <w:t xml:space="preserve"> </w:t>
      </w:r>
      <w:proofErr w:type="spellStart"/>
      <w:r w:rsidRPr="00BF681E">
        <w:rPr>
          <w:rFonts w:ascii="Garamond" w:hAnsi="Garamond"/>
          <w:sz w:val="24"/>
          <w:szCs w:val="24"/>
        </w:rPr>
        <w:t>vendore</w:t>
      </w:r>
      <w:proofErr w:type="spellEnd"/>
      <w:r w:rsidRPr="00BF681E">
        <w:rPr>
          <w:rFonts w:ascii="Garamond" w:hAnsi="Garamond"/>
          <w:sz w:val="24"/>
          <w:szCs w:val="24"/>
        </w:rPr>
        <w:t>.</w:t>
      </w:r>
    </w:p>
    <w:p w:rsidR="00BF681E" w:rsidRPr="00BF681E" w:rsidRDefault="00BF681E" w:rsidP="00BF681E">
      <w:pPr>
        <w:pStyle w:val="Paragrafi"/>
        <w:jc w:val="left"/>
        <w:rPr>
          <w:rFonts w:ascii="Garamond" w:hAnsi="Garamond"/>
          <w:i/>
          <w:sz w:val="24"/>
          <w:szCs w:val="24"/>
          <w:lang w:val="it-IT"/>
        </w:rPr>
      </w:pPr>
    </w:p>
    <w:p w:rsidR="00B3629C" w:rsidRPr="00BF681E" w:rsidRDefault="00B3629C" w:rsidP="00B3629C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Neni 10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BF681E">
        <w:rPr>
          <w:rFonts w:ascii="Garamond" w:hAnsi="Garamond"/>
          <w:sz w:val="24"/>
          <w:szCs w:val="24"/>
          <w:lang w:val="it-IT"/>
        </w:rPr>
        <w:t>Ky udhëzim hyn në fuqi menjëherë.</w:t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663DE4" w:rsidP="00B3629C">
      <w:pPr>
        <w:pStyle w:val="Figure"/>
        <w:rPr>
          <w:rFonts w:ascii="Garamond" w:hAnsi="Garamond"/>
          <w:sz w:val="24"/>
          <w:szCs w:val="24"/>
        </w:rPr>
      </w:pPr>
      <w:r w:rsidRPr="00BF681E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3762375" cy="4914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3" t="2739" b="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663DE4" w:rsidP="00B3629C">
      <w:pPr>
        <w:pStyle w:val="Figure"/>
        <w:rPr>
          <w:rFonts w:ascii="Garamond" w:hAnsi="Garamond"/>
          <w:sz w:val="24"/>
          <w:szCs w:val="24"/>
        </w:rPr>
      </w:pPr>
      <w:r w:rsidRPr="00BF681E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924300" cy="5248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Akti"/>
        <w:rPr>
          <w:rFonts w:ascii="Garamond" w:hAnsi="Garamond"/>
          <w:sz w:val="24"/>
          <w:szCs w:val="24"/>
        </w:rPr>
      </w:pPr>
      <w:r w:rsidRPr="00BF681E">
        <w:rPr>
          <w:rFonts w:ascii="Garamond" w:hAnsi="Garamond"/>
          <w:sz w:val="24"/>
          <w:szCs w:val="24"/>
        </w:rPr>
        <w:lastRenderedPageBreak/>
        <w:t>LISTA E VËZHGUESVE PËR QENDRAT E VOTIMIT</w:t>
      </w:r>
    </w:p>
    <w:p w:rsidR="00B3629C" w:rsidRPr="00BF681E" w:rsidRDefault="00B3629C" w:rsidP="00B3629C">
      <w:pPr>
        <w:pStyle w:val="Akti"/>
        <w:rPr>
          <w:rFonts w:ascii="Garamond" w:hAnsi="Garamond"/>
          <w:sz w:val="24"/>
          <w:szCs w:val="24"/>
        </w:rPr>
      </w:pP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648"/>
        <w:gridCol w:w="1260"/>
        <w:gridCol w:w="1440"/>
        <w:gridCol w:w="1800"/>
        <w:gridCol w:w="1620"/>
        <w:gridCol w:w="2700"/>
      </w:tblGrid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DATËLINDJA</w:t>
            </w: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BF681E">
              <w:rPr>
                <w:rFonts w:ascii="Garamond" w:hAnsi="Garamond"/>
                <w:sz w:val="24"/>
                <w:szCs w:val="24"/>
              </w:rPr>
              <w:t>NR.I</w:t>
            </w:r>
            <w:proofErr w:type="gramEnd"/>
            <w:r w:rsidRPr="00BF681E">
              <w:rPr>
                <w:rFonts w:ascii="Garamond" w:hAnsi="Garamond"/>
                <w:sz w:val="24"/>
                <w:szCs w:val="24"/>
              </w:rPr>
              <w:t xml:space="preserve"> DOK.ID</w:t>
            </w: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QENDRA (T) E VOTIMIT QË PËRFSHIN AKREDITIMI</w:t>
            </w: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B3629C" w:rsidRPr="00BF681E">
        <w:tc>
          <w:tcPr>
            <w:tcW w:w="648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BF681E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126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2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29C" w:rsidRPr="00BF681E" w:rsidRDefault="00B3629C" w:rsidP="00B3629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B3629C" w:rsidRPr="00BF681E" w:rsidRDefault="00B3629C" w:rsidP="00B3629C">
      <w:pPr>
        <w:pStyle w:val="Paragraf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Akt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Akt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Akt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pStyle w:val="Akti"/>
        <w:rPr>
          <w:rFonts w:ascii="Garamond" w:hAnsi="Garamond"/>
          <w:sz w:val="24"/>
          <w:szCs w:val="24"/>
        </w:rPr>
      </w:pPr>
    </w:p>
    <w:p w:rsidR="00B3629C" w:rsidRPr="00BF681E" w:rsidRDefault="00B3629C" w:rsidP="00B3629C">
      <w:pPr>
        <w:rPr>
          <w:rFonts w:ascii="Garamond" w:hAnsi="Garamond"/>
          <w:sz w:val="24"/>
          <w:szCs w:val="24"/>
        </w:rPr>
      </w:pPr>
    </w:p>
    <w:p w:rsidR="00A0784B" w:rsidRPr="00BF681E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BF681E" w:rsidSect="00B3629C">
      <w:footerReference w:type="even" r:id="rId8"/>
      <w:footerReference w:type="default" r:id="rId9"/>
      <w:pgSz w:w="11906" w:h="16838" w:code="9"/>
      <w:pgMar w:top="1418" w:right="1418" w:bottom="1418" w:left="1418" w:header="0" w:footer="1134" w:gutter="0"/>
      <w:pgNumType w:start="137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DA3" w:rsidRDefault="00CB2DA3">
      <w:r>
        <w:separator/>
      </w:r>
    </w:p>
  </w:endnote>
  <w:endnote w:type="continuationSeparator" w:id="0">
    <w:p w:rsidR="00CB2DA3" w:rsidRDefault="00CB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29C" w:rsidRDefault="00B3629C" w:rsidP="00B362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629C" w:rsidRDefault="00B3629C" w:rsidP="00B362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29C" w:rsidRDefault="00B3629C" w:rsidP="00B362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3DE4">
      <w:rPr>
        <w:rStyle w:val="PageNumber"/>
      </w:rPr>
      <w:t>1383</w:t>
    </w:r>
    <w:r>
      <w:rPr>
        <w:rStyle w:val="PageNumber"/>
      </w:rPr>
      <w:fldChar w:fldCharType="end"/>
    </w:r>
  </w:p>
  <w:p w:rsidR="00B3629C" w:rsidRDefault="00B3629C" w:rsidP="00B3629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DA3" w:rsidRDefault="00CB2DA3">
      <w:r>
        <w:separator/>
      </w:r>
    </w:p>
  </w:footnote>
  <w:footnote w:type="continuationSeparator" w:id="0">
    <w:p w:rsidR="00CB2DA3" w:rsidRDefault="00CB2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572B"/>
    <w:rsid w:val="0044564B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3DE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16F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629C"/>
    <w:rsid w:val="00B673CE"/>
    <w:rsid w:val="00BB3954"/>
    <w:rsid w:val="00BB5AB5"/>
    <w:rsid w:val="00BC6B73"/>
    <w:rsid w:val="00BF681E"/>
    <w:rsid w:val="00C22BA7"/>
    <w:rsid w:val="00C36B40"/>
    <w:rsid w:val="00C40649"/>
    <w:rsid w:val="00C7710C"/>
    <w:rsid w:val="00CB2DA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3040B"/>
  <w15:chartTrackingRefBased/>
  <w15:docId w15:val="{12DA3033-DBCA-4EAF-9F43-30A17F5A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629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3629C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362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629C"/>
  </w:style>
  <w:style w:type="table" w:styleId="TableGrid">
    <w:name w:val="Table Grid"/>
    <w:basedOn w:val="TableNormal"/>
    <w:rsid w:val="00B3629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2025-12-05T08:45:00Z</dcterms:created>
  <dcterms:modified xsi:type="dcterms:W3CDTF">2025-12-05T08:45:00Z</dcterms:modified>
</cp:coreProperties>
</file>