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21E" w:rsidRDefault="0056621E" w:rsidP="0056621E">
      <w:pPr>
        <w:pStyle w:val="Akti"/>
        <w:keepNext w:val="0"/>
      </w:pPr>
      <w:bookmarkStart w:id="0" w:name="_GoBack"/>
      <w:bookmarkEnd w:id="0"/>
      <w:r w:rsidRPr="006D3DB0">
        <w:t>UDHËZIM</w:t>
      </w:r>
    </w:p>
    <w:p w:rsidR="0056621E" w:rsidRPr="006D3DB0" w:rsidRDefault="0056621E" w:rsidP="0056621E">
      <w:pPr>
        <w:pStyle w:val="NumriData"/>
        <w:keepNext w:val="0"/>
      </w:pPr>
      <w:r>
        <w:t>Nr.12, datë 24.5.2005</w:t>
      </w:r>
    </w:p>
    <w:p w:rsidR="0056621E" w:rsidRPr="006D3DB0" w:rsidRDefault="0056621E" w:rsidP="0056621E">
      <w:pPr>
        <w:pStyle w:val="Paragrafi"/>
        <w:rPr>
          <w:lang w:val="it-IT"/>
        </w:rPr>
      </w:pPr>
    </w:p>
    <w:p w:rsidR="0056621E" w:rsidRPr="006D3DB0" w:rsidRDefault="0056621E" w:rsidP="0056621E">
      <w:pPr>
        <w:pStyle w:val="Titulli"/>
        <w:keepNext w:val="0"/>
        <w:rPr>
          <w:lang w:val="it-IT"/>
        </w:rPr>
      </w:pPr>
      <w:r w:rsidRPr="006D3DB0">
        <w:rPr>
          <w:lang w:val="it-IT"/>
        </w:rPr>
        <w:t>PËR PROCEDURËN E HEDHJES SË SHORTIT PËR CAKTIMIN E MANDATIT TË FUNDIT NGA LISTAT SHUMEMËRORE, PËR ZGJEDHJET PËR KUVENDIN E SHQIPËRISË TË VITIT 2005</w:t>
      </w:r>
    </w:p>
    <w:p w:rsidR="0056621E" w:rsidRPr="006D3DB0" w:rsidRDefault="0056621E" w:rsidP="0056621E">
      <w:pPr>
        <w:pStyle w:val="Paragrafi"/>
        <w:rPr>
          <w:lang w:val="it-IT"/>
        </w:rPr>
      </w:pPr>
    </w:p>
    <w:p w:rsidR="0056621E" w:rsidRPr="006D3DB0" w:rsidRDefault="0056621E" w:rsidP="0056621E">
      <w:pPr>
        <w:pStyle w:val="Paragrafi"/>
        <w:rPr>
          <w:lang w:val="it-IT"/>
        </w:rPr>
      </w:pPr>
      <w:r w:rsidRPr="006D3DB0">
        <w:rPr>
          <w:lang w:val="it-IT"/>
        </w:rPr>
        <w:t>Komisioni Qendror i Zgjedhjeve, në mbledhjen e tij të d</w:t>
      </w:r>
      <w:r>
        <w:rPr>
          <w:lang w:val="it-IT"/>
        </w:rPr>
        <w:t>atës 24.</w:t>
      </w:r>
      <w:r w:rsidRPr="006D3DB0">
        <w:rPr>
          <w:lang w:val="it-IT"/>
        </w:rPr>
        <w:t>5.2005, me pjesëmarrjen e:</w:t>
      </w:r>
    </w:p>
    <w:p w:rsidR="0056621E" w:rsidRPr="006D3DB0" w:rsidRDefault="0056621E" w:rsidP="0056621E">
      <w:pPr>
        <w:pStyle w:val="Paragrafi"/>
        <w:rPr>
          <w:lang w:val="it-IT"/>
        </w:rPr>
      </w:pPr>
    </w:p>
    <w:p w:rsidR="0056621E" w:rsidRPr="00B84A90" w:rsidRDefault="0056621E" w:rsidP="0056621E">
      <w:pPr>
        <w:pStyle w:val="Paragrafi"/>
      </w:pPr>
      <w:r w:rsidRPr="00B84A90">
        <w:t>Ilir</w:t>
      </w:r>
      <w:r>
        <w:t>jan  Celibashi</w:t>
      </w:r>
      <w:r w:rsidRPr="00B84A90">
        <w:tab/>
      </w:r>
      <w:r w:rsidRPr="00B84A90">
        <w:tab/>
        <w:t>Kryetar</w:t>
      </w:r>
    </w:p>
    <w:p w:rsidR="0056621E" w:rsidRPr="00B84A90" w:rsidRDefault="0056621E" w:rsidP="0056621E">
      <w:pPr>
        <w:pStyle w:val="Paragrafi"/>
      </w:pPr>
      <w:r>
        <w:t>Tomor  Malaj</w:t>
      </w:r>
      <w:r w:rsidRPr="00B84A90">
        <w:t xml:space="preserve">        </w:t>
      </w:r>
      <w:r w:rsidRPr="00B84A90">
        <w:tab/>
      </w:r>
      <w:r>
        <w:tab/>
      </w:r>
      <w:r w:rsidRPr="00B84A90">
        <w:t>Anëtar</w:t>
      </w:r>
    </w:p>
    <w:p w:rsidR="0056621E" w:rsidRPr="00D542FF" w:rsidRDefault="0056621E" w:rsidP="0056621E">
      <w:pPr>
        <w:pStyle w:val="Paragrafi"/>
        <w:rPr>
          <w:lang w:val="it-IT"/>
        </w:rPr>
      </w:pPr>
      <w:r>
        <w:rPr>
          <w:lang w:val="it-IT"/>
        </w:rPr>
        <w:t>Klement  Zguri</w:t>
      </w:r>
      <w:r w:rsidRPr="00D542FF">
        <w:rPr>
          <w:lang w:val="it-IT"/>
        </w:rPr>
        <w:t xml:space="preserve">   </w:t>
      </w:r>
      <w:r w:rsidRPr="00D542FF">
        <w:rPr>
          <w:lang w:val="it-IT"/>
        </w:rPr>
        <w:tab/>
      </w:r>
      <w:r w:rsidRPr="00D542FF">
        <w:rPr>
          <w:lang w:val="it-IT"/>
        </w:rPr>
        <w:tab/>
        <w:t>Anëtar</w:t>
      </w:r>
    </w:p>
    <w:p w:rsidR="0056621E" w:rsidRPr="00D542FF" w:rsidRDefault="0056621E" w:rsidP="0056621E">
      <w:pPr>
        <w:pStyle w:val="Paragrafi"/>
        <w:rPr>
          <w:lang w:val="it-IT"/>
        </w:rPr>
      </w:pPr>
      <w:r w:rsidRPr="00D542FF">
        <w:rPr>
          <w:lang w:val="it-IT"/>
        </w:rPr>
        <w:t>Dëshira</w:t>
      </w:r>
      <w:r w:rsidRPr="00D542FF">
        <w:rPr>
          <w:lang w:val="it-IT"/>
        </w:rPr>
        <w:tab/>
        <w:t xml:space="preserve"> Subashi</w:t>
      </w:r>
      <w:r w:rsidRPr="00D542FF">
        <w:rPr>
          <w:lang w:val="it-IT"/>
        </w:rPr>
        <w:tab/>
      </w:r>
      <w:r w:rsidRPr="00D542FF">
        <w:rPr>
          <w:lang w:val="it-IT"/>
        </w:rPr>
        <w:tab/>
        <w:t>Anëtar</w:t>
      </w:r>
      <w:r>
        <w:rPr>
          <w:lang w:val="it-IT"/>
        </w:rPr>
        <w:t>e</w:t>
      </w:r>
    </w:p>
    <w:p w:rsidR="0056621E" w:rsidRPr="00D542FF" w:rsidRDefault="0056621E" w:rsidP="0056621E">
      <w:pPr>
        <w:pStyle w:val="Paragrafi"/>
        <w:rPr>
          <w:lang w:val="it-IT"/>
        </w:rPr>
      </w:pPr>
      <w:r w:rsidRPr="00D542FF">
        <w:rPr>
          <w:lang w:val="it-IT"/>
        </w:rPr>
        <w:t>Pandeli</w:t>
      </w:r>
      <w:r w:rsidRPr="00D542FF">
        <w:rPr>
          <w:lang w:val="it-IT"/>
        </w:rPr>
        <w:tab/>
      </w:r>
      <w:r>
        <w:rPr>
          <w:lang w:val="it-IT"/>
        </w:rPr>
        <w:t>Varfi</w:t>
      </w:r>
      <w:r w:rsidRPr="00D542FF">
        <w:rPr>
          <w:lang w:val="it-IT"/>
        </w:rPr>
        <w:tab/>
      </w:r>
      <w:r w:rsidRPr="00D542FF">
        <w:rPr>
          <w:lang w:val="it-IT"/>
        </w:rPr>
        <w:tab/>
      </w:r>
      <w:r>
        <w:rPr>
          <w:lang w:val="it-IT"/>
        </w:rPr>
        <w:tab/>
      </w:r>
      <w:r w:rsidRPr="00D542FF">
        <w:rPr>
          <w:lang w:val="it-IT"/>
        </w:rPr>
        <w:t>Anëtar</w:t>
      </w:r>
    </w:p>
    <w:p w:rsidR="0056621E" w:rsidRPr="00D542FF" w:rsidRDefault="0056621E" w:rsidP="0056621E">
      <w:pPr>
        <w:pStyle w:val="Paragrafi"/>
        <w:rPr>
          <w:lang w:val="it-IT"/>
        </w:rPr>
      </w:pPr>
      <w:r w:rsidRPr="00D542FF">
        <w:rPr>
          <w:lang w:val="it-IT"/>
        </w:rPr>
        <w:t>Çlirim</w:t>
      </w:r>
      <w:r>
        <w:rPr>
          <w:lang w:val="it-IT"/>
        </w:rPr>
        <w:t xml:space="preserve"> Gjata</w:t>
      </w:r>
      <w:r w:rsidRPr="00D542FF">
        <w:rPr>
          <w:lang w:val="it-IT"/>
        </w:rPr>
        <w:t xml:space="preserve">   </w:t>
      </w:r>
      <w:r w:rsidRPr="00D542FF">
        <w:rPr>
          <w:lang w:val="it-IT"/>
        </w:rPr>
        <w:tab/>
      </w:r>
      <w:r w:rsidRPr="00D542FF">
        <w:rPr>
          <w:lang w:val="it-IT"/>
        </w:rPr>
        <w:tab/>
      </w:r>
      <w:r>
        <w:rPr>
          <w:lang w:val="it-IT"/>
        </w:rPr>
        <w:tab/>
      </w:r>
      <w:r w:rsidRPr="00D542FF">
        <w:rPr>
          <w:lang w:val="it-IT"/>
        </w:rPr>
        <w:t>Anëtar</w:t>
      </w:r>
    </w:p>
    <w:p w:rsidR="0056621E" w:rsidRPr="00D542FF" w:rsidRDefault="0056621E" w:rsidP="0056621E">
      <w:pPr>
        <w:pStyle w:val="Paragrafi"/>
        <w:rPr>
          <w:lang w:val="it-IT"/>
        </w:rPr>
      </w:pPr>
      <w:r w:rsidRPr="00D542FF">
        <w:rPr>
          <w:lang w:val="it-IT"/>
        </w:rPr>
        <w:t xml:space="preserve">Dodë   Prenga     </w:t>
      </w:r>
      <w:r w:rsidRPr="00D542FF">
        <w:rPr>
          <w:lang w:val="it-IT"/>
        </w:rPr>
        <w:tab/>
        <w:t xml:space="preserve"> </w:t>
      </w:r>
      <w:r w:rsidRPr="00D542FF">
        <w:rPr>
          <w:lang w:val="it-IT"/>
        </w:rPr>
        <w:tab/>
        <w:t>Anëtar</w:t>
      </w:r>
    </w:p>
    <w:p w:rsidR="0056621E" w:rsidRPr="00D542FF" w:rsidRDefault="0056621E" w:rsidP="0056621E">
      <w:pPr>
        <w:pStyle w:val="Paragrafi"/>
        <w:ind w:firstLine="0"/>
        <w:rPr>
          <w:lang w:val="it-IT"/>
        </w:rPr>
      </w:pPr>
    </w:p>
    <w:p w:rsidR="0056621E" w:rsidRPr="00E24B40" w:rsidRDefault="0056621E" w:rsidP="0056621E">
      <w:pPr>
        <w:pStyle w:val="Paragrafi"/>
        <w:rPr>
          <w:lang w:val="it-IT"/>
        </w:rPr>
      </w:pPr>
      <w:r w:rsidRPr="00D542FF">
        <w:rPr>
          <w:lang w:val="it-IT"/>
        </w:rPr>
        <w:t>Në mbështet</w:t>
      </w:r>
      <w:r>
        <w:rPr>
          <w:lang w:val="it-IT"/>
        </w:rPr>
        <w:t>je të nenit 29 pika 1, nenit 67</w:t>
      </w:r>
      <w:r w:rsidRPr="00D542FF">
        <w:rPr>
          <w:lang w:val="it-IT"/>
        </w:rPr>
        <w:t xml:space="preserve"> pi</w:t>
      </w:r>
      <w:r>
        <w:rPr>
          <w:lang w:val="it-IT"/>
        </w:rPr>
        <w:t>kat “b”, “ç”, “dh” dhe nenit 68</w:t>
      </w:r>
      <w:r w:rsidRPr="00D542FF">
        <w:rPr>
          <w:lang w:val="it-IT"/>
        </w:rPr>
        <w:t xml:space="preserve"> pikat “a” dhe “ç</w:t>
      </w:r>
      <w:r>
        <w:rPr>
          <w:lang w:val="it-IT"/>
        </w:rPr>
        <w:t>” të ligjit nr.9087, datë 19.</w:t>
      </w:r>
      <w:r w:rsidRPr="00E24B40">
        <w:rPr>
          <w:lang w:val="it-IT"/>
        </w:rPr>
        <w:t>6.2003 “Kodi Zgjedhor i Republikës së Shqipërisë”, i ndryshuar,</w:t>
      </w:r>
      <w:r>
        <w:rPr>
          <w:lang w:val="it-IT"/>
        </w:rPr>
        <w:t xml:space="preserve"> Komisioni Qendror i Zgjedhjeve</w:t>
      </w:r>
      <w:r w:rsidRPr="00E24B40">
        <w:rPr>
          <w:lang w:val="it-IT"/>
        </w:rPr>
        <w:t xml:space="preserve"> </w:t>
      </w:r>
    </w:p>
    <w:p w:rsidR="0056621E" w:rsidRPr="00E24B40" w:rsidRDefault="0056621E" w:rsidP="0056621E">
      <w:pPr>
        <w:pStyle w:val="Paragrafi"/>
        <w:ind w:firstLine="0"/>
        <w:rPr>
          <w:lang w:val="it-IT"/>
        </w:rPr>
      </w:pPr>
    </w:p>
    <w:p w:rsidR="0056621E" w:rsidRPr="00E24B40" w:rsidRDefault="0056621E" w:rsidP="0056621E">
      <w:pPr>
        <w:pStyle w:val="VENDOSI"/>
        <w:keepNext w:val="0"/>
        <w:rPr>
          <w:lang w:val="it-IT"/>
        </w:rPr>
      </w:pPr>
      <w:r w:rsidRPr="00E24B40">
        <w:rPr>
          <w:lang w:val="it-IT"/>
        </w:rPr>
        <w:t>Udhëzon:</w:t>
      </w:r>
    </w:p>
    <w:p w:rsidR="0056621E" w:rsidRPr="00E24B40" w:rsidRDefault="0056621E" w:rsidP="0056621E">
      <w:pPr>
        <w:pStyle w:val="Paragrafi"/>
        <w:rPr>
          <w:lang w:val="it-IT"/>
        </w:rPr>
      </w:pPr>
    </w:p>
    <w:p w:rsidR="0056621E" w:rsidRPr="00E24B40" w:rsidRDefault="0056621E" w:rsidP="0056621E">
      <w:pPr>
        <w:pStyle w:val="NeniNr"/>
        <w:keepNext w:val="0"/>
        <w:rPr>
          <w:lang w:val="it-IT"/>
        </w:rPr>
      </w:pPr>
      <w:r w:rsidRPr="00E24B40">
        <w:rPr>
          <w:lang w:val="it-IT"/>
        </w:rPr>
        <w:t>Neni 1</w:t>
      </w:r>
    </w:p>
    <w:p w:rsidR="0056621E" w:rsidRPr="00E24B40" w:rsidRDefault="0056621E" w:rsidP="0056621E">
      <w:pPr>
        <w:pStyle w:val="NeniTitull"/>
        <w:keepNext w:val="0"/>
        <w:rPr>
          <w:lang w:val="it-IT"/>
        </w:rPr>
      </w:pPr>
      <w:r w:rsidRPr="00E24B40">
        <w:rPr>
          <w:lang w:val="it-IT"/>
        </w:rPr>
        <w:t>Qëllimi</w:t>
      </w:r>
    </w:p>
    <w:p w:rsidR="0056621E" w:rsidRPr="00E24B40" w:rsidRDefault="0056621E" w:rsidP="0056621E">
      <w:pPr>
        <w:pStyle w:val="Paragrafi"/>
        <w:rPr>
          <w:lang w:val="it-IT"/>
        </w:rPr>
      </w:pPr>
    </w:p>
    <w:p w:rsidR="0056621E" w:rsidRPr="00E24B40" w:rsidRDefault="0056621E" w:rsidP="0056621E">
      <w:pPr>
        <w:pStyle w:val="Paragrafi"/>
        <w:rPr>
          <w:lang w:val="it-IT"/>
        </w:rPr>
      </w:pPr>
      <w:r w:rsidRPr="00E24B40">
        <w:rPr>
          <w:lang w:val="it-IT"/>
        </w:rPr>
        <w:t>Ky udhëzim ka për qëllim të përcaktojë procedurat e organizimit të shortit, midis subjekteve zgjedhore që kanë mbetje dhjetore të barabarta, për caktimin e mandatit të fund</w:t>
      </w:r>
      <w:r>
        <w:rPr>
          <w:lang w:val="it-IT"/>
        </w:rPr>
        <w:t>it nga listat shumemërore, për z</w:t>
      </w:r>
      <w:r w:rsidRPr="00E24B40">
        <w:rPr>
          <w:lang w:val="it-IT"/>
        </w:rPr>
        <w:t>gjedhjet për Kuvendin e Shqipërisë të vitit 2005.</w:t>
      </w:r>
    </w:p>
    <w:p w:rsidR="0056621E" w:rsidRPr="00E24B40" w:rsidRDefault="0056621E" w:rsidP="0056621E">
      <w:pPr>
        <w:pStyle w:val="Paragrafi"/>
        <w:rPr>
          <w:lang w:val="it-IT"/>
        </w:rPr>
      </w:pPr>
    </w:p>
    <w:p w:rsidR="0056621E" w:rsidRPr="00E24B40" w:rsidRDefault="0056621E" w:rsidP="0056621E">
      <w:pPr>
        <w:pStyle w:val="NeniNr"/>
        <w:keepNext w:val="0"/>
        <w:rPr>
          <w:lang w:val="it-IT"/>
        </w:rPr>
      </w:pPr>
      <w:r w:rsidRPr="00E24B40">
        <w:rPr>
          <w:lang w:val="it-IT"/>
        </w:rPr>
        <w:t>Neni 2</w:t>
      </w:r>
    </w:p>
    <w:p w:rsidR="0056621E" w:rsidRPr="00E24B40" w:rsidRDefault="0056621E" w:rsidP="0056621E">
      <w:pPr>
        <w:pStyle w:val="Paragrafi"/>
        <w:rPr>
          <w:lang w:val="it-IT"/>
        </w:rPr>
      </w:pPr>
    </w:p>
    <w:p w:rsidR="0056621E" w:rsidRPr="00E24B40" w:rsidRDefault="0056621E" w:rsidP="0056621E">
      <w:pPr>
        <w:pStyle w:val="Paragrafi"/>
        <w:rPr>
          <w:lang w:val="it-IT"/>
        </w:rPr>
      </w:pPr>
      <w:r w:rsidRPr="00E24B40">
        <w:rPr>
          <w:lang w:val="it-IT"/>
        </w:rPr>
        <w:t>1. KQZ merr vendim për organizimin e shortit në ra</w:t>
      </w:r>
      <w:r>
        <w:rPr>
          <w:lang w:val="it-IT"/>
        </w:rPr>
        <w:t>stet e parashikuara në nenin 67</w:t>
      </w:r>
      <w:r w:rsidRPr="00E24B40">
        <w:rPr>
          <w:lang w:val="it-IT"/>
        </w:rPr>
        <w:t xml:space="preserve"> pikat “b”, “ç” dhe “dh” dhe nenin 68 </w:t>
      </w:r>
      <w:bookmarkStart w:id="1" w:name="OLE_LINK1"/>
      <w:r w:rsidRPr="00E24B40">
        <w:rPr>
          <w:lang w:val="it-IT"/>
        </w:rPr>
        <w:t xml:space="preserve">pikat “a” dhe “ç” </w:t>
      </w:r>
      <w:bookmarkEnd w:id="1"/>
      <w:r>
        <w:rPr>
          <w:lang w:val="it-IT"/>
        </w:rPr>
        <w:t>të ligjit nr.9087, datë 19.</w:t>
      </w:r>
      <w:r w:rsidRPr="00E24B40">
        <w:rPr>
          <w:lang w:val="it-IT"/>
        </w:rPr>
        <w:t xml:space="preserve">6.2003 “Kodi Zgjedhor i Republikës së Shqipërisë”, i ndryshuar. </w:t>
      </w:r>
    </w:p>
    <w:p w:rsidR="0056621E" w:rsidRPr="00E24B40" w:rsidRDefault="0056621E" w:rsidP="0056621E">
      <w:pPr>
        <w:pStyle w:val="Paragrafi"/>
        <w:rPr>
          <w:lang w:val="it-IT"/>
        </w:rPr>
      </w:pPr>
      <w:r w:rsidRPr="00E24B40">
        <w:rPr>
          <w:lang w:val="it-IT"/>
        </w:rPr>
        <w:t>2. Procedurat e shortit organizohen jo më herët se 5 ditë nga marrja e vendimit për shortin. Data, vendi dhe ora e zhvillimit të shortit shpallet në hyrje të KQZ-së.</w:t>
      </w:r>
    </w:p>
    <w:p w:rsidR="0056621E" w:rsidRPr="00B84A90" w:rsidRDefault="0056621E" w:rsidP="0056621E">
      <w:pPr>
        <w:pStyle w:val="NeniNr"/>
        <w:keepNext w:val="0"/>
      </w:pPr>
      <w:r w:rsidRPr="00B84A90">
        <w:t>Neni 3</w:t>
      </w:r>
    </w:p>
    <w:p w:rsidR="0056621E" w:rsidRPr="00B84A90" w:rsidRDefault="0056621E" w:rsidP="0056621E">
      <w:pPr>
        <w:pStyle w:val="Paragrafi"/>
      </w:pPr>
    </w:p>
    <w:p w:rsidR="0056621E" w:rsidRPr="00B84A90" w:rsidRDefault="0056621E" w:rsidP="0056621E">
      <w:pPr>
        <w:pStyle w:val="Paragrafi"/>
      </w:pPr>
      <w:r>
        <w:t xml:space="preserve">1. </w:t>
      </w:r>
      <w:r w:rsidRPr="00B84A90">
        <w:t xml:space="preserve">Hedhja e shortit organizohet në seancë publike. </w:t>
      </w:r>
    </w:p>
    <w:p w:rsidR="0056621E" w:rsidRPr="00B84A90" w:rsidRDefault="0056621E" w:rsidP="0056621E">
      <w:pPr>
        <w:pStyle w:val="Paragrafi"/>
      </w:pPr>
    </w:p>
    <w:p w:rsidR="0056621E" w:rsidRPr="00B84A90" w:rsidRDefault="0056621E" w:rsidP="0056621E">
      <w:pPr>
        <w:pStyle w:val="NeniNr"/>
        <w:keepNext w:val="0"/>
      </w:pPr>
      <w:r w:rsidRPr="00B84A90">
        <w:t>Neni 4</w:t>
      </w:r>
    </w:p>
    <w:p w:rsidR="0056621E" w:rsidRPr="00B84A90" w:rsidRDefault="0056621E" w:rsidP="0056621E">
      <w:pPr>
        <w:pStyle w:val="Paragrafi"/>
      </w:pPr>
    </w:p>
    <w:p w:rsidR="0056621E" w:rsidRPr="00B84A90" w:rsidRDefault="0056621E" w:rsidP="0056621E">
      <w:pPr>
        <w:pStyle w:val="Paragrafi"/>
      </w:pPr>
      <w:r w:rsidRPr="00B84A90">
        <w:t>1. Në datën dhe orën e caktuar për organizimin e shortit, sekretari i KQZ-së sigurohet paraprakisht për praninë e përfaqësuesve të subjekteve zgjedhore përkatës</w:t>
      </w:r>
      <w:r>
        <w:t>e dhe i fton ato</w:t>
      </w:r>
      <w:r w:rsidRPr="00B84A90">
        <w:t xml:space="preserve"> të zënë vendet e caktuara.</w:t>
      </w:r>
    </w:p>
    <w:p w:rsidR="0056621E" w:rsidRPr="00B84A90" w:rsidRDefault="0056621E" w:rsidP="0056621E">
      <w:pPr>
        <w:pStyle w:val="Paragrafi"/>
      </w:pPr>
      <w:r w:rsidRPr="00B84A90">
        <w:t>2. Në një enë tra</w:t>
      </w:r>
      <w:r>
        <w:t>n</w:t>
      </w:r>
      <w:r w:rsidRPr="00B84A90">
        <w:t>sparente futen aq gogla sa është edhe numri i subjekteve zgjedhore, pjesëmarrës</w:t>
      </w:r>
      <w:r>
        <w:t>e</w:t>
      </w:r>
      <w:r w:rsidRPr="00B84A90">
        <w:t xml:space="preserve"> në short.</w:t>
      </w:r>
    </w:p>
    <w:p w:rsidR="0056621E" w:rsidRPr="00B84A90" w:rsidRDefault="0056621E" w:rsidP="0056621E">
      <w:pPr>
        <w:pStyle w:val="Paragrafi"/>
        <w:rPr>
          <w:rFonts w:ascii="Batang" w:eastAsia="Batang" w:hAnsi="Batang" w:cs="Batang" w:hint="eastAsia"/>
        </w:rPr>
      </w:pPr>
      <w:r w:rsidRPr="00B84A90">
        <w:t>3. Në secilën prej g</w:t>
      </w:r>
      <w:r>
        <w:t>oglave futet nga një shirit let</w:t>
      </w:r>
      <w:r w:rsidRPr="00B84A90">
        <w:t>r</w:t>
      </w:r>
      <w:r>
        <w:t>e</w:t>
      </w:r>
      <w:r w:rsidRPr="00B84A90">
        <w:t xml:space="preserve"> ku n</w:t>
      </w:r>
      <w:r w:rsidRPr="00B84A90">
        <w:rPr>
          <w:rFonts w:ascii="Times New Roman" w:hAnsi="Times New Roman"/>
        </w:rPr>
        <w:t>ё</w:t>
      </w:r>
      <w:r w:rsidRPr="00B84A90">
        <w:rPr>
          <w:rFonts w:cs="CG Times"/>
        </w:rPr>
        <w:t xml:space="preserve"> nj</w:t>
      </w:r>
      <w:r w:rsidRPr="00B84A90">
        <w:rPr>
          <w:rFonts w:ascii="Times New Roman" w:hAnsi="Times New Roman"/>
        </w:rPr>
        <w:t>ё</w:t>
      </w:r>
      <w:r w:rsidRPr="00B84A90">
        <w:rPr>
          <w:rFonts w:cs="CG Times"/>
        </w:rPr>
        <w:t>rin prej tyre shënohet fjala “FITUES”.</w:t>
      </w:r>
    </w:p>
    <w:p w:rsidR="0056621E" w:rsidRPr="00B84A90" w:rsidRDefault="0056621E" w:rsidP="0056621E">
      <w:pPr>
        <w:pStyle w:val="Paragrafi"/>
      </w:pPr>
      <w:r w:rsidRPr="00B84A90">
        <w:t>4. Radha e tërheqjes së goglave sipas pikës 2, caktohet me short.</w:t>
      </w:r>
    </w:p>
    <w:p w:rsidR="0056621E" w:rsidRPr="00B84A90" w:rsidRDefault="0056621E" w:rsidP="0056621E">
      <w:pPr>
        <w:pStyle w:val="Paragrafi"/>
      </w:pPr>
      <w:r w:rsidRPr="00B84A90">
        <w:t>5. Sekretari i KQZ-së fton me radhë përfaqësuesit e subjekteve zgjedhore për tërheqjen e shortit.</w:t>
      </w:r>
    </w:p>
    <w:p w:rsidR="0056621E" w:rsidRPr="00B84A90" w:rsidRDefault="0056621E" w:rsidP="0056621E">
      <w:pPr>
        <w:pStyle w:val="Paragrafi"/>
      </w:pPr>
      <w:r w:rsidRPr="00B84A90">
        <w:t>6. Mosparaqitja e ndonjë prej përfaqësuesve të subjekteve zgjedhore midis të cilëve hidhet shorti, nuk pezullon procedurat e shortit. Në këtë rast procedura për tërheqjen e shortit për subjektin në</w:t>
      </w:r>
      <w:r>
        <w:t xml:space="preserve"> </w:t>
      </w:r>
      <w:r>
        <w:lastRenderedPageBreak/>
        <w:t>mungesë, bëhet nga një person i</w:t>
      </w:r>
      <w:r w:rsidRPr="00B84A90">
        <w:t xml:space="preserve"> caktuar me vendim të KQZ-së.</w:t>
      </w:r>
    </w:p>
    <w:p w:rsidR="0056621E" w:rsidRPr="00B84A90" w:rsidRDefault="0056621E" w:rsidP="0056621E">
      <w:pPr>
        <w:pStyle w:val="Paragrafi"/>
      </w:pPr>
    </w:p>
    <w:p w:rsidR="0056621E" w:rsidRPr="00B84A90" w:rsidRDefault="0056621E" w:rsidP="0056621E">
      <w:pPr>
        <w:pStyle w:val="NeniNr"/>
        <w:keepNext w:val="0"/>
      </w:pPr>
      <w:r w:rsidRPr="00B84A90">
        <w:t>Neni 5</w:t>
      </w:r>
    </w:p>
    <w:p w:rsidR="0056621E" w:rsidRPr="00B84A90" w:rsidRDefault="0056621E" w:rsidP="0056621E">
      <w:pPr>
        <w:pStyle w:val="Paragrafi"/>
      </w:pPr>
    </w:p>
    <w:p w:rsidR="0056621E" w:rsidRPr="00B84A90" w:rsidRDefault="0056621E" w:rsidP="0056621E">
      <w:pPr>
        <w:pStyle w:val="Paragrafi"/>
      </w:pPr>
      <w:r>
        <w:t xml:space="preserve">1. </w:t>
      </w:r>
      <w:r w:rsidRPr="00B84A90">
        <w:t>Përfaqësuesi i subjektit zgjedhor</w:t>
      </w:r>
      <w:r>
        <w:t xml:space="preserve"> që e hap goglën, ia dorëzon s</w:t>
      </w:r>
      <w:r w:rsidRPr="00B84A90">
        <w:t>ekretarit të KQZ-së, i cili e lexon me zë të lartë dhe ua tregon të gjithë përfaqësuesve të subjekteve zgjedhore pjesëmarrës</w:t>
      </w:r>
      <w:r>
        <w:t>e</w:t>
      </w:r>
      <w:r w:rsidRPr="00B84A90">
        <w:t xml:space="preserve"> në short.</w:t>
      </w:r>
    </w:p>
    <w:p w:rsidR="0056621E" w:rsidRPr="00B84A90" w:rsidRDefault="0056621E" w:rsidP="0056621E">
      <w:pPr>
        <w:pStyle w:val="Paragrafi"/>
      </w:pPr>
      <w:r>
        <w:t xml:space="preserve">2. </w:t>
      </w:r>
      <w:r w:rsidRPr="00B84A90">
        <w:t>Pasi është tërheq</w:t>
      </w:r>
      <w:r>
        <w:t>ur gogla me shënimin “FITUES”, s</w:t>
      </w:r>
      <w:r w:rsidRPr="00B84A90">
        <w:t>ekretari i KQZ-së i hap me radhë goglat e mbetura në enë</w:t>
      </w:r>
      <w:r>
        <w:t>,</w:t>
      </w:r>
      <w:r w:rsidRPr="00B84A90">
        <w:t xml:space="preserve"> nëse ka</w:t>
      </w:r>
      <w:r>
        <w:t>,</w:t>
      </w:r>
      <w:r w:rsidRPr="00B84A90">
        <w:t xml:space="preserve"> dhe lexon me zë të lartë përmbajtjen e fletëve dhe ua tregon ato me radhë pjesëmarrësve në mbledhje.</w:t>
      </w:r>
    </w:p>
    <w:p w:rsidR="0056621E" w:rsidRPr="00B84A90" w:rsidRDefault="0056621E" w:rsidP="0056621E">
      <w:pPr>
        <w:pStyle w:val="Paragrafi"/>
      </w:pPr>
    </w:p>
    <w:p w:rsidR="0056621E" w:rsidRDefault="0056621E" w:rsidP="0056621E">
      <w:pPr>
        <w:pStyle w:val="NeniNr"/>
        <w:keepNext w:val="0"/>
      </w:pPr>
      <w:r w:rsidRPr="00B84A90">
        <w:t>Neni 6</w:t>
      </w:r>
    </w:p>
    <w:p w:rsidR="0056621E" w:rsidRPr="00253E94" w:rsidRDefault="0056621E" w:rsidP="0056621E">
      <w:pPr>
        <w:pStyle w:val="Paragrafi"/>
      </w:pPr>
    </w:p>
    <w:p w:rsidR="0056621E" w:rsidRPr="00B84A90" w:rsidRDefault="0056621E" w:rsidP="0056621E">
      <w:pPr>
        <w:pStyle w:val="Paragrafi"/>
        <w:rPr>
          <w:rFonts w:ascii="Batang" w:eastAsia="Batang" w:hAnsi="Batang" w:cs="Batang" w:hint="eastAsia"/>
        </w:rPr>
      </w:pPr>
      <w:r w:rsidRPr="00B84A90">
        <w:t>N</w:t>
      </w:r>
      <w:r w:rsidRPr="00B84A90">
        <w:rPr>
          <w:rFonts w:ascii="Times New Roman" w:hAnsi="Times New Roman"/>
        </w:rPr>
        <w:t>ё</w:t>
      </w:r>
      <w:r w:rsidRPr="00B84A90">
        <w:rPr>
          <w:rFonts w:cs="CG Times"/>
        </w:rPr>
        <w:t xml:space="preserve"> p</w:t>
      </w:r>
      <w:r w:rsidRPr="00B84A90">
        <w:rPr>
          <w:rFonts w:ascii="Times New Roman" w:hAnsi="Times New Roman"/>
        </w:rPr>
        <w:t>ё</w:t>
      </w:r>
      <w:r w:rsidRPr="00B84A90">
        <w:rPr>
          <w:rFonts w:cs="CG Times"/>
        </w:rPr>
        <w:t>rfundim t</w:t>
      </w:r>
      <w:r w:rsidRPr="00B84A90">
        <w:rPr>
          <w:rFonts w:ascii="Times New Roman" w:hAnsi="Times New Roman"/>
        </w:rPr>
        <w:t>ё</w:t>
      </w:r>
      <w:r>
        <w:rPr>
          <w:rFonts w:cs="CG Times"/>
        </w:rPr>
        <w:t xml:space="preserve"> proc</w:t>
      </w:r>
      <w:r w:rsidRPr="00B84A90">
        <w:rPr>
          <w:rFonts w:cs="CG Times"/>
        </w:rPr>
        <w:t>edur</w:t>
      </w:r>
      <w:r w:rsidRPr="00B84A90">
        <w:rPr>
          <w:rFonts w:ascii="Times New Roman" w:hAnsi="Times New Roman"/>
        </w:rPr>
        <w:t>ё</w:t>
      </w:r>
      <w:r w:rsidRPr="00B84A90">
        <w:rPr>
          <w:rFonts w:cs="CG Times"/>
        </w:rPr>
        <w:t>s s</w:t>
      </w:r>
      <w:r w:rsidRPr="00B84A90">
        <w:rPr>
          <w:rFonts w:ascii="Times New Roman" w:hAnsi="Times New Roman"/>
        </w:rPr>
        <w:t>ё</w:t>
      </w:r>
      <w:r w:rsidRPr="00B84A90">
        <w:rPr>
          <w:rFonts w:cs="CG Times"/>
        </w:rPr>
        <w:t xml:space="preserve"> hedhjes s</w:t>
      </w:r>
      <w:r w:rsidRPr="00B84A90">
        <w:rPr>
          <w:rFonts w:ascii="Times New Roman" w:hAnsi="Times New Roman"/>
        </w:rPr>
        <w:t>ё</w:t>
      </w:r>
      <w:r w:rsidRPr="00B84A90">
        <w:rPr>
          <w:rFonts w:cs="CG Times"/>
        </w:rPr>
        <w:t xml:space="preserve"> shortit, KQZ-ja merr vendim p</w:t>
      </w:r>
      <w:r w:rsidRPr="00B84A90">
        <w:rPr>
          <w:rFonts w:ascii="Times New Roman" w:hAnsi="Times New Roman"/>
        </w:rPr>
        <w:t>ё</w:t>
      </w:r>
      <w:r w:rsidRPr="00B84A90">
        <w:rPr>
          <w:rFonts w:cs="CG Times"/>
        </w:rPr>
        <w:t>r shpalljen e rezultatit t</w:t>
      </w:r>
      <w:r w:rsidRPr="00B84A90">
        <w:rPr>
          <w:rFonts w:ascii="Times New Roman" w:hAnsi="Times New Roman"/>
        </w:rPr>
        <w:t>ё</w:t>
      </w:r>
      <w:r w:rsidRPr="00B84A90">
        <w:rPr>
          <w:rFonts w:cs="CG Times"/>
        </w:rPr>
        <w:t xml:space="preserve"> shortit.</w:t>
      </w:r>
    </w:p>
    <w:p w:rsidR="0056621E" w:rsidRPr="00B84A90" w:rsidRDefault="0056621E" w:rsidP="0056621E">
      <w:pPr>
        <w:pStyle w:val="Paragrafi"/>
      </w:pPr>
    </w:p>
    <w:p w:rsidR="0056621E" w:rsidRPr="00B84A90" w:rsidRDefault="0056621E" w:rsidP="0056621E">
      <w:pPr>
        <w:pStyle w:val="NeniNr"/>
        <w:keepNext w:val="0"/>
      </w:pPr>
      <w:r w:rsidRPr="00B84A90">
        <w:t>Neni 7</w:t>
      </w:r>
    </w:p>
    <w:p w:rsidR="0056621E" w:rsidRPr="00B84A90" w:rsidRDefault="0056621E" w:rsidP="0056621E">
      <w:pPr>
        <w:pStyle w:val="NeniTitull"/>
        <w:keepNext w:val="0"/>
      </w:pPr>
      <w:r w:rsidRPr="00B84A90">
        <w:t>Hyrja në fuqi</w:t>
      </w:r>
    </w:p>
    <w:p w:rsidR="0056621E" w:rsidRPr="00B84A90" w:rsidRDefault="0056621E" w:rsidP="0056621E">
      <w:pPr>
        <w:pStyle w:val="Paragrafi"/>
      </w:pPr>
    </w:p>
    <w:p w:rsidR="0056621E" w:rsidRPr="00B84A90" w:rsidRDefault="0056621E" w:rsidP="0056621E">
      <w:pPr>
        <w:pStyle w:val="Paragrafi"/>
      </w:pPr>
      <w:r w:rsidRPr="00B84A90">
        <w:t>Ky udhëzim hyn në fuqi menjëherë.</w:t>
      </w:r>
    </w:p>
    <w:p w:rsidR="0056621E" w:rsidRPr="00B84A90" w:rsidRDefault="0056621E" w:rsidP="0056621E">
      <w:pPr>
        <w:pStyle w:val="Paragrafi"/>
      </w:pPr>
    </w:p>
    <w:p w:rsidR="0056621E" w:rsidRPr="009039C8" w:rsidRDefault="0056621E" w:rsidP="0056621E">
      <w:pPr>
        <w:pStyle w:val="Paragrafi"/>
        <w:ind w:firstLine="0"/>
      </w:pPr>
    </w:p>
    <w:p w:rsidR="0056621E" w:rsidRDefault="0056621E" w:rsidP="0056621E">
      <w:pPr>
        <w:pStyle w:val="Paragrafi"/>
      </w:pPr>
    </w:p>
    <w:p w:rsidR="0056621E" w:rsidRDefault="0056621E" w:rsidP="0056621E">
      <w:pPr>
        <w:pStyle w:val="Paragrafi"/>
      </w:pPr>
    </w:p>
    <w:p w:rsidR="0056621E" w:rsidRDefault="0056621E" w:rsidP="0056621E">
      <w:pPr>
        <w:pStyle w:val="Paragrafi"/>
      </w:pPr>
    </w:p>
    <w:p w:rsidR="0056621E" w:rsidRDefault="0056621E" w:rsidP="0056621E">
      <w:pPr>
        <w:pStyle w:val="Paragrafi"/>
      </w:pPr>
    </w:p>
    <w:p w:rsidR="0056621E" w:rsidRDefault="0056621E" w:rsidP="0056621E">
      <w:pPr>
        <w:pStyle w:val="Paragrafi"/>
      </w:pPr>
    </w:p>
    <w:p w:rsidR="0056621E" w:rsidRDefault="0056621E" w:rsidP="0056621E">
      <w:pPr>
        <w:pStyle w:val="Paragrafi"/>
      </w:pPr>
    </w:p>
    <w:p w:rsidR="0056621E" w:rsidRDefault="0056621E" w:rsidP="0056621E">
      <w:pPr>
        <w:pStyle w:val="Paragrafi"/>
      </w:pPr>
    </w:p>
    <w:p w:rsidR="0056621E" w:rsidRDefault="0056621E" w:rsidP="0056621E">
      <w:pPr>
        <w:pStyle w:val="Paragrafi"/>
      </w:pPr>
    </w:p>
    <w:p w:rsidR="0056621E" w:rsidRDefault="0056621E" w:rsidP="0056621E">
      <w:pPr>
        <w:pStyle w:val="Paragrafi"/>
      </w:pPr>
    </w:p>
    <w:p w:rsidR="0056621E" w:rsidRDefault="0056621E" w:rsidP="0056621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602C"/>
    <w:rsid w:val="0056621E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27E010-924C-485E-923D-06050B0C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6621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