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65A5" w:rsidRDefault="00C665A5" w:rsidP="00C665A5">
      <w:pPr>
        <w:pStyle w:val="Akti"/>
        <w:keepNext w:val="0"/>
      </w:pPr>
      <w:bookmarkStart w:id="0" w:name="_GoBack"/>
      <w:bookmarkEnd w:id="0"/>
      <w:r>
        <w:t>UDHËZI</w:t>
      </w:r>
      <w:r w:rsidRPr="006D3DB0">
        <w:t>M</w:t>
      </w:r>
    </w:p>
    <w:p w:rsidR="00C665A5" w:rsidRPr="006D3DB0" w:rsidRDefault="00C665A5" w:rsidP="00C665A5">
      <w:pPr>
        <w:pStyle w:val="NumriData"/>
        <w:keepNext w:val="0"/>
      </w:pPr>
      <w:r>
        <w:t>Nr.13, datë 26.5.2005</w:t>
      </w:r>
    </w:p>
    <w:p w:rsidR="00C665A5" w:rsidRPr="006D3DB0" w:rsidRDefault="00C665A5" w:rsidP="00C665A5">
      <w:pPr>
        <w:pStyle w:val="Paragrafi"/>
        <w:ind w:firstLine="0"/>
      </w:pPr>
    </w:p>
    <w:p w:rsidR="00C665A5" w:rsidRPr="006D3DB0" w:rsidRDefault="00C665A5" w:rsidP="00C665A5">
      <w:pPr>
        <w:pStyle w:val="Titulli"/>
        <w:keepNext w:val="0"/>
      </w:pPr>
      <w:r w:rsidRPr="006D3DB0">
        <w:t xml:space="preserve">PËR PROCEDURËN E ORGANIZIMIT TË SHORTIT, PËR SHPALLJEN E FITUESIT MIDIS KANDIDATËVE QË KANË MARRË NUMËR TË BARABARTË VOTASH NË ZONËN NJËEMËRORE </w:t>
      </w:r>
    </w:p>
    <w:p w:rsidR="00C665A5" w:rsidRPr="006D3DB0" w:rsidRDefault="00C665A5" w:rsidP="00C665A5">
      <w:pPr>
        <w:pStyle w:val="Paragrafi"/>
        <w:ind w:firstLine="0"/>
      </w:pPr>
    </w:p>
    <w:p w:rsidR="00C665A5" w:rsidRPr="006D3DB0" w:rsidRDefault="00C665A5" w:rsidP="00C665A5">
      <w:pPr>
        <w:pStyle w:val="Paragrafi"/>
      </w:pPr>
      <w:r w:rsidRPr="006D3DB0">
        <w:t>Komisioni Qendror i Zgjedhjeve, në mbledhjen e t</w:t>
      </w:r>
      <w:r>
        <w:t>ij të datës 26.</w:t>
      </w:r>
      <w:r w:rsidRPr="006D3DB0">
        <w:t>5.2005, me pjesëmarrjen e anëtarëve:</w:t>
      </w:r>
    </w:p>
    <w:p w:rsidR="00C665A5" w:rsidRPr="006D3DB0" w:rsidRDefault="00C665A5" w:rsidP="00C665A5">
      <w:pPr>
        <w:pStyle w:val="Paragrafi"/>
      </w:pPr>
    </w:p>
    <w:p w:rsidR="00C665A5" w:rsidRPr="009039C8" w:rsidRDefault="00C665A5" w:rsidP="00C665A5">
      <w:pPr>
        <w:pStyle w:val="Paragrafi"/>
      </w:pPr>
      <w:r>
        <w:t>Ilirjan Celibashi</w:t>
      </w:r>
      <w:r w:rsidRPr="009039C8">
        <w:tab/>
      </w:r>
      <w:r w:rsidRPr="009039C8">
        <w:tab/>
      </w:r>
      <w:r>
        <w:tab/>
      </w:r>
      <w:r w:rsidRPr="009039C8">
        <w:t>Kryetar</w:t>
      </w:r>
    </w:p>
    <w:p w:rsidR="00C665A5" w:rsidRPr="009039C8" w:rsidRDefault="00C665A5" w:rsidP="00C665A5">
      <w:pPr>
        <w:pStyle w:val="Paragrafi"/>
      </w:pPr>
      <w:r>
        <w:t>Tomor Malaj</w:t>
      </w:r>
      <w:r w:rsidRPr="009039C8">
        <w:t xml:space="preserve">         </w:t>
      </w:r>
      <w:r w:rsidRPr="009039C8">
        <w:tab/>
      </w:r>
      <w:r>
        <w:tab/>
      </w:r>
      <w:r w:rsidRPr="009039C8">
        <w:t>Anëtar</w:t>
      </w:r>
    </w:p>
    <w:p w:rsidR="00C665A5" w:rsidRPr="006D3DB0" w:rsidRDefault="00C665A5" w:rsidP="00C665A5">
      <w:pPr>
        <w:pStyle w:val="Paragrafi"/>
        <w:rPr>
          <w:lang w:val="it-IT"/>
        </w:rPr>
      </w:pPr>
      <w:r>
        <w:rPr>
          <w:lang w:val="it-IT"/>
        </w:rPr>
        <w:t>Klement  Zguri</w:t>
      </w:r>
      <w:r w:rsidRPr="006D3DB0">
        <w:rPr>
          <w:lang w:val="it-IT"/>
        </w:rPr>
        <w:t xml:space="preserve">  </w:t>
      </w:r>
      <w:r w:rsidRPr="006D3DB0">
        <w:rPr>
          <w:lang w:val="it-IT"/>
        </w:rPr>
        <w:tab/>
      </w:r>
      <w:r w:rsidRPr="006D3DB0">
        <w:rPr>
          <w:lang w:val="it-IT"/>
        </w:rPr>
        <w:tab/>
        <w:t>Anëtar</w:t>
      </w:r>
    </w:p>
    <w:p w:rsidR="00C665A5" w:rsidRPr="008875AC" w:rsidRDefault="00C665A5" w:rsidP="00C665A5">
      <w:pPr>
        <w:pStyle w:val="Paragrafi"/>
        <w:rPr>
          <w:lang w:val="it-IT"/>
        </w:rPr>
      </w:pPr>
      <w:r w:rsidRPr="008875AC">
        <w:rPr>
          <w:lang w:val="it-IT"/>
        </w:rPr>
        <w:t>Dëshira</w:t>
      </w:r>
      <w:r w:rsidRPr="008875AC">
        <w:rPr>
          <w:lang w:val="it-IT"/>
        </w:rPr>
        <w:tab/>
      </w:r>
      <w:r>
        <w:rPr>
          <w:lang w:val="it-IT"/>
        </w:rPr>
        <w:t xml:space="preserve"> Subashi</w:t>
      </w:r>
      <w:r w:rsidRPr="008875AC">
        <w:rPr>
          <w:lang w:val="it-IT"/>
        </w:rPr>
        <w:tab/>
      </w:r>
      <w:r w:rsidRPr="008875AC">
        <w:rPr>
          <w:lang w:val="it-IT"/>
        </w:rPr>
        <w:tab/>
        <w:t>Anëtar</w:t>
      </w:r>
      <w:r>
        <w:rPr>
          <w:lang w:val="it-IT"/>
        </w:rPr>
        <w:t>e</w:t>
      </w:r>
    </w:p>
    <w:p w:rsidR="00C665A5" w:rsidRPr="008875AC" w:rsidRDefault="00C665A5" w:rsidP="00C665A5">
      <w:pPr>
        <w:pStyle w:val="Paragrafi"/>
        <w:rPr>
          <w:lang w:val="it-IT"/>
        </w:rPr>
      </w:pPr>
      <w:r>
        <w:rPr>
          <w:lang w:val="it-IT"/>
        </w:rPr>
        <w:t>Pandeli</w:t>
      </w:r>
      <w:r>
        <w:rPr>
          <w:lang w:val="it-IT"/>
        </w:rPr>
        <w:tab/>
        <w:t>Varfi</w:t>
      </w:r>
      <w:r w:rsidRPr="008875AC">
        <w:rPr>
          <w:lang w:val="it-IT"/>
        </w:rPr>
        <w:tab/>
      </w:r>
      <w:r w:rsidRPr="008875AC">
        <w:rPr>
          <w:lang w:val="it-IT"/>
        </w:rPr>
        <w:tab/>
      </w:r>
      <w:r>
        <w:rPr>
          <w:lang w:val="it-IT"/>
        </w:rPr>
        <w:tab/>
      </w:r>
      <w:r w:rsidRPr="008875AC">
        <w:rPr>
          <w:lang w:val="it-IT"/>
        </w:rPr>
        <w:t>Anëtar</w:t>
      </w:r>
    </w:p>
    <w:p w:rsidR="00C665A5" w:rsidRPr="008875AC" w:rsidRDefault="00C665A5" w:rsidP="00C665A5">
      <w:pPr>
        <w:pStyle w:val="Paragrafi"/>
        <w:rPr>
          <w:lang w:val="it-IT"/>
        </w:rPr>
      </w:pPr>
      <w:r>
        <w:rPr>
          <w:lang w:val="it-IT"/>
        </w:rPr>
        <w:t>Çlirim</w:t>
      </w:r>
      <w:r>
        <w:rPr>
          <w:lang w:val="it-IT"/>
        </w:rPr>
        <w:tab/>
        <w:t>Gjata</w:t>
      </w:r>
      <w:r>
        <w:rPr>
          <w:lang w:val="it-IT"/>
        </w:rPr>
        <w:tab/>
      </w:r>
      <w:r w:rsidRPr="008875AC">
        <w:rPr>
          <w:lang w:val="it-IT"/>
        </w:rPr>
        <w:tab/>
      </w:r>
      <w:r w:rsidRPr="008875AC">
        <w:rPr>
          <w:lang w:val="it-IT"/>
        </w:rPr>
        <w:tab/>
        <w:t>An</w:t>
      </w:r>
      <w:r w:rsidRPr="009039C8">
        <w:rPr>
          <w:rFonts w:ascii="Times New Roman" w:hAnsi="Times New Roman"/>
        </w:rPr>
        <w:t>ё</w:t>
      </w:r>
      <w:r w:rsidRPr="008875AC">
        <w:rPr>
          <w:lang w:val="it-IT"/>
        </w:rPr>
        <w:t>tar</w:t>
      </w:r>
    </w:p>
    <w:p w:rsidR="00C665A5" w:rsidRPr="008875AC" w:rsidRDefault="00C665A5" w:rsidP="00C665A5">
      <w:pPr>
        <w:pStyle w:val="Paragrafi"/>
        <w:rPr>
          <w:lang w:val="it-IT"/>
        </w:rPr>
      </w:pPr>
      <w:r>
        <w:rPr>
          <w:lang w:val="it-IT"/>
        </w:rPr>
        <w:t>Dodë Prenga</w:t>
      </w:r>
      <w:r w:rsidRPr="008875AC">
        <w:rPr>
          <w:lang w:val="it-IT"/>
        </w:rPr>
        <w:t xml:space="preserve">       </w:t>
      </w:r>
      <w:r w:rsidRPr="008875AC">
        <w:rPr>
          <w:lang w:val="it-IT"/>
        </w:rPr>
        <w:tab/>
      </w:r>
      <w:r>
        <w:rPr>
          <w:lang w:val="it-IT"/>
        </w:rPr>
        <w:tab/>
      </w:r>
      <w:r w:rsidRPr="008875AC">
        <w:rPr>
          <w:lang w:val="it-IT"/>
        </w:rPr>
        <w:t>Anëtar</w:t>
      </w:r>
    </w:p>
    <w:p w:rsidR="00C665A5" w:rsidRPr="008875AC" w:rsidRDefault="00C665A5" w:rsidP="00C665A5">
      <w:pPr>
        <w:pStyle w:val="Paragrafi"/>
        <w:rPr>
          <w:lang w:val="it-IT"/>
        </w:rPr>
      </w:pPr>
    </w:p>
    <w:p w:rsidR="00C665A5" w:rsidRPr="008875AC" w:rsidRDefault="00C665A5" w:rsidP="00C665A5">
      <w:pPr>
        <w:pStyle w:val="Paragrafi"/>
        <w:rPr>
          <w:lang w:val="it-IT"/>
        </w:rPr>
      </w:pPr>
      <w:r>
        <w:rPr>
          <w:lang w:val="it-IT"/>
        </w:rPr>
        <w:t>Në mbështetje të nenit 29</w:t>
      </w:r>
      <w:r w:rsidRPr="008875AC">
        <w:rPr>
          <w:lang w:val="it-IT"/>
        </w:rPr>
        <w:t xml:space="preserve"> </w:t>
      </w:r>
      <w:r>
        <w:rPr>
          <w:lang w:val="it-IT"/>
        </w:rPr>
        <w:t>pika 1 dhe nenit 66 pika 2 të ligjit nr.9087, datë 19.6.2003</w:t>
      </w:r>
      <w:r w:rsidRPr="008875AC">
        <w:rPr>
          <w:lang w:val="it-IT"/>
        </w:rPr>
        <w:t xml:space="preserve"> “Kodi Zgjedhor i Republikës së Shqipërisë”, i ndryshuar,</w:t>
      </w:r>
      <w:r>
        <w:rPr>
          <w:lang w:val="it-IT"/>
        </w:rPr>
        <w:t xml:space="preserve"> Komisioni Qendror i Zgjedhjeve</w:t>
      </w:r>
      <w:r w:rsidRPr="008875AC">
        <w:rPr>
          <w:lang w:val="it-IT"/>
        </w:rPr>
        <w:t xml:space="preserve"> </w:t>
      </w:r>
    </w:p>
    <w:p w:rsidR="00C665A5" w:rsidRPr="00132D14" w:rsidRDefault="00C665A5" w:rsidP="00C665A5">
      <w:pPr>
        <w:pStyle w:val="Paragrafi"/>
      </w:pPr>
    </w:p>
    <w:p w:rsidR="00C665A5" w:rsidRPr="008875AC" w:rsidRDefault="00C665A5" w:rsidP="00C665A5">
      <w:pPr>
        <w:pStyle w:val="VENDOSI"/>
        <w:keepNext w:val="0"/>
        <w:rPr>
          <w:lang w:val="it-IT"/>
        </w:rPr>
      </w:pPr>
      <w:r>
        <w:rPr>
          <w:lang w:val="it-IT"/>
        </w:rPr>
        <w:t>UDHËZO</w:t>
      </w:r>
      <w:r w:rsidRPr="008875AC">
        <w:rPr>
          <w:lang w:val="it-IT"/>
        </w:rPr>
        <w:t>N:</w:t>
      </w:r>
    </w:p>
    <w:p w:rsidR="00C665A5" w:rsidRPr="008875AC" w:rsidRDefault="00C665A5" w:rsidP="00C665A5">
      <w:pPr>
        <w:pStyle w:val="Paragrafi"/>
        <w:rPr>
          <w:lang w:val="it-IT"/>
        </w:rPr>
      </w:pPr>
    </w:p>
    <w:p w:rsidR="00C665A5" w:rsidRPr="008875AC" w:rsidRDefault="00C665A5" w:rsidP="00C665A5">
      <w:pPr>
        <w:pStyle w:val="NeniNr"/>
        <w:keepNext w:val="0"/>
        <w:rPr>
          <w:lang w:val="it-IT"/>
        </w:rPr>
      </w:pPr>
      <w:r w:rsidRPr="008875AC">
        <w:rPr>
          <w:lang w:val="it-IT"/>
        </w:rPr>
        <w:t>Neni 1</w:t>
      </w:r>
    </w:p>
    <w:p w:rsidR="00C665A5" w:rsidRPr="008875AC" w:rsidRDefault="00C665A5" w:rsidP="00C665A5">
      <w:pPr>
        <w:pStyle w:val="NeniTitull"/>
        <w:keepNext w:val="0"/>
        <w:rPr>
          <w:lang w:val="it-IT"/>
        </w:rPr>
      </w:pPr>
      <w:r w:rsidRPr="008875AC">
        <w:rPr>
          <w:lang w:val="it-IT"/>
        </w:rPr>
        <w:t>Qëllimi</w:t>
      </w:r>
    </w:p>
    <w:p w:rsidR="00C665A5" w:rsidRDefault="00C665A5" w:rsidP="00C665A5">
      <w:pPr>
        <w:pStyle w:val="Paragrafi"/>
        <w:rPr>
          <w:lang w:val="it-IT"/>
        </w:rPr>
      </w:pPr>
    </w:p>
    <w:p w:rsidR="00C665A5" w:rsidRPr="008875AC" w:rsidRDefault="00C665A5" w:rsidP="00C665A5">
      <w:pPr>
        <w:pStyle w:val="Paragrafi"/>
        <w:rPr>
          <w:lang w:val="it-IT"/>
        </w:rPr>
      </w:pPr>
      <w:r w:rsidRPr="008875AC">
        <w:rPr>
          <w:lang w:val="it-IT"/>
        </w:rPr>
        <w:t xml:space="preserve">Ky udhëzim ka për qëllim të përcaktojë rregullat që zbatohen për organizimin e shortit, për shpalljen fitues të kandidatëve që marrin numër të barabartë votash në zonën njëemërore. </w:t>
      </w:r>
    </w:p>
    <w:p w:rsidR="00C665A5" w:rsidRPr="008875AC" w:rsidRDefault="00C665A5" w:rsidP="00C665A5">
      <w:pPr>
        <w:pStyle w:val="Paragrafi"/>
        <w:ind w:firstLine="0"/>
        <w:rPr>
          <w:lang w:val="it-IT"/>
        </w:rPr>
      </w:pPr>
    </w:p>
    <w:p w:rsidR="00C665A5" w:rsidRDefault="00C665A5" w:rsidP="00C665A5">
      <w:pPr>
        <w:pStyle w:val="NeniNr"/>
        <w:keepNext w:val="0"/>
        <w:rPr>
          <w:lang w:val="it-IT"/>
        </w:rPr>
      </w:pPr>
      <w:r w:rsidRPr="008875AC">
        <w:rPr>
          <w:lang w:val="it-IT"/>
        </w:rPr>
        <w:t>Neni 2</w:t>
      </w:r>
    </w:p>
    <w:p w:rsidR="00C665A5" w:rsidRPr="008875AC" w:rsidRDefault="00C665A5" w:rsidP="00C665A5">
      <w:pPr>
        <w:pStyle w:val="Paragrafi"/>
        <w:rPr>
          <w:lang w:val="it-IT"/>
        </w:rPr>
      </w:pPr>
    </w:p>
    <w:p w:rsidR="00C665A5" w:rsidRPr="008875AC" w:rsidRDefault="00C665A5" w:rsidP="00C665A5">
      <w:pPr>
        <w:pStyle w:val="Paragrafi"/>
        <w:rPr>
          <w:lang w:val="it-IT"/>
        </w:rPr>
      </w:pPr>
      <w:r w:rsidRPr="008875AC">
        <w:rPr>
          <w:lang w:val="it-IT"/>
        </w:rPr>
        <w:t>KQZ merr vendim për organizimin e shortit për zgjedhjen e kandidatit fitues, në rast se dy ose më shumë kandidatë kanë marrë numër të barabartë votash në zonën njëemërore ku ata kandidojnë. Vendimi përmban vendin, datën dhe orën e zhvillimit të shortit.</w:t>
      </w:r>
    </w:p>
    <w:p w:rsidR="00C665A5" w:rsidRPr="008875AC" w:rsidRDefault="00C665A5" w:rsidP="00C665A5">
      <w:pPr>
        <w:pStyle w:val="Paragrafi"/>
        <w:rPr>
          <w:lang w:val="it-IT"/>
        </w:rPr>
      </w:pPr>
    </w:p>
    <w:p w:rsidR="00C665A5" w:rsidRPr="008875AC" w:rsidRDefault="00C665A5" w:rsidP="00C665A5">
      <w:pPr>
        <w:pStyle w:val="NeniNr"/>
        <w:keepNext w:val="0"/>
        <w:rPr>
          <w:lang w:val="it-IT"/>
        </w:rPr>
      </w:pPr>
      <w:r w:rsidRPr="008875AC">
        <w:rPr>
          <w:lang w:val="it-IT"/>
        </w:rPr>
        <w:t>Neni 3</w:t>
      </w:r>
    </w:p>
    <w:p w:rsidR="00C665A5" w:rsidRPr="008875AC" w:rsidRDefault="00C665A5" w:rsidP="00C665A5">
      <w:pPr>
        <w:pStyle w:val="Paragrafi"/>
        <w:rPr>
          <w:lang w:val="it-IT"/>
        </w:rPr>
      </w:pPr>
    </w:p>
    <w:p w:rsidR="00C665A5" w:rsidRPr="008875AC" w:rsidRDefault="00C665A5" w:rsidP="00C665A5">
      <w:pPr>
        <w:pStyle w:val="Paragrafi"/>
        <w:rPr>
          <w:lang w:val="it-IT"/>
        </w:rPr>
      </w:pPr>
      <w:r w:rsidRPr="008875AC">
        <w:rPr>
          <w:lang w:val="it-IT"/>
        </w:rPr>
        <w:t>Mbledhja p</w:t>
      </w:r>
      <w:r w:rsidRPr="009039C8">
        <w:rPr>
          <w:rFonts w:ascii="Times New Roman" w:hAnsi="Times New Roman"/>
        </w:rPr>
        <w:t>ё</w:t>
      </w:r>
      <w:r w:rsidRPr="008875AC">
        <w:rPr>
          <w:lang w:val="it-IT"/>
        </w:rPr>
        <w:t>r hedhjen e shortit organizohet në seancë publike, jo më herët se 5 ditë dhe jo më vonë se 7 ditë pas marrjes së vendimit për hedhjen e shortit.</w:t>
      </w:r>
    </w:p>
    <w:p w:rsidR="00C665A5" w:rsidRPr="008875AC" w:rsidRDefault="00C665A5" w:rsidP="00C665A5">
      <w:pPr>
        <w:pStyle w:val="Paragrafi"/>
        <w:ind w:firstLine="0"/>
        <w:rPr>
          <w:lang w:val="it-IT"/>
        </w:rPr>
      </w:pPr>
    </w:p>
    <w:p w:rsidR="00C665A5" w:rsidRPr="008875AC" w:rsidRDefault="00C665A5" w:rsidP="00C665A5">
      <w:pPr>
        <w:pStyle w:val="NeniNr"/>
        <w:keepNext w:val="0"/>
        <w:rPr>
          <w:lang w:val="it-IT"/>
        </w:rPr>
      </w:pPr>
      <w:r w:rsidRPr="008875AC">
        <w:rPr>
          <w:lang w:val="it-IT"/>
        </w:rPr>
        <w:t>Neni 4</w:t>
      </w:r>
    </w:p>
    <w:p w:rsidR="00C665A5" w:rsidRPr="008875AC" w:rsidRDefault="00C665A5" w:rsidP="00C665A5">
      <w:pPr>
        <w:pStyle w:val="Paragrafi"/>
        <w:rPr>
          <w:lang w:val="it-IT"/>
        </w:rPr>
      </w:pPr>
    </w:p>
    <w:p w:rsidR="00C665A5" w:rsidRPr="008875AC" w:rsidRDefault="00C665A5" w:rsidP="00C665A5">
      <w:pPr>
        <w:pStyle w:val="Paragrafi"/>
        <w:rPr>
          <w:lang w:val="it-IT"/>
        </w:rPr>
      </w:pPr>
      <w:r w:rsidRPr="008875AC">
        <w:rPr>
          <w:lang w:val="it-IT"/>
        </w:rPr>
        <w:t>Njoftimi për zhvillimin e shortit shpallet publikisht në hyrjen e selis</w:t>
      </w:r>
      <w:r w:rsidRPr="009039C8">
        <w:rPr>
          <w:rFonts w:ascii="Times New Roman" w:hAnsi="Times New Roman"/>
        </w:rPr>
        <w:t>ё</w:t>
      </w:r>
      <w:r w:rsidRPr="008875AC">
        <w:rPr>
          <w:lang w:val="it-IT"/>
        </w:rPr>
        <w:t xml:space="preserve"> s</w:t>
      </w:r>
      <w:r w:rsidRPr="009039C8">
        <w:rPr>
          <w:rFonts w:ascii="Times New Roman" w:hAnsi="Times New Roman"/>
        </w:rPr>
        <w:t>ё</w:t>
      </w:r>
      <w:r w:rsidRPr="008875AC">
        <w:rPr>
          <w:lang w:val="it-IT"/>
        </w:rPr>
        <w:t xml:space="preserve"> KQZ-së, si dhe botohet në dy gazetat me tirazh më të madh. </w:t>
      </w:r>
    </w:p>
    <w:p w:rsidR="00C665A5" w:rsidRPr="008875AC" w:rsidRDefault="00C665A5" w:rsidP="00C665A5">
      <w:pPr>
        <w:pStyle w:val="Paragrafi"/>
        <w:rPr>
          <w:lang w:val="it-IT"/>
        </w:rPr>
      </w:pPr>
    </w:p>
    <w:p w:rsidR="00C665A5" w:rsidRPr="008875AC" w:rsidRDefault="00C665A5" w:rsidP="00C665A5">
      <w:pPr>
        <w:pStyle w:val="NeniNr"/>
        <w:keepNext w:val="0"/>
        <w:rPr>
          <w:lang w:val="it-IT"/>
        </w:rPr>
      </w:pPr>
      <w:r w:rsidRPr="008875AC">
        <w:rPr>
          <w:lang w:val="it-IT"/>
        </w:rPr>
        <w:t>Neni 5</w:t>
      </w:r>
    </w:p>
    <w:p w:rsidR="00C665A5" w:rsidRPr="008875AC" w:rsidRDefault="00C665A5" w:rsidP="00C665A5">
      <w:pPr>
        <w:pStyle w:val="Paragrafi"/>
        <w:rPr>
          <w:lang w:val="it-IT"/>
        </w:rPr>
      </w:pPr>
    </w:p>
    <w:p w:rsidR="00C665A5" w:rsidRPr="008875AC" w:rsidRDefault="00C665A5" w:rsidP="00C665A5">
      <w:pPr>
        <w:pStyle w:val="Paragrafi"/>
        <w:rPr>
          <w:lang w:val="it-IT"/>
        </w:rPr>
      </w:pPr>
      <w:r w:rsidRPr="008875AC">
        <w:rPr>
          <w:lang w:val="it-IT"/>
        </w:rPr>
        <w:t>1. Në datën dhe orën e caktuar për organizimin e shortit, sekretari i KQZ-së sigurohet paraprakisht për praninë e kandidatëve përkatës dhe i fton ata të zënë vendet e caktuara.</w:t>
      </w:r>
    </w:p>
    <w:p w:rsidR="00C665A5" w:rsidRPr="008875AC" w:rsidRDefault="00C665A5" w:rsidP="00C665A5">
      <w:pPr>
        <w:pStyle w:val="Paragrafi"/>
        <w:rPr>
          <w:lang w:val="it-IT"/>
        </w:rPr>
      </w:pPr>
      <w:r w:rsidRPr="008875AC">
        <w:rPr>
          <w:lang w:val="it-IT"/>
        </w:rPr>
        <w:t>2. Mosparaqitja e kandidatëve ose e njërit prej tyre nuk shtyn procedurat e shortit me përjashtim të rastit kur ndonjë prej tyre paraqet shkaqe të përligjura për mosparaqitjen. Në çdo rast shtyrja bëhet vetëm një herë dhe jo më vonë se 48 orë.</w:t>
      </w:r>
    </w:p>
    <w:p w:rsidR="00C665A5" w:rsidRPr="008875AC" w:rsidRDefault="00C665A5" w:rsidP="00C665A5">
      <w:pPr>
        <w:pStyle w:val="Paragrafi"/>
        <w:rPr>
          <w:lang w:val="it-IT"/>
        </w:rPr>
      </w:pPr>
      <w:r w:rsidRPr="008875AC">
        <w:rPr>
          <w:lang w:val="it-IT"/>
        </w:rPr>
        <w:t>3. Në një enë tra</w:t>
      </w:r>
      <w:r>
        <w:rPr>
          <w:lang w:val="it-IT"/>
        </w:rPr>
        <w:t>n</w:t>
      </w:r>
      <w:r w:rsidRPr="008875AC">
        <w:rPr>
          <w:lang w:val="it-IT"/>
        </w:rPr>
        <w:t>sparente futen aq gogla sa është edhe numri i kandidatëve, pjesëmarrës në short.</w:t>
      </w:r>
    </w:p>
    <w:p w:rsidR="00C665A5" w:rsidRPr="008875AC" w:rsidRDefault="00C665A5" w:rsidP="00C665A5">
      <w:pPr>
        <w:pStyle w:val="Paragrafi"/>
        <w:rPr>
          <w:lang w:val="it-IT"/>
        </w:rPr>
      </w:pPr>
      <w:r w:rsidRPr="008875AC">
        <w:rPr>
          <w:lang w:val="it-IT"/>
        </w:rPr>
        <w:t>4. Në secilën prej g</w:t>
      </w:r>
      <w:r>
        <w:rPr>
          <w:lang w:val="it-IT"/>
        </w:rPr>
        <w:t>oglave futet nga një shirit let</w:t>
      </w:r>
      <w:r w:rsidRPr="008875AC">
        <w:rPr>
          <w:lang w:val="it-IT"/>
        </w:rPr>
        <w:t>r</w:t>
      </w:r>
      <w:r>
        <w:rPr>
          <w:lang w:val="it-IT"/>
        </w:rPr>
        <w:t>e</w:t>
      </w:r>
      <w:r w:rsidRPr="008875AC">
        <w:rPr>
          <w:lang w:val="it-IT"/>
        </w:rPr>
        <w:t xml:space="preserve"> ku n</w:t>
      </w:r>
      <w:r w:rsidRPr="009039C8">
        <w:rPr>
          <w:rFonts w:ascii="Times New Roman" w:hAnsi="Times New Roman"/>
        </w:rPr>
        <w:t>ё</w:t>
      </w:r>
      <w:r w:rsidRPr="008875AC">
        <w:rPr>
          <w:lang w:val="it-IT"/>
        </w:rPr>
        <w:t xml:space="preserve"> nj</w:t>
      </w:r>
      <w:r w:rsidRPr="009039C8">
        <w:rPr>
          <w:rFonts w:ascii="Times New Roman" w:hAnsi="Times New Roman"/>
        </w:rPr>
        <w:t>ё</w:t>
      </w:r>
      <w:r w:rsidRPr="008875AC">
        <w:rPr>
          <w:lang w:val="it-IT"/>
        </w:rPr>
        <w:t xml:space="preserve">rin prej tyre shënohet fjala </w:t>
      </w:r>
      <w:r w:rsidRPr="008875AC">
        <w:rPr>
          <w:lang w:val="it-IT"/>
        </w:rPr>
        <w:lastRenderedPageBreak/>
        <w:t>“FITUES”.</w:t>
      </w:r>
    </w:p>
    <w:p w:rsidR="00C665A5" w:rsidRPr="009039C8" w:rsidRDefault="00C665A5" w:rsidP="00C665A5">
      <w:pPr>
        <w:pStyle w:val="Paragrafi"/>
      </w:pPr>
      <w:r w:rsidRPr="009039C8">
        <w:t>5. Radha e tërheqjes së goglave sipas pikës 3, caktohet me short.</w:t>
      </w:r>
    </w:p>
    <w:p w:rsidR="00C665A5" w:rsidRPr="009039C8" w:rsidRDefault="00C665A5" w:rsidP="00C665A5">
      <w:pPr>
        <w:pStyle w:val="Paragrafi"/>
      </w:pPr>
      <w:r w:rsidRPr="009039C8">
        <w:t>6. Sekretari i KQZ-së fton me radhë kandidatët për tërheqjen e shortit.</w:t>
      </w:r>
    </w:p>
    <w:p w:rsidR="00C665A5" w:rsidRPr="009039C8" w:rsidRDefault="00C665A5" w:rsidP="00C665A5">
      <w:pPr>
        <w:pStyle w:val="Paragrafi"/>
        <w:ind w:firstLine="0"/>
      </w:pPr>
    </w:p>
    <w:p w:rsidR="00C665A5" w:rsidRDefault="00C665A5" w:rsidP="00C665A5">
      <w:pPr>
        <w:pStyle w:val="NeniNr"/>
        <w:keepNext w:val="0"/>
      </w:pPr>
      <w:r w:rsidRPr="009039C8">
        <w:t>Neni 6</w:t>
      </w:r>
    </w:p>
    <w:p w:rsidR="00C665A5" w:rsidRPr="008F7FD8" w:rsidRDefault="00C665A5" w:rsidP="00C665A5">
      <w:pPr>
        <w:pStyle w:val="Paragrafi"/>
      </w:pPr>
    </w:p>
    <w:p w:rsidR="00C665A5" w:rsidRPr="009039C8" w:rsidRDefault="00C665A5" w:rsidP="00C665A5">
      <w:pPr>
        <w:pStyle w:val="Paragrafi"/>
      </w:pPr>
      <w:r>
        <w:t xml:space="preserve">1. </w:t>
      </w:r>
      <w:r w:rsidRPr="009039C8">
        <w:t>Kandid</w:t>
      </w:r>
      <w:r>
        <w:t>ati që e hap goglën ia dorëzon s</w:t>
      </w:r>
      <w:r w:rsidRPr="009039C8">
        <w:t>ekretarit të KQZ-së, i cili e lexon me zë të lartë dhe ua tregon të gjithë kandidatëve pjesëmarrës në short.</w:t>
      </w:r>
    </w:p>
    <w:p w:rsidR="00C665A5" w:rsidRPr="009039C8" w:rsidRDefault="00C665A5" w:rsidP="00C665A5">
      <w:pPr>
        <w:pStyle w:val="Paragrafi"/>
      </w:pPr>
      <w:r w:rsidRPr="009039C8">
        <w:t>2.  Pasi është tërhequr gogla me shënimin “FITUES”, Sekretari i KQZ-së i hap me radhë goglat e mbetura në enë, nëse ka,  lexon me zë të lartë përmbajtjen e fletëve dhe ua tregon ato me radhë pjesëmarrësve në mbledhje.</w:t>
      </w:r>
    </w:p>
    <w:p w:rsidR="00C665A5" w:rsidRPr="009039C8" w:rsidRDefault="00C665A5" w:rsidP="00C665A5">
      <w:pPr>
        <w:pStyle w:val="Paragrafi"/>
      </w:pPr>
    </w:p>
    <w:p w:rsidR="00C665A5" w:rsidRDefault="00C665A5" w:rsidP="00C665A5">
      <w:pPr>
        <w:pStyle w:val="NeniNr"/>
        <w:keepNext w:val="0"/>
      </w:pPr>
      <w:r w:rsidRPr="009039C8">
        <w:t>Neni 7</w:t>
      </w:r>
    </w:p>
    <w:p w:rsidR="00C665A5" w:rsidRPr="008F7FD8" w:rsidRDefault="00C665A5" w:rsidP="00C665A5">
      <w:pPr>
        <w:pStyle w:val="Paragrafi"/>
      </w:pPr>
    </w:p>
    <w:p w:rsidR="00C665A5" w:rsidRPr="009039C8" w:rsidRDefault="00C665A5" w:rsidP="00C665A5">
      <w:pPr>
        <w:pStyle w:val="Paragrafi"/>
        <w:rPr>
          <w:rFonts w:ascii="Batang" w:eastAsia="Batang" w:hAnsi="Batang" w:cs="Batang" w:hint="eastAsia"/>
        </w:rPr>
      </w:pPr>
      <w:r w:rsidRPr="009039C8">
        <w:t>N</w:t>
      </w:r>
      <w:r w:rsidRPr="009039C8">
        <w:rPr>
          <w:rFonts w:ascii="Times New Roman" w:hAnsi="Times New Roman"/>
        </w:rPr>
        <w:t>ё</w:t>
      </w:r>
      <w:r w:rsidRPr="009039C8">
        <w:rPr>
          <w:rFonts w:cs="CG Times"/>
        </w:rPr>
        <w:t xml:space="preserve"> p</w:t>
      </w:r>
      <w:r w:rsidRPr="009039C8">
        <w:rPr>
          <w:rFonts w:ascii="Times New Roman" w:hAnsi="Times New Roman"/>
        </w:rPr>
        <w:t>ё</w:t>
      </w:r>
      <w:r w:rsidRPr="009039C8">
        <w:rPr>
          <w:rFonts w:cs="CG Times"/>
        </w:rPr>
        <w:t>rfundim t</w:t>
      </w:r>
      <w:r w:rsidRPr="009039C8">
        <w:rPr>
          <w:rFonts w:ascii="Times New Roman" w:hAnsi="Times New Roman"/>
        </w:rPr>
        <w:t>ё</w:t>
      </w:r>
      <w:r w:rsidRPr="009039C8">
        <w:rPr>
          <w:rFonts w:cs="CG Times"/>
        </w:rPr>
        <w:t xml:space="preserve"> procedur</w:t>
      </w:r>
      <w:r w:rsidRPr="009039C8">
        <w:rPr>
          <w:rFonts w:ascii="Times New Roman" w:hAnsi="Times New Roman"/>
        </w:rPr>
        <w:t>ё</w:t>
      </w:r>
      <w:r w:rsidRPr="009039C8">
        <w:rPr>
          <w:rFonts w:cs="CG Times"/>
        </w:rPr>
        <w:t>s s</w:t>
      </w:r>
      <w:r w:rsidRPr="009039C8">
        <w:rPr>
          <w:rFonts w:ascii="Times New Roman" w:hAnsi="Times New Roman"/>
        </w:rPr>
        <w:t>ё</w:t>
      </w:r>
      <w:r w:rsidRPr="009039C8">
        <w:rPr>
          <w:rFonts w:cs="CG Times"/>
        </w:rPr>
        <w:t xml:space="preserve"> hedhjes s</w:t>
      </w:r>
      <w:r w:rsidRPr="009039C8">
        <w:rPr>
          <w:rFonts w:ascii="Times New Roman" w:hAnsi="Times New Roman"/>
        </w:rPr>
        <w:t>ё</w:t>
      </w:r>
      <w:r w:rsidRPr="009039C8">
        <w:rPr>
          <w:rFonts w:cs="CG Times"/>
        </w:rPr>
        <w:t xml:space="preserve"> shortit, KQZ me vendim shpall rezultatin e shortit duke deklaruar kandidatin fitues.</w:t>
      </w:r>
    </w:p>
    <w:p w:rsidR="00C665A5" w:rsidRDefault="00C665A5" w:rsidP="00C665A5">
      <w:pPr>
        <w:pStyle w:val="Paragrafi"/>
      </w:pPr>
    </w:p>
    <w:p w:rsidR="00C665A5" w:rsidRDefault="00C665A5" w:rsidP="00C665A5">
      <w:pPr>
        <w:pStyle w:val="Paragrafi"/>
      </w:pPr>
    </w:p>
    <w:p w:rsidR="00C665A5" w:rsidRPr="009039C8" w:rsidRDefault="00C665A5" w:rsidP="00C665A5">
      <w:pPr>
        <w:pStyle w:val="NeniNr"/>
        <w:keepNext w:val="0"/>
      </w:pPr>
      <w:r w:rsidRPr="009039C8">
        <w:t>Neni 8</w:t>
      </w:r>
    </w:p>
    <w:p w:rsidR="00C665A5" w:rsidRPr="009039C8" w:rsidRDefault="00C665A5" w:rsidP="00C665A5">
      <w:pPr>
        <w:pStyle w:val="Paragrafi"/>
      </w:pPr>
      <w:r w:rsidRPr="009039C8">
        <w:t>Ky udhëzim hyn në fuqi menjëherë.</w:t>
      </w:r>
    </w:p>
    <w:p w:rsidR="00C665A5" w:rsidRDefault="00C665A5" w:rsidP="00C665A5">
      <w:pPr>
        <w:pStyle w:val="Paragrafi"/>
        <w:ind w:firstLine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70FAF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665A5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39D0E67-4698-47DB-9521-C143242C6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C665A5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2019-03-16T14:22:00Z</dcterms:created>
  <dcterms:modified xsi:type="dcterms:W3CDTF">2019-03-16T14:22:00Z</dcterms:modified>
</cp:coreProperties>
</file>