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FA7" w:rsidRPr="005A7724" w:rsidRDefault="005A0FA7" w:rsidP="005A0FA7">
      <w:pPr>
        <w:pStyle w:val="Akti"/>
        <w:rPr>
          <w:lang w:val="it-IT"/>
        </w:rPr>
      </w:pPr>
      <w:bookmarkStart w:id="0" w:name="_GoBack"/>
      <w:bookmarkEnd w:id="0"/>
      <w:r w:rsidRPr="005A7724">
        <w:rPr>
          <w:lang w:val="it-IT"/>
        </w:rPr>
        <w:t>UDHËZIM</w:t>
      </w:r>
    </w:p>
    <w:p w:rsidR="005A0FA7" w:rsidRPr="005A7724" w:rsidRDefault="005A0FA7" w:rsidP="005A0FA7">
      <w:pPr>
        <w:pStyle w:val="NumriData"/>
        <w:rPr>
          <w:szCs w:val="22"/>
          <w:lang w:val="it-IT"/>
        </w:rPr>
      </w:pPr>
      <w:r w:rsidRPr="005A7724">
        <w:rPr>
          <w:szCs w:val="22"/>
          <w:lang w:val="it-IT"/>
        </w:rPr>
        <w:t>Nr.19, datë 14.6.2005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</w:p>
    <w:p w:rsidR="005A0FA7" w:rsidRPr="005A7724" w:rsidRDefault="005A0FA7" w:rsidP="005A0FA7">
      <w:pPr>
        <w:pStyle w:val="Titulli"/>
        <w:rPr>
          <w:lang w:val="it-IT"/>
        </w:rPr>
      </w:pPr>
      <w:r w:rsidRPr="005A7724">
        <w:rPr>
          <w:lang w:val="it-IT"/>
        </w:rPr>
        <w:t>PËR NJË S</w:t>
      </w:r>
      <w:r>
        <w:rPr>
          <w:lang w:val="it-IT"/>
        </w:rPr>
        <w:t xml:space="preserve">HTESË NË UDHËZIMIN NR.16, DATË </w:t>
      </w:r>
      <w:r w:rsidRPr="005A7724">
        <w:rPr>
          <w:lang w:val="it-IT"/>
        </w:rPr>
        <w:t>1.5.2005 PËR ADMINISTRIMIN  E MATERIALEVE ZGJEDHORE PËR ZGJEDHJET PËR KUVENDIN E SHQIPËRISË 2005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</w:p>
    <w:p w:rsidR="005A0FA7" w:rsidRPr="005A7724" w:rsidRDefault="005A0FA7" w:rsidP="005A0FA7">
      <w:pPr>
        <w:pStyle w:val="BazLigjPropozues"/>
        <w:rPr>
          <w:lang w:val="it-IT"/>
        </w:rPr>
      </w:pPr>
      <w:r w:rsidRPr="005A7724">
        <w:rPr>
          <w:lang w:val="it-IT"/>
        </w:rPr>
        <w:t>Komisioni Qendror i Zgjedhjeve</w:t>
      </w:r>
      <w:r>
        <w:rPr>
          <w:lang w:val="it-IT"/>
        </w:rPr>
        <w:t>, në mbështetje të  nenit 29</w:t>
      </w:r>
      <w:r w:rsidRPr="005A7724">
        <w:rPr>
          <w:lang w:val="it-IT"/>
        </w:rPr>
        <w:t xml:space="preserve"> pika 1, nenit 79, nenit 93, nenit 93/1, nenit </w:t>
      </w:r>
      <w:r>
        <w:rPr>
          <w:lang w:val="it-IT"/>
        </w:rPr>
        <w:t>109/2, nenit 109/3, nenit 109/7 pika 6 dhe nenit 158  të</w:t>
      </w:r>
      <w:r w:rsidRPr="005A7724">
        <w:rPr>
          <w:lang w:val="it-IT"/>
        </w:rPr>
        <w:t xml:space="preserve"> lig</w:t>
      </w:r>
      <w:r>
        <w:rPr>
          <w:lang w:val="it-IT"/>
        </w:rPr>
        <w:t>jit nr.9087, datë</w:t>
      </w:r>
      <w:r w:rsidRPr="005A7724">
        <w:rPr>
          <w:lang w:val="it-IT"/>
        </w:rPr>
        <w:t xml:space="preserve"> 19.6.200</w:t>
      </w:r>
      <w:r>
        <w:rPr>
          <w:lang w:val="it-IT"/>
        </w:rPr>
        <w:t>3 “Kodi Zgjedhor i Republikës së Shqipërisë“, i ndryshuar,</w:t>
      </w:r>
    </w:p>
    <w:p w:rsidR="005A0FA7" w:rsidRPr="005A7724" w:rsidRDefault="005A0FA7" w:rsidP="005A0FA7">
      <w:pPr>
        <w:pStyle w:val="VENDOSI"/>
        <w:rPr>
          <w:lang w:val="it-IT"/>
        </w:rPr>
      </w:pPr>
    </w:p>
    <w:p w:rsidR="005A0FA7" w:rsidRPr="005A7724" w:rsidRDefault="005A0FA7" w:rsidP="005A0FA7">
      <w:pPr>
        <w:pStyle w:val="VENDOSI"/>
        <w:rPr>
          <w:lang w:val="it-IT"/>
        </w:rPr>
      </w:pPr>
      <w:r w:rsidRPr="005A7724">
        <w:rPr>
          <w:lang w:val="it-IT"/>
        </w:rPr>
        <w:t>UDHËZON</w:t>
      </w:r>
      <w:r>
        <w:rPr>
          <w:lang w:val="it-IT"/>
        </w:rPr>
        <w:t>: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</w:p>
    <w:p w:rsidR="005A0FA7" w:rsidRDefault="005A0FA7" w:rsidP="005A0FA7">
      <w:pPr>
        <w:pStyle w:val="NeniNr"/>
        <w:rPr>
          <w:szCs w:val="22"/>
          <w:lang w:val="it-IT"/>
        </w:rPr>
      </w:pPr>
      <w:r w:rsidRPr="005A7724">
        <w:rPr>
          <w:szCs w:val="22"/>
          <w:lang w:val="it-IT"/>
        </w:rPr>
        <w:t>Neni 1</w:t>
      </w:r>
    </w:p>
    <w:p w:rsidR="005A0FA7" w:rsidRPr="00174EDE" w:rsidRDefault="005A0FA7" w:rsidP="005A0FA7">
      <w:pPr>
        <w:pStyle w:val="Paragrafi"/>
      </w:pPr>
    </w:p>
    <w:p w:rsidR="005A0FA7" w:rsidRPr="005A7724" w:rsidRDefault="005A0FA7" w:rsidP="005A0FA7">
      <w:pPr>
        <w:pStyle w:val="Paragrafi"/>
      </w:pPr>
      <w:r w:rsidRPr="005A7724">
        <w:t>Në nenin 10, pas pikës 2, shtohet pika 3 me këtë përmbajtje: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3. Kutia me materialet zgjedhore për KQV-në nuk hapet as nga KZZ dhe as nga KQV, gjatë pro</w:t>
      </w:r>
      <w:r>
        <w:rPr>
          <w:szCs w:val="22"/>
          <w:lang w:val="it-IT"/>
        </w:rPr>
        <w:t>c</w:t>
      </w:r>
      <w:r w:rsidRPr="005A7724">
        <w:rPr>
          <w:szCs w:val="22"/>
          <w:lang w:val="it-IT"/>
        </w:rPr>
        <w:t>esit të dorëzimit. Kutia me materialet zgjedhore për KQV-në hapet nga KQV-ja sipas përcaktimeve në nenin 11/1 të këtij udhëzimi</w:t>
      </w:r>
      <w:r>
        <w:rPr>
          <w:szCs w:val="22"/>
          <w:lang w:val="it-IT"/>
        </w:rPr>
        <w:t>.</w:t>
      </w:r>
    </w:p>
    <w:p w:rsidR="005A0FA7" w:rsidRDefault="005A0FA7" w:rsidP="005A0FA7">
      <w:pPr>
        <w:pStyle w:val="Paragrafi"/>
        <w:rPr>
          <w:szCs w:val="22"/>
          <w:lang w:val="it-IT"/>
        </w:rPr>
      </w:pPr>
    </w:p>
    <w:p w:rsidR="005A0FA7" w:rsidRDefault="005A0FA7" w:rsidP="005A0FA7">
      <w:pPr>
        <w:pStyle w:val="Paragrafi"/>
        <w:rPr>
          <w:szCs w:val="22"/>
          <w:lang w:val="it-IT"/>
        </w:rPr>
      </w:pPr>
    </w:p>
    <w:p w:rsidR="005A0FA7" w:rsidRDefault="005A0FA7" w:rsidP="005A0FA7">
      <w:pPr>
        <w:pStyle w:val="NeniNr"/>
        <w:rPr>
          <w:szCs w:val="22"/>
          <w:lang w:val="it-IT"/>
        </w:rPr>
      </w:pPr>
      <w:r w:rsidRPr="005A7724">
        <w:rPr>
          <w:szCs w:val="22"/>
          <w:lang w:val="it-IT"/>
        </w:rPr>
        <w:t>Neni 2</w:t>
      </w:r>
    </w:p>
    <w:p w:rsidR="005A0FA7" w:rsidRPr="00BE3B9B" w:rsidRDefault="005A0FA7" w:rsidP="005A0FA7">
      <w:pPr>
        <w:pStyle w:val="Paragrafi"/>
      </w:pPr>
    </w:p>
    <w:p w:rsidR="005A0FA7" w:rsidRPr="005A7724" w:rsidRDefault="005A0FA7" w:rsidP="005A0FA7">
      <w:pPr>
        <w:pStyle w:val="Paragrafi"/>
      </w:pPr>
      <w:r w:rsidRPr="005A7724">
        <w:t>Pas nenit 11 shtohet neni 11/1 me këtë përmbajtje: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 Komisioni i qendrës së votimit nën drejtimin e k</w:t>
      </w:r>
      <w:r w:rsidRPr="005A7724">
        <w:rPr>
          <w:szCs w:val="22"/>
          <w:lang w:val="it-IT"/>
        </w:rPr>
        <w:t>ryetarit dhe zëv</w:t>
      </w:r>
      <w:r>
        <w:rPr>
          <w:szCs w:val="22"/>
          <w:lang w:val="it-IT"/>
        </w:rPr>
        <w:t>e</w:t>
      </w:r>
      <w:r w:rsidRPr="005A7724">
        <w:rPr>
          <w:szCs w:val="22"/>
          <w:lang w:val="it-IT"/>
        </w:rPr>
        <w:t>ndëskryetarit dhe në prani të vëzhguesve, sipas nenit 18 të Kodit Zgjedhor, një orë përpara hapjes së votimit hap kutinë me materialet zgjedhore të marra në dorëzim nga KZZ-ja dhe verifikon nëse gjenden në të materialet zgjedhore sipas procesverbalit të marrjes në dorëzim dhe fletës së inventarit që ndodhet brenda në kuti.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  <w:r w:rsidRPr="005A7724">
        <w:rPr>
          <w:szCs w:val="22"/>
          <w:lang w:val="it-IT"/>
        </w:rPr>
        <w:t>2. Në rast se nga verifikimi konstatohen mospërputhje apo mungesa, KQV i  pasqyron ato në fletoren e procesverbalit të KQV-së, njofton menjëherë KZZ-në dhe vazhdon procedurat e tjera për fillimin e votimit.</w:t>
      </w:r>
    </w:p>
    <w:p w:rsidR="005A0FA7" w:rsidRPr="005A7724" w:rsidRDefault="005A0FA7" w:rsidP="005A0FA7">
      <w:pPr>
        <w:pStyle w:val="Paragrafi"/>
        <w:rPr>
          <w:szCs w:val="22"/>
          <w:lang w:val="it-IT"/>
        </w:rPr>
      </w:pPr>
    </w:p>
    <w:p w:rsidR="005A0FA7" w:rsidRPr="005A7724" w:rsidRDefault="005A0FA7" w:rsidP="005A0FA7">
      <w:pPr>
        <w:pStyle w:val="NeniNr"/>
        <w:rPr>
          <w:szCs w:val="22"/>
          <w:lang w:val="it-IT"/>
        </w:rPr>
      </w:pPr>
      <w:r w:rsidRPr="005A7724">
        <w:rPr>
          <w:szCs w:val="22"/>
          <w:lang w:val="it-IT"/>
        </w:rPr>
        <w:t>Neni 3</w:t>
      </w:r>
    </w:p>
    <w:p w:rsidR="005A0FA7" w:rsidRPr="00C15B12" w:rsidRDefault="005A0FA7" w:rsidP="005A0FA7">
      <w:pPr>
        <w:pStyle w:val="Paragrafi"/>
      </w:pPr>
      <w:r>
        <w:t>Ky u</w:t>
      </w:r>
      <w:r w:rsidRPr="00C15B12">
        <w:t>dhëzim hyn në fuqi menjëherë</w:t>
      </w:r>
    </w:p>
    <w:p w:rsidR="005A0FA7" w:rsidRPr="003205EA" w:rsidRDefault="005A0FA7" w:rsidP="005A0FA7">
      <w:pPr>
        <w:pStyle w:val="Paragrafi"/>
      </w:pPr>
    </w:p>
    <w:p w:rsidR="005A0FA7" w:rsidRPr="00A77B84" w:rsidRDefault="005A0FA7" w:rsidP="005A0FA7">
      <w:pPr>
        <w:pStyle w:val="Paragrafi"/>
        <w:rPr>
          <w:lang w:val="it-IT"/>
        </w:rPr>
      </w:pPr>
    </w:p>
    <w:p w:rsidR="005A0FA7" w:rsidRDefault="005A0FA7" w:rsidP="005A0FA7">
      <w:pPr>
        <w:pStyle w:val="Paragrafi"/>
        <w:ind w:firstLine="0"/>
        <w:rPr>
          <w:lang w:val="it-IT"/>
        </w:rPr>
      </w:pPr>
    </w:p>
    <w:p w:rsidR="005A0FA7" w:rsidRDefault="005A0FA7" w:rsidP="005A0FA7">
      <w:pPr>
        <w:pStyle w:val="Paragrafi"/>
        <w:ind w:firstLine="0"/>
        <w:rPr>
          <w:lang w:val="it-IT"/>
        </w:rPr>
      </w:pPr>
    </w:p>
    <w:p w:rsidR="005A0FA7" w:rsidRDefault="005A0FA7" w:rsidP="005A0FA7">
      <w:pPr>
        <w:pStyle w:val="Paragrafi"/>
        <w:ind w:firstLine="0"/>
        <w:rPr>
          <w:lang w:val="it-IT"/>
        </w:rPr>
      </w:pPr>
    </w:p>
    <w:p w:rsidR="005A0FA7" w:rsidRDefault="005A0FA7" w:rsidP="005A0FA7">
      <w:pPr>
        <w:pStyle w:val="Paragrafi"/>
        <w:ind w:firstLine="0"/>
        <w:rPr>
          <w:lang w:val="it-IT"/>
        </w:rPr>
      </w:pPr>
    </w:p>
    <w:p w:rsidR="005A0FA7" w:rsidRPr="00A77B84" w:rsidRDefault="005A0FA7" w:rsidP="005A0FA7">
      <w:pPr>
        <w:pStyle w:val="Paragrafi"/>
        <w:ind w:firstLine="0"/>
        <w:rPr>
          <w:lang w:val="it-IT"/>
        </w:rPr>
      </w:pPr>
    </w:p>
    <w:p w:rsidR="005A0FA7" w:rsidRPr="00281013" w:rsidRDefault="005A0FA7" w:rsidP="005A0FA7">
      <w:pPr>
        <w:pStyle w:val="Paragrafi"/>
      </w:pPr>
    </w:p>
    <w:p w:rsidR="005A0FA7" w:rsidRPr="00281013" w:rsidRDefault="005A0FA7" w:rsidP="005A0FA7">
      <w:pPr>
        <w:pStyle w:val="Titulli"/>
        <w:rPr>
          <w:lang w:val="it-IT"/>
        </w:rPr>
      </w:pPr>
    </w:p>
    <w:p w:rsidR="005A0FA7" w:rsidRPr="00281013" w:rsidRDefault="005A0FA7" w:rsidP="005A0FA7">
      <w:pPr>
        <w:pStyle w:val="Titull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5A0FA7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1304" w:footer="1134" w:gutter="0"/>
      <w:pgNumType w:start="189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67BAE">
      <w:r>
        <w:separator/>
      </w:r>
    </w:p>
  </w:endnote>
  <w:endnote w:type="continuationSeparator" w:id="0">
    <w:p w:rsidR="00000000" w:rsidRDefault="00D67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A7" w:rsidRDefault="005A0FA7" w:rsidP="005A0FA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0FA7" w:rsidRDefault="005A0FA7" w:rsidP="005A0FA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A7" w:rsidRPr="00FD11CA" w:rsidRDefault="005A0FA7" w:rsidP="005A0FA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D11CA">
      <w:rPr>
        <w:rStyle w:val="PageNumber"/>
        <w:rFonts w:ascii="CG Times" w:hAnsi="CG Times"/>
        <w:sz w:val="22"/>
        <w:szCs w:val="22"/>
      </w:rPr>
      <w:fldChar w:fldCharType="begin"/>
    </w:r>
    <w:r w:rsidRPr="00FD11C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D11CA">
      <w:rPr>
        <w:rStyle w:val="PageNumber"/>
        <w:rFonts w:ascii="CG Times" w:hAnsi="CG Times"/>
        <w:sz w:val="22"/>
        <w:szCs w:val="22"/>
      </w:rPr>
      <w:fldChar w:fldCharType="separate"/>
    </w:r>
    <w:r w:rsidR="00D67BAE">
      <w:rPr>
        <w:rStyle w:val="PageNumber"/>
        <w:rFonts w:ascii="CG Times" w:hAnsi="CG Times"/>
        <w:noProof/>
        <w:sz w:val="22"/>
        <w:szCs w:val="22"/>
      </w:rPr>
      <w:t>1893</w:t>
    </w:r>
    <w:r w:rsidRPr="00FD11CA">
      <w:rPr>
        <w:rStyle w:val="PageNumber"/>
        <w:rFonts w:ascii="CG Times" w:hAnsi="CG Times"/>
        <w:sz w:val="22"/>
        <w:szCs w:val="22"/>
      </w:rPr>
      <w:fldChar w:fldCharType="end"/>
    </w:r>
  </w:p>
  <w:p w:rsidR="005A0FA7" w:rsidRDefault="005A0FA7" w:rsidP="005A0FA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67BAE">
      <w:r>
        <w:separator/>
      </w:r>
    </w:p>
  </w:footnote>
  <w:footnote w:type="continuationSeparator" w:id="0">
    <w:p w:rsidR="00000000" w:rsidRDefault="00D67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A7" w:rsidRDefault="005A0FA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0FA7" w:rsidRDefault="005A0FA7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0FA7" w:rsidRDefault="005A0FA7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0FA7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7BA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F28078-166E-4DE4-A9D4-26E8EF63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FA7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5A0FA7"/>
  </w:style>
  <w:style w:type="paragraph" w:styleId="Header">
    <w:name w:val="header"/>
    <w:basedOn w:val="Normal"/>
    <w:rsid w:val="005A0FA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Footer">
    <w:name w:val="footer"/>
    <w:basedOn w:val="Normal"/>
    <w:rsid w:val="005A0FA7"/>
    <w:pPr>
      <w:tabs>
        <w:tab w:val="center" w:pos="4320"/>
        <w:tab w:val="right" w:pos="8640"/>
      </w:tabs>
    </w:pPr>
  </w:style>
  <w:style w:type="character" w:customStyle="1" w:styleId="TitulliChar">
    <w:name w:val="Titulli Char"/>
    <w:basedOn w:val="DefaultParagraphFont"/>
    <w:link w:val="Titulli"/>
    <w:rsid w:val="005A0FA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