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42EA" w:rsidRPr="00FE5CCB" w:rsidRDefault="002E42EA" w:rsidP="002E42EA">
      <w:pPr>
        <w:pStyle w:val="Akti"/>
        <w:keepNext w:val="0"/>
      </w:pPr>
      <w:bookmarkStart w:id="0" w:name="_GoBack"/>
      <w:bookmarkEnd w:id="0"/>
      <w:r w:rsidRPr="00FE5CCB">
        <w:t>UDHËZIM</w:t>
      </w:r>
    </w:p>
    <w:p w:rsidR="002E42EA" w:rsidRDefault="002E42EA" w:rsidP="002E42EA">
      <w:pPr>
        <w:pStyle w:val="NumriData"/>
        <w:keepNext w:val="0"/>
      </w:pPr>
      <w:r>
        <w:t>Nr.5, datë 4.10.2006</w:t>
      </w:r>
    </w:p>
    <w:p w:rsidR="002E42EA" w:rsidRPr="00FE5CCB" w:rsidRDefault="002E42EA" w:rsidP="002E42EA">
      <w:pPr>
        <w:pStyle w:val="Paragrafi"/>
      </w:pPr>
    </w:p>
    <w:p w:rsidR="002E42EA" w:rsidRPr="00FE5CCB" w:rsidRDefault="002E42EA" w:rsidP="002E42EA">
      <w:pPr>
        <w:pStyle w:val="Titulli"/>
        <w:keepNext w:val="0"/>
      </w:pPr>
      <w:r w:rsidRPr="00FE5CCB">
        <w:t>PËR</w:t>
      </w:r>
      <w:r>
        <w:t xml:space="preserve"> </w:t>
      </w:r>
      <w:r w:rsidRPr="00FE5CCB">
        <w:t>RREGULLAT QË DUHEN RESPEKTUAR PËR AFISHIMIN E MATERIALEVE PROPAGANDISTIKE NË FUSHATË ZGJEDHORE</w:t>
      </w:r>
    </w:p>
    <w:p w:rsidR="002E42EA" w:rsidRPr="00FE5CCB" w:rsidRDefault="002E42EA" w:rsidP="002E42EA">
      <w:pPr>
        <w:pStyle w:val="Paragrafi"/>
        <w:ind w:firstLine="0"/>
      </w:pPr>
    </w:p>
    <w:p w:rsidR="002E42EA" w:rsidRPr="00FE5CCB" w:rsidRDefault="002E42EA" w:rsidP="002E42EA">
      <w:pPr>
        <w:pStyle w:val="BazLigjPropozues"/>
        <w:keepNext w:val="0"/>
      </w:pPr>
      <w:r w:rsidRPr="00FE5CCB">
        <w:t>Komisioni Qendror i Zgjed</w:t>
      </w:r>
      <w:r>
        <w:t>hjeve, në mbështetje të nenit 3 pika 7, nenit 5, nenit 29 pika 1, nenit 134 pika 1 dhe nenit 135 të ligjit nr.</w:t>
      </w:r>
      <w:r w:rsidRPr="00FE5CCB">
        <w:t>9087, datë 19.6.2003 “Kodi Zgjedhor i Republikës së Shqipërisë”</w:t>
      </w:r>
      <w:r>
        <w:t xml:space="preserve">, </w:t>
      </w:r>
      <w:r w:rsidRPr="00FE5CCB">
        <w:t>i ndryshuar, Komisioni Qendror i Zgjedhje</w:t>
      </w:r>
      <w:r>
        <w:t>ve</w:t>
      </w:r>
    </w:p>
    <w:p w:rsidR="002E42EA" w:rsidRPr="00FE5CCB" w:rsidRDefault="002E42EA" w:rsidP="002E42EA">
      <w:pPr>
        <w:pStyle w:val="Paragrafi"/>
      </w:pPr>
    </w:p>
    <w:p w:rsidR="002E42EA" w:rsidRPr="00FE5CCB" w:rsidRDefault="002E42EA" w:rsidP="002E42EA">
      <w:pPr>
        <w:pStyle w:val="VENDOSI"/>
        <w:keepNext w:val="0"/>
      </w:pPr>
      <w:r w:rsidRPr="00FE5CCB">
        <w:t>Udhëzon:</w:t>
      </w:r>
    </w:p>
    <w:p w:rsidR="002E42EA" w:rsidRPr="00FE5CCB" w:rsidRDefault="002E42EA" w:rsidP="002E42EA">
      <w:pPr>
        <w:pStyle w:val="Paragrafi"/>
        <w:ind w:firstLine="0"/>
      </w:pPr>
    </w:p>
    <w:p w:rsidR="002E42EA" w:rsidRPr="00FE5CCB" w:rsidRDefault="002E42EA" w:rsidP="002E42EA">
      <w:pPr>
        <w:pStyle w:val="NeniTitull"/>
        <w:keepNext w:val="0"/>
      </w:pPr>
      <w:r>
        <w:t>Parime të pë</w:t>
      </w:r>
      <w:r w:rsidRPr="00FE5CCB">
        <w:t>rgjithshme</w:t>
      </w:r>
    </w:p>
    <w:p w:rsidR="002E42EA" w:rsidRPr="00FE5CCB" w:rsidRDefault="002E42EA" w:rsidP="002E42EA">
      <w:pPr>
        <w:pStyle w:val="NeniNr"/>
        <w:keepNext w:val="0"/>
      </w:pPr>
      <w:r w:rsidRPr="00FE5CCB">
        <w:t>Neni 1</w:t>
      </w:r>
    </w:p>
    <w:p w:rsidR="002E42EA" w:rsidRPr="00FE5CCB" w:rsidRDefault="002E42EA" w:rsidP="002E42EA">
      <w:pPr>
        <w:pStyle w:val="Paragrafi"/>
      </w:pPr>
    </w:p>
    <w:p w:rsidR="002E42EA" w:rsidRPr="00FE5CCB" w:rsidRDefault="002E42EA" w:rsidP="002E42EA">
      <w:pPr>
        <w:pStyle w:val="Paragrafi"/>
      </w:pPr>
      <w:r w:rsidRPr="00FE5CCB">
        <w:t>Ky udhëzim ka për q</w:t>
      </w:r>
      <w:r>
        <w:t>ëllim të përcaktojë rregullat që duhen zbatuar pë</w:t>
      </w:r>
      <w:r w:rsidRPr="00FE5CCB">
        <w:t>r afishimin e materialeve propagandistike gjatë periudhës zgjedhore, për zgjedhjet për Organet e Qeverisjes Vendore.</w:t>
      </w:r>
    </w:p>
    <w:p w:rsidR="002E42EA" w:rsidRPr="00FE5CCB" w:rsidRDefault="002E42EA" w:rsidP="002E42EA">
      <w:pPr>
        <w:pStyle w:val="NeniNr"/>
        <w:keepNext w:val="0"/>
      </w:pPr>
      <w:r w:rsidRPr="00FE5CCB">
        <w:t>Neni 2</w:t>
      </w:r>
    </w:p>
    <w:p w:rsidR="002E42EA" w:rsidRPr="00FE5CCB" w:rsidRDefault="002E42EA" w:rsidP="002E42EA">
      <w:pPr>
        <w:pStyle w:val="Paragrafi"/>
      </w:pPr>
    </w:p>
    <w:p w:rsidR="002E42EA" w:rsidRPr="00FE5CCB" w:rsidRDefault="002E42EA" w:rsidP="002E42EA">
      <w:pPr>
        <w:pStyle w:val="Paragrafi"/>
      </w:pPr>
      <w:r w:rsidRPr="00FE5CCB">
        <w:t>1. Organet e Qeverisjes Vendore janë të detyruara të caktojnë në mënyrë të drejtë dhe të paanshme vendet publike për afishimin e materialeve propagandistike zgjedhore.</w:t>
      </w:r>
    </w:p>
    <w:p w:rsidR="002E42EA" w:rsidRPr="00FE5CCB" w:rsidRDefault="002E42EA" w:rsidP="002E42EA">
      <w:pPr>
        <w:pStyle w:val="Paragrafi"/>
      </w:pPr>
      <w:r w:rsidRPr="00FE5CCB">
        <w:t>2. Caktimi i vendeve për afishimin e materialeve propagandistike zgjedhore bëhet publik dhe u njoftohet partive politike jo më vonë se 10 ditë nga dalja e Dekretit të Presidentit, p</w:t>
      </w:r>
      <w:r>
        <w:t>ër caktimin e datës së</w:t>
      </w:r>
      <w:r w:rsidRPr="00FE5CCB">
        <w:t xml:space="preserve"> zgjedhjeve, </w:t>
      </w:r>
    </w:p>
    <w:p w:rsidR="002E42EA" w:rsidRPr="00FE5CCB" w:rsidRDefault="002E42EA" w:rsidP="002E42EA">
      <w:pPr>
        <w:pStyle w:val="Paragrafi"/>
      </w:pPr>
    </w:p>
    <w:p w:rsidR="002E42EA" w:rsidRPr="00FE5CCB" w:rsidRDefault="002E42EA" w:rsidP="002E42EA">
      <w:pPr>
        <w:pStyle w:val="NeniNr"/>
        <w:keepNext w:val="0"/>
      </w:pPr>
      <w:r w:rsidRPr="00FE5CCB">
        <w:t>Neni 3</w:t>
      </w:r>
    </w:p>
    <w:p w:rsidR="002E42EA" w:rsidRPr="00FE5CCB" w:rsidRDefault="002E42EA" w:rsidP="002E42EA">
      <w:pPr>
        <w:pStyle w:val="Paragrafi"/>
      </w:pPr>
    </w:p>
    <w:p w:rsidR="002E42EA" w:rsidRPr="00FE5CCB" w:rsidRDefault="002E42EA" w:rsidP="002E42EA">
      <w:pPr>
        <w:pStyle w:val="Paragrafi"/>
      </w:pPr>
      <w:r w:rsidRPr="00FE5CCB">
        <w:t>Për qëllim të këtij udhëzimi partitë pjes</w:t>
      </w:r>
      <w:r>
        <w:t>ë</w:t>
      </w:r>
      <w:r w:rsidRPr="00FE5CCB">
        <w:t>marrëse në zgjedhjet për Organet e Qeverisjes Vendore, ndahen në parti parlamentare dhe parti joparlamentare.</w:t>
      </w:r>
    </w:p>
    <w:p w:rsidR="002E42EA" w:rsidRPr="00FE5CCB" w:rsidRDefault="002E42EA" w:rsidP="002E42EA">
      <w:pPr>
        <w:pStyle w:val="Paragrafi"/>
      </w:pPr>
    </w:p>
    <w:p w:rsidR="002E42EA" w:rsidRPr="00FE5CCB" w:rsidRDefault="002E42EA" w:rsidP="002E42EA">
      <w:pPr>
        <w:pStyle w:val="NeniNr"/>
        <w:keepNext w:val="0"/>
      </w:pPr>
      <w:r w:rsidRPr="00FE5CCB">
        <w:t>Neni 4</w:t>
      </w:r>
    </w:p>
    <w:p w:rsidR="002E42EA" w:rsidRPr="00FE5CCB" w:rsidRDefault="002E42EA" w:rsidP="002E42EA">
      <w:pPr>
        <w:pStyle w:val="NeniTitull"/>
        <w:keepNext w:val="0"/>
      </w:pPr>
      <w:r w:rsidRPr="00FE5CCB">
        <w:t>Caktimi i vendeve të afishimit</w:t>
      </w:r>
    </w:p>
    <w:p w:rsidR="002E42EA" w:rsidRPr="00FE5CCB" w:rsidRDefault="002E42EA" w:rsidP="002E42EA">
      <w:pPr>
        <w:pStyle w:val="Paragrafi"/>
      </w:pPr>
    </w:p>
    <w:p w:rsidR="002E42EA" w:rsidRPr="00FE5CCB" w:rsidRDefault="002E42EA" w:rsidP="002E42EA">
      <w:pPr>
        <w:pStyle w:val="Paragrafi"/>
      </w:pPr>
    </w:p>
    <w:p w:rsidR="002E42EA" w:rsidRPr="00FE5CCB" w:rsidRDefault="002E42EA" w:rsidP="002E42EA">
      <w:pPr>
        <w:pStyle w:val="Paragrafi"/>
      </w:pPr>
      <w:r>
        <w:t xml:space="preserve">1. </w:t>
      </w:r>
      <w:r w:rsidRPr="00FE5CCB">
        <w:t>Caktimi i vendeve publike për afishim realizohet duke përcaktuar vende, sipërfaqe dhe kohë afishimi të barabarta për secilën parti, brenda grupit ku bën pjesë.</w:t>
      </w:r>
    </w:p>
    <w:p w:rsidR="002E42EA" w:rsidRPr="00FE5CCB" w:rsidRDefault="002E42EA" w:rsidP="002E42EA">
      <w:pPr>
        <w:pStyle w:val="Paragrafi"/>
      </w:pPr>
      <w:r>
        <w:t xml:space="preserve">2. </w:t>
      </w:r>
      <w:r w:rsidRPr="00FE5CCB">
        <w:t>Për partitë parlamentare vendi dhe sipërfaqja, për afishimin e materialeve propagandistike, është sa dyfishi i vendit dhe sipërfaqes që u caktohet partive joparlamentare</w:t>
      </w:r>
      <w:r>
        <w:t>.</w:t>
      </w:r>
    </w:p>
    <w:p w:rsidR="002E42EA" w:rsidRPr="002E42EA" w:rsidRDefault="002E42EA" w:rsidP="002E42EA">
      <w:pPr>
        <w:pStyle w:val="Paragrafi"/>
        <w:rPr>
          <w:lang w:val="de-DE"/>
        </w:rPr>
      </w:pPr>
      <w:r w:rsidRPr="002E42EA">
        <w:rPr>
          <w:lang w:val="de-DE"/>
        </w:rPr>
        <w:t>3. Në caktimin e vendeve publike për afishimin e materialeve propagandistike Organet e Qeverisjes Vendore duhet të mbajnë parasysh:</w:t>
      </w:r>
    </w:p>
    <w:p w:rsidR="002E42EA" w:rsidRPr="00FE5CCB" w:rsidRDefault="002E42EA" w:rsidP="002E42EA">
      <w:pPr>
        <w:pStyle w:val="Paragrafi"/>
      </w:pPr>
      <w:r>
        <w:t>- s</w:t>
      </w:r>
      <w:r w:rsidRPr="00FE5CCB">
        <w:t>heshet publike dhe afërsinë e tyre me qendrën e nj</w:t>
      </w:r>
      <w:r>
        <w:t>ësisë administrative përkatë</w:t>
      </w:r>
      <w:r w:rsidRPr="00FE5CCB">
        <w:t>se;</w:t>
      </w:r>
    </w:p>
    <w:p w:rsidR="002E42EA" w:rsidRPr="00FE5CCB" w:rsidRDefault="002E42EA" w:rsidP="002E42EA">
      <w:pPr>
        <w:pStyle w:val="Paragrafi"/>
      </w:pPr>
      <w:r>
        <w:t>- r</w:t>
      </w:r>
      <w:r w:rsidRPr="00FE5CCB">
        <w:t>rugët kryesore;</w:t>
      </w:r>
    </w:p>
    <w:p w:rsidR="002E42EA" w:rsidRPr="00FE5CCB" w:rsidRDefault="002E42EA" w:rsidP="002E42EA">
      <w:pPr>
        <w:pStyle w:val="Paragrafi"/>
      </w:pPr>
      <w:r>
        <w:t>- v</w:t>
      </w:r>
      <w:r w:rsidRPr="00FE5CCB">
        <w:t xml:space="preserve">endet e veçanta të caktuara për afishim; </w:t>
      </w:r>
    </w:p>
    <w:p w:rsidR="002E42EA" w:rsidRPr="00FE5CCB" w:rsidRDefault="002E42EA" w:rsidP="002E42EA">
      <w:pPr>
        <w:pStyle w:val="Paragrafi"/>
      </w:pPr>
      <w:r>
        <w:t>- mundësinë e ndriçimit.</w:t>
      </w:r>
    </w:p>
    <w:p w:rsidR="002E42EA" w:rsidRPr="00FE5CCB" w:rsidRDefault="002E42EA" w:rsidP="002E42EA">
      <w:pPr>
        <w:pStyle w:val="Paragrafi"/>
      </w:pPr>
      <w:r>
        <w:t xml:space="preserve">4. </w:t>
      </w:r>
      <w:r w:rsidRPr="00FE5CCB">
        <w:t>Ndalohet vendosja dhe afishimi i materialeve propagandistike zgjedhore në ndërtesat e institucioneve publike.</w:t>
      </w:r>
    </w:p>
    <w:p w:rsidR="002E42EA" w:rsidRPr="00FE5CCB" w:rsidRDefault="002E42EA" w:rsidP="002E42EA">
      <w:pPr>
        <w:pStyle w:val="Paragrafi"/>
      </w:pPr>
    </w:p>
    <w:p w:rsidR="002E42EA" w:rsidRPr="00FE5CCB" w:rsidRDefault="002E42EA" w:rsidP="002E42EA">
      <w:pPr>
        <w:pStyle w:val="NeniNr"/>
        <w:keepNext w:val="0"/>
      </w:pPr>
      <w:r w:rsidRPr="00FE5CCB">
        <w:t>Neni 5</w:t>
      </w:r>
    </w:p>
    <w:p w:rsidR="002E42EA" w:rsidRPr="00FE5CCB" w:rsidRDefault="002E42EA" w:rsidP="002E42EA">
      <w:pPr>
        <w:pStyle w:val="NeniTitull"/>
        <w:keepNext w:val="0"/>
      </w:pPr>
      <w:r>
        <w:t>Respektimi i b</w:t>
      </w:r>
      <w:r w:rsidRPr="00FE5CCB">
        <w:t>arazisë</w:t>
      </w:r>
    </w:p>
    <w:p w:rsidR="002E42EA" w:rsidRPr="00FE5CCB" w:rsidRDefault="002E42EA" w:rsidP="002E42EA">
      <w:pPr>
        <w:pStyle w:val="Paragrafi"/>
      </w:pPr>
    </w:p>
    <w:p w:rsidR="002E42EA" w:rsidRDefault="002E42EA" w:rsidP="002E42EA">
      <w:pPr>
        <w:pStyle w:val="Paragrafi"/>
      </w:pPr>
      <w:r w:rsidRPr="00FE5CCB">
        <w:t>Vënia në dispozicion e sipërfaqeve për afishimin e materialeve propagandistike, bëhet me të njëjtin çmim për sipërfaqe dhe kohë afishimi të barabartë.</w:t>
      </w:r>
    </w:p>
    <w:p w:rsidR="002E42EA" w:rsidRPr="00FE5CCB" w:rsidRDefault="002E42EA" w:rsidP="002E42EA">
      <w:pPr>
        <w:pStyle w:val="Paragrafi"/>
      </w:pPr>
    </w:p>
    <w:p w:rsidR="002E42EA" w:rsidRPr="00FE5CCB" w:rsidRDefault="002E42EA" w:rsidP="002E42EA">
      <w:pPr>
        <w:pStyle w:val="NeniNr"/>
        <w:keepNext w:val="0"/>
      </w:pPr>
      <w:r w:rsidRPr="00FE5CCB">
        <w:t>Neni 6</w:t>
      </w:r>
    </w:p>
    <w:p w:rsidR="002E42EA" w:rsidRPr="00FE5CCB" w:rsidRDefault="002E42EA" w:rsidP="002E42EA">
      <w:pPr>
        <w:pStyle w:val="NeniTitull"/>
        <w:keepNext w:val="0"/>
      </w:pPr>
      <w:r>
        <w:t>Personat juridikë dhe fizikë</w:t>
      </w:r>
    </w:p>
    <w:p w:rsidR="002E42EA" w:rsidRPr="00FE5CCB" w:rsidRDefault="002E42EA" w:rsidP="002E42EA">
      <w:pPr>
        <w:pStyle w:val="Paragrafi"/>
      </w:pPr>
    </w:p>
    <w:p w:rsidR="002E42EA" w:rsidRPr="00FE5CCB" w:rsidRDefault="002E42EA" w:rsidP="002E42EA">
      <w:pPr>
        <w:pStyle w:val="Paragrafi"/>
      </w:pPr>
      <w:r w:rsidRPr="00FE5CCB">
        <w:t>Personat juridikë apo fizikë që ushtrojnë aktivitet në fushën e reklamave në territorin e njësisë vendore përkatëse, janë të detyruar që të respektojnë parimet e barazisë ndërmjet subjekteve zgjedhore, në rastin kur afishojnë materiale propogandistike zgjedhore.</w:t>
      </w:r>
    </w:p>
    <w:p w:rsidR="002E42EA" w:rsidRPr="00FE5CCB" w:rsidRDefault="002E42EA" w:rsidP="002E42EA">
      <w:pPr>
        <w:pStyle w:val="Paragrafi"/>
      </w:pPr>
    </w:p>
    <w:p w:rsidR="002E42EA" w:rsidRPr="00FE5CCB" w:rsidRDefault="002E42EA" w:rsidP="002E42EA">
      <w:pPr>
        <w:pStyle w:val="NeniNr"/>
        <w:keepNext w:val="0"/>
      </w:pPr>
      <w:r w:rsidRPr="00FE5CCB">
        <w:t>Neni 7</w:t>
      </w:r>
    </w:p>
    <w:p w:rsidR="002E42EA" w:rsidRPr="00FE5CCB" w:rsidRDefault="002E42EA" w:rsidP="002E42EA">
      <w:pPr>
        <w:pStyle w:val="NeniTitull"/>
        <w:keepNext w:val="0"/>
      </w:pPr>
      <w:r w:rsidRPr="00FE5CCB">
        <w:t>Kompe</w:t>
      </w:r>
      <w:r>
        <w:t>n</w:t>
      </w:r>
      <w:r w:rsidRPr="00FE5CCB">
        <w:t>simi</w:t>
      </w:r>
    </w:p>
    <w:p w:rsidR="002E42EA" w:rsidRPr="00FE5CCB" w:rsidRDefault="002E42EA" w:rsidP="002E42EA">
      <w:pPr>
        <w:pStyle w:val="Paragrafi"/>
      </w:pPr>
    </w:p>
    <w:p w:rsidR="002E42EA" w:rsidRPr="00FE5CCB" w:rsidRDefault="002E42EA" w:rsidP="002E42EA">
      <w:pPr>
        <w:pStyle w:val="Paragrafi"/>
      </w:pPr>
      <w:r>
        <w:t xml:space="preserve">1. </w:t>
      </w:r>
      <w:r w:rsidRPr="00FE5CCB">
        <w:t>Në rastet kur KZQV konstaton shkelje të dispozitave të këtij udhëzimi, me vendim urdhëron kompe</w:t>
      </w:r>
      <w:r>
        <w:t>n</w:t>
      </w:r>
      <w:r w:rsidRPr="00FE5CCB">
        <w:t>simet përkatëse të cilat realizohen menjëherë.</w:t>
      </w:r>
    </w:p>
    <w:p w:rsidR="002E42EA" w:rsidRDefault="002E42EA" w:rsidP="002E42EA">
      <w:pPr>
        <w:pStyle w:val="Paragrafi"/>
      </w:pPr>
      <w:r>
        <w:t xml:space="preserve">2. </w:t>
      </w:r>
      <w:r w:rsidRPr="00FE5CCB">
        <w:t>Vendimi i KZQV i dërgohet menj</w:t>
      </w:r>
      <w:r w:rsidRPr="00FE5CCB">
        <w:rPr>
          <w:rFonts w:ascii="Times New Roman" w:hAnsi="Times New Roman"/>
        </w:rPr>
        <w:t>ё</w:t>
      </w:r>
      <w:r w:rsidRPr="00FE5CCB">
        <w:t>her</w:t>
      </w:r>
      <w:r w:rsidRPr="00FE5CCB">
        <w:rPr>
          <w:rFonts w:ascii="Times New Roman" w:hAnsi="Times New Roman"/>
        </w:rPr>
        <w:t>ё</w:t>
      </w:r>
      <w:r w:rsidRPr="00FE5CCB">
        <w:t xml:space="preserve"> Organit të Qeversisjes Vendore përkatëse.</w:t>
      </w:r>
    </w:p>
    <w:p w:rsidR="002E42EA" w:rsidRPr="00FE5CCB" w:rsidRDefault="002E42EA" w:rsidP="002E42EA">
      <w:pPr>
        <w:pStyle w:val="Paragrafi"/>
        <w:ind w:firstLine="0"/>
      </w:pPr>
    </w:p>
    <w:p w:rsidR="002E42EA" w:rsidRPr="00FE5CCB" w:rsidRDefault="002E42EA" w:rsidP="002E42EA">
      <w:pPr>
        <w:pStyle w:val="NeniNr"/>
        <w:keepNext w:val="0"/>
      </w:pPr>
      <w:r w:rsidRPr="00FE5CCB">
        <w:t>Neni 8</w:t>
      </w:r>
    </w:p>
    <w:p w:rsidR="002E42EA" w:rsidRPr="00FE5CCB" w:rsidRDefault="002E42EA" w:rsidP="002E42EA">
      <w:pPr>
        <w:pStyle w:val="NeniTitull"/>
        <w:keepNext w:val="0"/>
      </w:pPr>
      <w:r w:rsidRPr="00FE5CCB">
        <w:t>Sanksionet</w:t>
      </w:r>
    </w:p>
    <w:p w:rsidR="002E42EA" w:rsidRPr="00FE5CCB" w:rsidRDefault="002E42EA" w:rsidP="002E42EA">
      <w:pPr>
        <w:pStyle w:val="Paragrafi"/>
      </w:pPr>
    </w:p>
    <w:p w:rsidR="002E42EA" w:rsidRPr="00FE5CCB" w:rsidRDefault="002E42EA" w:rsidP="002E42EA">
      <w:pPr>
        <w:pStyle w:val="Paragrafi"/>
      </w:pPr>
      <w:r>
        <w:t>Në rastet e kundër</w:t>
      </w:r>
      <w:r w:rsidRPr="00FE5CCB">
        <w:t>vajtjeve administrative</w:t>
      </w:r>
      <w:r>
        <w:t>,</w:t>
      </w:r>
      <w:r w:rsidRPr="00FE5CCB">
        <w:t xml:space="preserve"> KQZ vendos sanksionet administrative të parashikuara në ligjin</w:t>
      </w:r>
      <w:r>
        <w:t xml:space="preserve"> nr.9087, datë 19.6.</w:t>
      </w:r>
      <w:r w:rsidRPr="00FE5CCB">
        <w:t>2003 “Kodi Zgjedhor i Republikës së Shqipërisë</w:t>
      </w:r>
      <w:r>
        <w:t>”, i ndryshuar</w:t>
      </w:r>
      <w:r w:rsidRPr="00FE5CCB">
        <w:t>.</w:t>
      </w:r>
    </w:p>
    <w:p w:rsidR="002E42EA" w:rsidRPr="00FE5CCB" w:rsidRDefault="002E42EA" w:rsidP="002E42EA">
      <w:pPr>
        <w:pStyle w:val="Paragrafi"/>
        <w:ind w:firstLine="0"/>
      </w:pPr>
    </w:p>
    <w:p w:rsidR="002E42EA" w:rsidRPr="00FE5CCB" w:rsidRDefault="002E42EA" w:rsidP="002E42EA">
      <w:pPr>
        <w:pStyle w:val="NeniNr"/>
        <w:keepNext w:val="0"/>
      </w:pPr>
      <w:r w:rsidRPr="00FE5CCB">
        <w:t>Neni 9</w:t>
      </w:r>
    </w:p>
    <w:p w:rsidR="002E42EA" w:rsidRPr="00FE5CCB" w:rsidRDefault="002E42EA" w:rsidP="002E42EA">
      <w:pPr>
        <w:pStyle w:val="Paragrafi"/>
      </w:pPr>
    </w:p>
    <w:p w:rsidR="002E42EA" w:rsidRPr="00FE5CCB" w:rsidRDefault="002E42EA" w:rsidP="002E42EA">
      <w:pPr>
        <w:pStyle w:val="Paragrafi"/>
      </w:pPr>
      <w:r>
        <w:t>Ky u</w:t>
      </w:r>
      <w:r w:rsidRPr="00FE5CCB">
        <w:t>dhëzim hyn në fuqi pas botimit në Fletoren Zyrtare.</w:t>
      </w:r>
    </w:p>
    <w:p w:rsidR="002E42EA" w:rsidRPr="00AB4006" w:rsidRDefault="002E42EA" w:rsidP="002E42EA">
      <w:pPr>
        <w:pStyle w:val="Paragrafi"/>
      </w:pPr>
    </w:p>
    <w:p w:rsidR="002E42EA" w:rsidRPr="003736C0" w:rsidRDefault="002E42EA" w:rsidP="002E42EA">
      <w:pPr>
        <w:pStyle w:val="Paragrafi"/>
        <w:rPr>
          <w:lang w:val="sq-AL"/>
        </w:rPr>
      </w:pPr>
      <w:r w:rsidRPr="003736C0">
        <w:rPr>
          <w:lang w:val="sq-AL"/>
        </w:rPr>
        <w:t xml:space="preserve">Çlirim </w:t>
      </w:r>
      <w:r w:rsidRPr="003736C0">
        <w:rPr>
          <w:lang w:val="sq-AL"/>
        </w:rPr>
        <w:tab/>
        <w:t>Gjata</w:t>
      </w:r>
      <w:r w:rsidRPr="003736C0">
        <w:rPr>
          <w:lang w:val="sq-AL"/>
        </w:rPr>
        <w:tab/>
      </w:r>
      <w:r w:rsidRPr="003736C0">
        <w:rPr>
          <w:lang w:val="sq-AL"/>
        </w:rPr>
        <w:tab/>
      </w:r>
      <w:r w:rsidRPr="003736C0">
        <w:rPr>
          <w:lang w:val="sq-AL"/>
        </w:rPr>
        <w:tab/>
      </w:r>
      <w:r w:rsidRPr="003736C0">
        <w:rPr>
          <w:lang w:val="sq-AL"/>
        </w:rPr>
        <w:tab/>
        <w:t>Kryetar</w:t>
      </w:r>
    </w:p>
    <w:p w:rsidR="002E42EA" w:rsidRPr="003736C0" w:rsidRDefault="002E42EA" w:rsidP="002E42EA">
      <w:pPr>
        <w:pStyle w:val="Paragrafi"/>
        <w:rPr>
          <w:lang w:val="sq-AL"/>
        </w:rPr>
      </w:pPr>
      <w:r w:rsidRPr="003736C0">
        <w:rPr>
          <w:lang w:val="sq-AL"/>
        </w:rPr>
        <w:t xml:space="preserve">Flamur </w:t>
      </w:r>
      <w:r w:rsidRPr="003736C0">
        <w:rPr>
          <w:lang w:val="sq-AL"/>
        </w:rPr>
        <w:tab/>
        <w:t>Çato</w:t>
      </w:r>
      <w:r w:rsidRPr="003736C0">
        <w:rPr>
          <w:lang w:val="sq-AL"/>
        </w:rPr>
        <w:tab/>
      </w:r>
      <w:r w:rsidRPr="003736C0">
        <w:rPr>
          <w:lang w:val="sq-AL"/>
        </w:rPr>
        <w:tab/>
      </w:r>
      <w:r w:rsidRPr="003736C0">
        <w:rPr>
          <w:lang w:val="sq-AL"/>
        </w:rPr>
        <w:tab/>
      </w:r>
      <w:r w:rsidRPr="003736C0">
        <w:rPr>
          <w:lang w:val="sq-AL"/>
        </w:rPr>
        <w:tab/>
        <w:t>Zv/Kryetari</w:t>
      </w:r>
    </w:p>
    <w:p w:rsidR="002E42EA" w:rsidRPr="003736C0" w:rsidRDefault="002E42EA" w:rsidP="002E42EA">
      <w:pPr>
        <w:pStyle w:val="Paragrafi"/>
        <w:rPr>
          <w:lang w:val="sq-AL"/>
        </w:rPr>
      </w:pPr>
      <w:r>
        <w:rPr>
          <w:lang w:val="sq-AL"/>
        </w:rPr>
        <w:t>Dë</w:t>
      </w:r>
      <w:r w:rsidRPr="003736C0">
        <w:rPr>
          <w:lang w:val="sq-AL"/>
        </w:rPr>
        <w:t xml:space="preserve">shira </w:t>
      </w:r>
      <w:r>
        <w:rPr>
          <w:lang w:val="sq-AL"/>
        </w:rPr>
        <w:t xml:space="preserve">Subashi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3736C0">
        <w:rPr>
          <w:lang w:val="sq-AL"/>
        </w:rPr>
        <w:t>Anetar</w:t>
      </w:r>
    </w:p>
    <w:p w:rsidR="002E42EA" w:rsidRPr="003736C0" w:rsidRDefault="002E42EA" w:rsidP="002E42EA">
      <w:pPr>
        <w:pStyle w:val="Paragrafi"/>
        <w:rPr>
          <w:lang w:val="sq-AL"/>
        </w:rPr>
      </w:pPr>
      <w:r w:rsidRPr="003736C0">
        <w:rPr>
          <w:lang w:val="sq-AL"/>
        </w:rPr>
        <w:t>Klement Zguri</w:t>
      </w:r>
      <w:r w:rsidRPr="003736C0">
        <w:rPr>
          <w:lang w:val="sq-AL"/>
        </w:rPr>
        <w:tab/>
      </w:r>
      <w:r w:rsidRPr="003736C0">
        <w:rPr>
          <w:lang w:val="sq-AL"/>
        </w:rPr>
        <w:tab/>
      </w:r>
      <w:r w:rsidRPr="003736C0">
        <w:rPr>
          <w:lang w:val="sq-AL"/>
        </w:rPr>
        <w:tab/>
      </w:r>
      <w:r>
        <w:rPr>
          <w:lang w:val="sq-AL"/>
        </w:rPr>
        <w:tab/>
      </w:r>
      <w:r w:rsidRPr="003736C0">
        <w:rPr>
          <w:lang w:val="sq-AL"/>
        </w:rPr>
        <w:t>Anëtar</w:t>
      </w:r>
    </w:p>
    <w:p w:rsidR="002E42EA" w:rsidRPr="003736C0" w:rsidRDefault="002E42EA" w:rsidP="002E42EA">
      <w:pPr>
        <w:pStyle w:val="Paragrafi"/>
        <w:rPr>
          <w:lang w:val="sq-AL"/>
        </w:rPr>
      </w:pPr>
      <w:r w:rsidRPr="003736C0">
        <w:rPr>
          <w:lang w:val="sq-AL"/>
        </w:rPr>
        <w:t xml:space="preserve">Arben </w:t>
      </w:r>
      <w:r w:rsidRPr="003736C0">
        <w:rPr>
          <w:lang w:val="sq-AL"/>
        </w:rPr>
        <w:tab/>
        <w:t>Ristani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3736C0">
        <w:rPr>
          <w:lang w:val="sq-AL"/>
        </w:rPr>
        <w:t>Anëtar</w:t>
      </w:r>
    </w:p>
    <w:p w:rsidR="002E42EA" w:rsidRPr="003736C0" w:rsidRDefault="002E42EA" w:rsidP="002E42EA">
      <w:pPr>
        <w:pStyle w:val="Paragrafi"/>
        <w:rPr>
          <w:lang w:val="sq-AL"/>
        </w:rPr>
      </w:pPr>
      <w:r w:rsidRPr="003736C0">
        <w:rPr>
          <w:lang w:val="sq-AL"/>
        </w:rPr>
        <w:t>Fatmir</w:t>
      </w:r>
      <w:r w:rsidRPr="003736C0">
        <w:rPr>
          <w:lang w:val="sq-AL"/>
        </w:rPr>
        <w:tab/>
        <w:t>Kumbaro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3736C0">
        <w:rPr>
          <w:lang w:val="sq-AL"/>
        </w:rPr>
        <w:t>Anëtar</w:t>
      </w:r>
    </w:p>
    <w:p w:rsidR="002E42EA" w:rsidRPr="00AB4006" w:rsidRDefault="002E42EA" w:rsidP="002E42EA">
      <w:pPr>
        <w:widowControl w:val="0"/>
        <w:ind w:firstLine="720"/>
        <w:jc w:val="both"/>
        <w:outlineLvl w:val="0"/>
        <w:rPr>
          <w:sz w:val="22"/>
          <w:szCs w:val="22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2E42EA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423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E4B93">
      <w:r>
        <w:separator/>
      </w:r>
    </w:p>
  </w:endnote>
  <w:endnote w:type="continuationSeparator" w:id="0">
    <w:p w:rsidR="00000000" w:rsidRDefault="008E4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42EA" w:rsidRDefault="002E42EA" w:rsidP="002E42E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E42EA" w:rsidRDefault="002E42EA" w:rsidP="002E42E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42EA" w:rsidRPr="00503ADB" w:rsidRDefault="002E42EA" w:rsidP="002E42EA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503ADB">
      <w:rPr>
        <w:rStyle w:val="PageNumber"/>
        <w:rFonts w:ascii="CG Times" w:hAnsi="CG Times"/>
        <w:sz w:val="22"/>
        <w:szCs w:val="22"/>
      </w:rPr>
      <w:fldChar w:fldCharType="begin"/>
    </w:r>
    <w:r w:rsidRPr="00503ADB">
      <w:rPr>
        <w:rStyle w:val="PageNumber"/>
        <w:rFonts w:ascii="CG Times" w:hAnsi="CG Times"/>
        <w:sz w:val="22"/>
        <w:szCs w:val="22"/>
      </w:rPr>
      <w:instrText xml:space="preserve">PAGE  </w:instrText>
    </w:r>
    <w:r w:rsidRPr="00503ADB">
      <w:rPr>
        <w:rStyle w:val="PageNumber"/>
        <w:rFonts w:ascii="CG Times" w:hAnsi="CG Times"/>
        <w:sz w:val="22"/>
        <w:szCs w:val="22"/>
      </w:rPr>
      <w:fldChar w:fldCharType="separate"/>
    </w:r>
    <w:r w:rsidR="008E4B93">
      <w:rPr>
        <w:rStyle w:val="PageNumber"/>
        <w:rFonts w:ascii="CG Times" w:hAnsi="CG Times"/>
        <w:noProof/>
        <w:sz w:val="22"/>
        <w:szCs w:val="22"/>
      </w:rPr>
      <w:t>4236</w:t>
    </w:r>
    <w:r w:rsidRPr="00503ADB">
      <w:rPr>
        <w:rStyle w:val="PageNumber"/>
        <w:rFonts w:ascii="CG Times" w:hAnsi="CG Times"/>
        <w:sz w:val="22"/>
        <w:szCs w:val="22"/>
      </w:rPr>
      <w:fldChar w:fldCharType="end"/>
    </w:r>
  </w:p>
  <w:p w:rsidR="002E42EA" w:rsidRDefault="002E42EA" w:rsidP="002E42E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E4B93">
      <w:r>
        <w:separator/>
      </w:r>
    </w:p>
  </w:footnote>
  <w:footnote w:type="continuationSeparator" w:id="0">
    <w:p w:rsidR="00000000" w:rsidRDefault="008E4B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2E42EA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E4B93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824EF6E-F714-45CE-A4E3-A9493ED95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42EA"/>
    <w:rPr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2E42EA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2E42EA"/>
    <w:pPr>
      <w:tabs>
        <w:tab w:val="center" w:pos="4320"/>
        <w:tab w:val="right" w:pos="8640"/>
      </w:tabs>
    </w:pPr>
    <w:rPr>
      <w:rFonts w:ascii="Arial" w:hAnsi="Arial"/>
      <w:sz w:val="24"/>
      <w:lang w:val="en-GB"/>
    </w:rPr>
  </w:style>
  <w:style w:type="character" w:styleId="PageNumber">
    <w:name w:val="page number"/>
    <w:basedOn w:val="DefaultParagraphFont"/>
    <w:rsid w:val="002E42EA"/>
  </w:style>
  <w:style w:type="character" w:customStyle="1" w:styleId="ParagrafiChar">
    <w:name w:val="Paragrafi Char"/>
    <w:basedOn w:val="DefaultParagraphFont"/>
    <w:link w:val="Paragrafi"/>
    <w:rsid w:val="002E42EA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2019-03-16T14:00:00Z</dcterms:created>
  <dcterms:modified xsi:type="dcterms:W3CDTF">2019-03-16T14:00:00Z</dcterms:modified>
</cp:coreProperties>
</file>